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55009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E5994AD">
            <w:pPr>
              <w:pStyle w:val="19"/>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0CACEE1">
            <w:pPr>
              <w:pStyle w:val="19"/>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点击此处添加ICS号</w:t>
            </w:r>
            <w:r>
              <w:rPr>
                <w:rFonts w:ascii="黑体" w:hAnsi="黑体" w:eastAsia="黑体"/>
                <w:sz w:val="21"/>
                <w:szCs w:val="21"/>
              </w:rPr>
              <w:fldChar w:fldCharType="end"/>
            </w:r>
            <w:bookmarkEnd w:id="0"/>
          </w:p>
        </w:tc>
      </w:tr>
      <w:tr w14:paraId="7347E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A6198C5">
            <w:pPr>
              <w:pStyle w:val="19"/>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126302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31DD2F1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428C9A1E">
            <w:pPr>
              <w:pStyle w:val="19"/>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点击此处添加CCS号</w:t>
            </w:r>
            <w:r>
              <w:rPr>
                <w:rFonts w:ascii="黑体" w:hAnsi="黑体" w:eastAsia="黑体"/>
                <w:sz w:val="21"/>
                <w:szCs w:val="21"/>
              </w:rPr>
              <w:fldChar w:fldCharType="end"/>
            </w:r>
            <w:bookmarkEnd w:id="2"/>
          </w:p>
        </w:tc>
      </w:tr>
    </w:tbl>
    <w:p w14:paraId="3CD12AE0">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山东省企业联合会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5F6BE389">
      <w:pPr>
        <w:pStyle w:val="196"/>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13F50CC0">
      <w:pPr>
        <w:pStyle w:val="197"/>
        <w:framePr/>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0626A0AE">
      <w:pPr>
        <w:spacing w:line="240" w:lineRule="auto"/>
        <w:rPr>
          <w:rFonts w:ascii="黑体" w:hAnsi="黑体" w:eastAsia="黑体"/>
          <w:kern w:val="0"/>
          <w:sz w:val="10"/>
          <w:szCs w:val="10"/>
        </w:rPr>
      </w:pPr>
      <w:r>
        <w:rPr>
          <w:rFonts w:ascii="黑体" w:hAnsi="黑体" w:eastAsia="黑体"/>
          <w:kern w:val="0"/>
          <w:sz w:val="10"/>
          <w:szCs w:val="10"/>
        </w:rPr>
        <w:pict>
          <v:line id="直接连接符 73" o:spid="_x0000_s2051" o:spt="20" style="position:absolute;left:0pt;margin-left:70.9pt;margin-top:212.65pt;height:0pt;width:481.9pt;mso-position-horizontal-relative:page;mso-position-vertical-relative:page;z-index:251659264;mso-width-relative:page;mso-height-relative:page;" coordsize="21600,21600" o:allowoverlap="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v:path arrowok="t"/>
            <v:fill focussize="0,0"/>
            <v:stroke/>
            <v:imagedata o:title=""/>
            <o:lock v:ext="edit"/>
          </v:line>
        </w:pict>
      </w:r>
    </w:p>
    <w:p w14:paraId="5C51B38A">
      <w:pPr>
        <w:pStyle w:val="51"/>
        <w:framePr w:w="9639" w:h="6976" w:hRule="exact" w:hSpace="0" w:vSpace="0" w:wrap="around" w:hAnchor="page" w:y="6408"/>
        <w:jc w:val="center"/>
        <w:rPr>
          <w:rFonts w:ascii="黑体" w:hAnsi="黑体" w:eastAsia="黑体"/>
          <w:b w:val="0"/>
          <w:bCs w:val="0"/>
          <w:w w:val="100"/>
        </w:rPr>
      </w:pPr>
    </w:p>
    <w:p w14:paraId="1FE40672">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t>网络餐饮线上线下同质同标技术规范</w:t>
      </w:r>
      <w:r>
        <w:fldChar w:fldCharType="end"/>
      </w:r>
      <w:bookmarkEnd w:id="9"/>
    </w:p>
    <w:p w14:paraId="4B628703">
      <w:pPr>
        <w:framePr w:w="9639" w:h="6974" w:hRule="exact" w:wrap="around" w:vAnchor="page" w:hAnchor="page" w:x="1419" w:y="6408" w:anchorLock="1"/>
        <w:ind w:left="-1418"/>
      </w:pPr>
    </w:p>
    <w:p w14:paraId="0E7B59B5">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specifications for online and offline homogeneity and standardization of network catering services</w:t>
      </w:r>
      <w:r>
        <w:rPr>
          <w:rFonts w:eastAsia="黑体"/>
          <w:szCs w:val="28"/>
        </w:rPr>
        <w:fldChar w:fldCharType="end"/>
      </w:r>
      <w:bookmarkEnd w:id="10"/>
    </w:p>
    <w:p w14:paraId="3D2936B4">
      <w:pPr>
        <w:framePr w:w="9639" w:h="6974" w:hRule="exact" w:wrap="around" w:vAnchor="page" w:hAnchor="page" w:x="1419" w:y="6408" w:anchorLock="1"/>
        <w:spacing w:line="760" w:lineRule="exact"/>
        <w:ind w:left="-1418"/>
      </w:pPr>
    </w:p>
    <w:p w14:paraId="4B1D431E">
      <w:pPr>
        <w:pStyle w:val="126"/>
        <w:framePr w:w="9639" w:h="6974" w:hRule="exact" w:wrap="around" w:vAnchor="page" w:hAnchor="page" w:x="1419" w:y="6408" w:anchorLock="1"/>
        <w:textAlignment w:val="bottom"/>
        <w:rPr>
          <w:rFonts w:eastAsia="黑体"/>
          <w:szCs w:val="28"/>
        </w:rPr>
      </w:pPr>
    </w:p>
    <w:p w14:paraId="519C34C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1"/>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3B127839">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2E53B94">
      <w:pPr>
        <w:pStyle w:val="126"/>
        <w:framePr w:w="9639" w:h="6974" w:hRule="exact" w:wrap="around" w:vAnchor="page" w:hAnchor="page" w:x="1419" w:y="6408" w:anchorLock="1"/>
        <w:spacing w:beforeLines="300"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6E2B7CB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3684C53A">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025BDA8F">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山东省企业联合会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6887DF1B">
      <w:pPr>
        <w:rPr>
          <w:rFonts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ascii="宋体" w:hAnsi="宋体"/>
          <w:sz w:val="28"/>
          <w:szCs w:val="28"/>
        </w:rPr>
        <w:pict>
          <v:line id="直接连接符 5" o:spid="_x0000_s2050" o:spt="20" style="position:absolute;left:0pt;margin-left:70.85pt;margin-top:728.6pt;height:0pt;width:481.9pt;mso-position-horizontal-relative:page;mso-position-vertic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v:path arrowok="t"/>
            <v:fill focussize="0,0"/>
            <v:stroke/>
            <v:imagedata o:title=""/>
            <o:lock v:ext="edit"/>
            <w10:anchorlock/>
          </v:line>
        </w:pict>
      </w:r>
    </w:p>
    <w:p w14:paraId="5B4908DA">
      <w:pPr>
        <w:pStyle w:val="92"/>
        <w:spacing w:after="360"/>
        <w:rPr>
          <w:rFonts w:hint="eastAsia"/>
        </w:rPr>
      </w:pPr>
      <w:bookmarkStart w:id="21" w:name="BookMark1"/>
      <w:bookmarkStart w:id="22" w:name="_Toc227158273"/>
      <w:bookmarkStart w:id="23" w:name="_Toc228435920"/>
      <w:bookmarkStart w:id="24" w:name="_Toc228436113"/>
      <w:r>
        <w:rPr>
          <w:rFonts w:hint="eastAsia"/>
          <w:spacing w:val="320"/>
        </w:rPr>
        <w:t>目</w:t>
      </w:r>
      <w:r>
        <w:rPr>
          <w:rFonts w:hint="eastAsia"/>
        </w:rPr>
        <w:t>次</w:t>
      </w:r>
    </w:p>
    <w:p w14:paraId="75D49DA4">
      <w:pPr>
        <w:pStyle w:val="20"/>
        <w:tabs>
          <w:tab w:val="right" w:leader="dot" w:pos="9344"/>
        </w:tabs>
        <w:rPr>
          <w:rFonts w:asciiTheme="minorHAnsi" w:hAnsiTheme="minorHAnsi" w:eastAsiaTheme="minorEastAsia" w:cstheme="minorBidi"/>
          <w:szCs w:val="22"/>
        </w:rPr>
      </w:pPr>
      <w:r>
        <w:fldChar w:fldCharType="begin"/>
      </w:r>
      <w:r>
        <w:instrText xml:space="preserve"> </w:instrText>
      </w:r>
      <w:r>
        <w:rPr>
          <w:rFonts w:hint="eastAsia"/>
        </w:rPr>
        <w:instrText xml:space="preserve">TOC \o "1-1" \h \t "标准文件_一级条标题,2,标准文件_附录一级条标题,2,"</w:instrText>
      </w:r>
      <w:r>
        <w:instrText xml:space="preserve"> </w:instrText>
      </w:r>
      <w:r>
        <w:fldChar w:fldCharType="separate"/>
      </w:r>
      <w:r>
        <w:fldChar w:fldCharType="begin"/>
      </w:r>
      <w:r>
        <w:instrText xml:space="preserve"> HYPERLINK \l "_Toc228436525" </w:instrText>
      </w:r>
      <w:r>
        <w:fldChar w:fldCharType="separate"/>
      </w:r>
      <w:r>
        <w:rPr>
          <w:rStyle w:val="33"/>
          <w:rFonts w:hint="eastAsia"/>
        </w:rPr>
        <w:t>前言</w:t>
      </w:r>
      <w:r>
        <w:tab/>
      </w:r>
      <w:r>
        <w:fldChar w:fldCharType="begin"/>
      </w:r>
      <w:r>
        <w:instrText xml:space="preserve"> PAGEREF _Toc228436525 \h </w:instrText>
      </w:r>
      <w:r>
        <w:fldChar w:fldCharType="separate"/>
      </w:r>
      <w:r>
        <w:t>II</w:t>
      </w:r>
      <w:r>
        <w:fldChar w:fldCharType="end"/>
      </w:r>
      <w:r>
        <w:fldChar w:fldCharType="end"/>
      </w:r>
    </w:p>
    <w:p w14:paraId="0F855AFE">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"_Toc228436526" </w:instrText>
      </w:r>
      <w:r>
        <w:fldChar w:fldCharType="separate"/>
      </w:r>
      <w:r>
        <w:rPr>
          <w:rStyle w:val="33"/>
        </w:rPr>
        <w:t xml:space="preserve">1 </w:t>
      </w:r>
      <w:r>
        <w:rPr>
          <w:rStyle w:val="33"/>
          <w:rFonts w:hint="eastAsia"/>
        </w:rPr>
        <w:t xml:space="preserve"> 范围</w:t>
      </w:r>
      <w:r>
        <w:tab/>
      </w:r>
      <w:r>
        <w:fldChar w:fldCharType="begin"/>
      </w:r>
      <w:r>
        <w:instrText xml:space="preserve"> PAGEREF _Toc228436526 \h </w:instrText>
      </w:r>
      <w:r>
        <w:fldChar w:fldCharType="separate"/>
      </w:r>
      <w:r>
        <w:t>1</w:t>
      </w:r>
      <w:r>
        <w:fldChar w:fldCharType="end"/>
      </w:r>
      <w:r>
        <w:fldChar w:fldCharType="end"/>
      </w:r>
    </w:p>
    <w:p w14:paraId="5FF0E20A">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"_Toc228436527" </w:instrText>
      </w:r>
      <w:r>
        <w:fldChar w:fldCharType="separate"/>
      </w:r>
      <w:r>
        <w:rPr>
          <w:rStyle w:val="33"/>
        </w:rPr>
        <w:t xml:space="preserve">2 </w:t>
      </w:r>
      <w:r>
        <w:rPr>
          <w:rStyle w:val="33"/>
          <w:rFonts w:hint="eastAsia"/>
        </w:rPr>
        <w:t xml:space="preserve"> 规范性引用文件</w:t>
      </w:r>
      <w:r>
        <w:tab/>
      </w:r>
      <w:r>
        <w:fldChar w:fldCharType="begin"/>
      </w:r>
      <w:r>
        <w:instrText xml:space="preserve"> PAGEREF _Toc228436527 \h </w:instrText>
      </w:r>
      <w:r>
        <w:fldChar w:fldCharType="separate"/>
      </w:r>
      <w:r>
        <w:t>1</w:t>
      </w:r>
      <w:r>
        <w:fldChar w:fldCharType="end"/>
      </w:r>
      <w:r>
        <w:fldChar w:fldCharType="end"/>
      </w:r>
    </w:p>
    <w:p w14:paraId="0C9B57B3">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"_Toc228436528" </w:instrText>
      </w:r>
      <w:r>
        <w:fldChar w:fldCharType="separate"/>
      </w:r>
      <w:r>
        <w:rPr>
          <w:rStyle w:val="33"/>
        </w:rPr>
        <w:t xml:space="preserve">3 </w:t>
      </w:r>
      <w:r>
        <w:rPr>
          <w:rStyle w:val="33"/>
          <w:rFonts w:hint="eastAsia"/>
        </w:rPr>
        <w:t xml:space="preserve"> 术语和定义</w:t>
      </w:r>
      <w:r>
        <w:tab/>
      </w:r>
      <w:r>
        <w:fldChar w:fldCharType="begin"/>
      </w:r>
      <w:r>
        <w:instrText xml:space="preserve"> PAGEREF _Toc228436528 \h </w:instrText>
      </w:r>
      <w:r>
        <w:fldChar w:fldCharType="separate"/>
      </w:r>
      <w:r>
        <w:t>1</w:t>
      </w:r>
      <w:r>
        <w:fldChar w:fldCharType="end"/>
      </w:r>
      <w:r>
        <w:fldChar w:fldCharType="end"/>
      </w:r>
    </w:p>
    <w:p w14:paraId="0EC0CFA5">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"_Toc228436529" </w:instrText>
      </w:r>
      <w:r>
        <w:fldChar w:fldCharType="separate"/>
      </w:r>
      <w:r>
        <w:rPr>
          <w:rStyle w:val="33"/>
        </w:rPr>
        <w:t xml:space="preserve">4 </w:t>
      </w:r>
      <w:r>
        <w:rPr>
          <w:rStyle w:val="33"/>
          <w:rFonts w:hint="eastAsia"/>
          <w:shd w:val="clear" w:color="auto" w:fill="FFFFFF"/>
        </w:rPr>
        <w:t xml:space="preserve"> 总体原则</w:t>
      </w:r>
      <w:r>
        <w:tab/>
      </w:r>
      <w:r>
        <w:fldChar w:fldCharType="begin"/>
      </w:r>
      <w:r>
        <w:instrText xml:space="preserve"> PAGEREF _Toc228436529 \h </w:instrText>
      </w:r>
      <w:r>
        <w:fldChar w:fldCharType="separate"/>
      </w:r>
      <w:r>
        <w:t>1</w:t>
      </w:r>
      <w:r>
        <w:fldChar w:fldCharType="end"/>
      </w:r>
      <w:r>
        <w:fldChar w:fldCharType="end"/>
      </w:r>
    </w:p>
    <w:p w14:paraId="78A7D0C1">
      <w:pPr>
        <w:pStyle w:val="25"/>
        <w:rPr>
          <w:rFonts w:asciiTheme="minorHAnsi" w:hAnsiTheme="minorHAnsi" w:eastAsiaTheme="minorEastAsia" w:cstheme="minorBidi"/>
          <w:szCs w:val="22"/>
        </w:rPr>
      </w:pPr>
      <w:r>
        <w:fldChar w:fldCharType="begin"/>
      </w:r>
      <w:r>
        <w:instrText xml:space="preserve"> HYPERLINK \l "_Toc228436530" </w:instrText>
      </w:r>
      <w:r>
        <w:fldChar w:fldCharType="separate"/>
      </w:r>
      <w:r>
        <w:rPr>
          <w:rStyle w:val="33"/>
        </w:rPr>
        <w:t xml:space="preserve">4.1 </w:t>
      </w:r>
      <w:r>
        <w:rPr>
          <w:rStyle w:val="33"/>
          <w:rFonts w:hint="eastAsia"/>
          <w:shd w:val="clear" w:color="auto" w:fill="FFFFFF"/>
        </w:rPr>
        <w:t xml:space="preserve"> 责任主体原则</w:t>
      </w:r>
      <w:r>
        <w:tab/>
      </w:r>
      <w:r>
        <w:fldChar w:fldCharType="begin"/>
      </w:r>
      <w:r>
        <w:instrText xml:space="preserve"> PAGEREF _Toc228436530 \h </w:instrText>
      </w:r>
      <w:r>
        <w:fldChar w:fldCharType="separate"/>
      </w:r>
      <w:r>
        <w:t>1</w:t>
      </w:r>
      <w:r>
        <w:fldChar w:fldCharType="end"/>
      </w:r>
      <w:r>
        <w:fldChar w:fldCharType="end"/>
      </w:r>
    </w:p>
    <w:p w14:paraId="1774621B">
      <w:pPr>
        <w:pStyle w:val="25"/>
        <w:rPr>
          <w:rFonts w:asciiTheme="minorHAnsi" w:hAnsiTheme="minorHAnsi" w:eastAsiaTheme="minorEastAsia" w:cstheme="minorBidi"/>
          <w:szCs w:val="22"/>
        </w:rPr>
      </w:pPr>
      <w:r>
        <w:fldChar w:fldCharType="begin"/>
      </w:r>
      <w:r>
        <w:instrText xml:space="preserve"> HYPERLINK \l "_Toc228436531" </w:instrText>
      </w:r>
      <w:r>
        <w:fldChar w:fldCharType="separate"/>
      </w:r>
      <w:r>
        <w:rPr>
          <w:rStyle w:val="33"/>
        </w:rPr>
        <w:t xml:space="preserve">4.2 </w:t>
      </w:r>
      <w:r>
        <w:rPr>
          <w:rStyle w:val="33"/>
          <w:rFonts w:hint="eastAsia"/>
          <w:shd w:val="clear" w:color="auto" w:fill="FFFFFF"/>
        </w:rPr>
        <w:t xml:space="preserve"> 诚信一致原则</w:t>
      </w:r>
      <w:r>
        <w:tab/>
      </w:r>
      <w:r>
        <w:fldChar w:fldCharType="begin"/>
      </w:r>
      <w:r>
        <w:instrText xml:space="preserve"> PAGEREF _Toc228436531 \h </w:instrText>
      </w:r>
      <w:r>
        <w:fldChar w:fldCharType="separate"/>
      </w:r>
      <w:r>
        <w:t>1</w:t>
      </w:r>
      <w:r>
        <w:fldChar w:fldCharType="end"/>
      </w:r>
      <w:r>
        <w:fldChar w:fldCharType="end"/>
      </w:r>
    </w:p>
    <w:p w14:paraId="698F8495">
      <w:pPr>
        <w:pStyle w:val="25"/>
        <w:rPr>
          <w:rFonts w:asciiTheme="minorHAnsi" w:hAnsiTheme="minorHAnsi" w:eastAsiaTheme="minorEastAsia" w:cstheme="minorBidi"/>
          <w:szCs w:val="22"/>
        </w:rPr>
      </w:pPr>
      <w:r>
        <w:fldChar w:fldCharType="begin"/>
      </w:r>
      <w:r>
        <w:instrText xml:space="preserve"> HYPERLINK \l "_Toc228436532" </w:instrText>
      </w:r>
      <w:r>
        <w:fldChar w:fldCharType="separate"/>
      </w:r>
      <w:r>
        <w:rPr>
          <w:rStyle w:val="33"/>
        </w:rPr>
        <w:t xml:space="preserve">4.3 </w:t>
      </w:r>
      <w:r>
        <w:rPr>
          <w:rStyle w:val="33"/>
          <w:rFonts w:hint="eastAsia"/>
          <w:shd w:val="clear" w:color="auto" w:fill="FFFFFF"/>
        </w:rPr>
        <w:t xml:space="preserve"> 可追溯原则</w:t>
      </w:r>
      <w:r>
        <w:tab/>
      </w:r>
      <w:r>
        <w:fldChar w:fldCharType="begin"/>
      </w:r>
      <w:r>
        <w:instrText xml:space="preserve"> PAGEREF _Toc228436532 \h </w:instrText>
      </w:r>
      <w:r>
        <w:fldChar w:fldCharType="separate"/>
      </w:r>
      <w:r>
        <w:t>1</w:t>
      </w:r>
      <w:r>
        <w:fldChar w:fldCharType="end"/>
      </w:r>
      <w:r>
        <w:fldChar w:fldCharType="end"/>
      </w:r>
    </w:p>
    <w:p w14:paraId="4E80E969">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"_Toc228436533" </w:instrText>
      </w:r>
      <w:r>
        <w:fldChar w:fldCharType="separate"/>
      </w:r>
      <w:r>
        <w:rPr>
          <w:rStyle w:val="33"/>
        </w:rPr>
        <w:t xml:space="preserve">5 </w:t>
      </w:r>
      <w:r>
        <w:rPr>
          <w:rStyle w:val="33"/>
          <w:rFonts w:hint="eastAsia"/>
          <w:shd w:val="clear" w:color="auto" w:fill="FFFFFF"/>
        </w:rPr>
        <w:t xml:space="preserve"> 总体要求</w:t>
      </w:r>
      <w:r>
        <w:tab/>
      </w:r>
      <w:r>
        <w:fldChar w:fldCharType="begin"/>
      </w:r>
      <w:r>
        <w:instrText xml:space="preserve"> PAGEREF _Toc228436533 \h </w:instrText>
      </w:r>
      <w:r>
        <w:fldChar w:fldCharType="separate"/>
      </w:r>
      <w:r>
        <w:t>2</w:t>
      </w:r>
      <w:r>
        <w:fldChar w:fldCharType="end"/>
      </w:r>
      <w:r>
        <w:fldChar w:fldCharType="end"/>
      </w:r>
    </w:p>
    <w:p w14:paraId="1FEBD916">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"_Toc228436534" </w:instrText>
      </w:r>
      <w:r>
        <w:fldChar w:fldCharType="separate"/>
      </w:r>
      <w:r>
        <w:rPr>
          <w:rStyle w:val="33"/>
        </w:rPr>
        <w:t xml:space="preserve">6 </w:t>
      </w:r>
      <w:r>
        <w:rPr>
          <w:rStyle w:val="33"/>
          <w:rFonts w:hint="eastAsia"/>
          <w:shd w:val="clear" w:color="auto" w:fill="FFFFFF"/>
        </w:rPr>
        <w:t xml:space="preserve"> 餐品信息一致性</w:t>
      </w:r>
      <w:r>
        <w:tab/>
      </w:r>
      <w:r>
        <w:fldChar w:fldCharType="begin"/>
      </w:r>
      <w:r>
        <w:instrText xml:space="preserve"> PAGEREF _Toc228436534 \h </w:instrText>
      </w:r>
      <w:r>
        <w:fldChar w:fldCharType="separate"/>
      </w:r>
      <w:r>
        <w:t>2</w:t>
      </w:r>
      <w:r>
        <w:fldChar w:fldCharType="end"/>
      </w:r>
      <w:r>
        <w:fldChar w:fldCharType="end"/>
      </w:r>
    </w:p>
    <w:p w14:paraId="4E63D0E1">
      <w:pPr>
        <w:pStyle w:val="25"/>
        <w:rPr>
          <w:rFonts w:asciiTheme="minorHAnsi" w:hAnsiTheme="minorHAnsi" w:eastAsiaTheme="minorEastAsia" w:cstheme="minorBidi"/>
          <w:szCs w:val="22"/>
        </w:rPr>
      </w:pPr>
      <w:r>
        <w:fldChar w:fldCharType="begin"/>
      </w:r>
      <w:r>
        <w:instrText xml:space="preserve"> HYPERLINK \l "_Toc228436535" </w:instrText>
      </w:r>
      <w:r>
        <w:fldChar w:fldCharType="separate"/>
      </w:r>
      <w:r>
        <w:rPr>
          <w:rStyle w:val="33"/>
        </w:rPr>
        <w:t xml:space="preserve">6.1 </w:t>
      </w:r>
      <w:r>
        <w:rPr>
          <w:rStyle w:val="33"/>
          <w:rFonts w:hint="eastAsia"/>
          <w:shd w:val="clear" w:color="auto" w:fill="FFFFFF"/>
        </w:rPr>
        <w:t xml:space="preserve"> 菜单与描述</w:t>
      </w:r>
      <w:r>
        <w:tab/>
      </w:r>
      <w:r>
        <w:fldChar w:fldCharType="begin"/>
      </w:r>
      <w:r>
        <w:instrText xml:space="preserve"> PAGEREF _Toc228436535 \h </w:instrText>
      </w:r>
      <w:r>
        <w:fldChar w:fldCharType="separate"/>
      </w:r>
      <w:r>
        <w:t>2</w:t>
      </w:r>
      <w:r>
        <w:fldChar w:fldCharType="end"/>
      </w:r>
      <w:r>
        <w:fldChar w:fldCharType="end"/>
      </w:r>
    </w:p>
    <w:p w14:paraId="785455A7">
      <w:pPr>
        <w:pStyle w:val="25"/>
        <w:rPr>
          <w:rFonts w:asciiTheme="minorHAnsi" w:hAnsiTheme="minorHAnsi" w:eastAsiaTheme="minorEastAsia" w:cstheme="minorBidi"/>
          <w:szCs w:val="22"/>
        </w:rPr>
      </w:pPr>
      <w:r>
        <w:fldChar w:fldCharType="begin"/>
      </w:r>
      <w:r>
        <w:instrText xml:space="preserve"> HYPERLINK \l "_Toc228436536" </w:instrText>
      </w:r>
      <w:r>
        <w:fldChar w:fldCharType="separate"/>
      </w:r>
      <w:r>
        <w:rPr>
          <w:rStyle w:val="33"/>
        </w:rPr>
        <w:t xml:space="preserve">6.2 </w:t>
      </w:r>
      <w:r>
        <w:rPr>
          <w:rStyle w:val="33"/>
          <w:rFonts w:hint="eastAsia"/>
          <w:shd w:val="clear" w:color="auto" w:fill="FFFFFF"/>
        </w:rPr>
        <w:t xml:space="preserve"> 分量与尺寸</w:t>
      </w:r>
      <w:r>
        <w:tab/>
      </w:r>
      <w:r>
        <w:fldChar w:fldCharType="begin"/>
      </w:r>
      <w:r>
        <w:instrText xml:space="preserve"> PAGEREF _Toc228436536 \h </w:instrText>
      </w:r>
      <w:r>
        <w:fldChar w:fldCharType="separate"/>
      </w:r>
      <w:r>
        <w:t>2</w:t>
      </w:r>
      <w:r>
        <w:fldChar w:fldCharType="end"/>
      </w:r>
      <w:r>
        <w:fldChar w:fldCharType="end"/>
      </w:r>
    </w:p>
    <w:p w14:paraId="7E503FE2">
      <w:pPr>
        <w:pStyle w:val="25"/>
        <w:rPr>
          <w:rFonts w:asciiTheme="minorHAnsi" w:hAnsiTheme="minorHAnsi" w:eastAsiaTheme="minorEastAsia" w:cstheme="minorBidi"/>
          <w:szCs w:val="22"/>
        </w:rPr>
      </w:pPr>
      <w:r>
        <w:fldChar w:fldCharType="begin"/>
      </w:r>
      <w:r>
        <w:instrText xml:space="preserve"> HYPERLINK \l "_Toc228436537" </w:instrText>
      </w:r>
      <w:r>
        <w:fldChar w:fldCharType="separate"/>
      </w:r>
      <w:r>
        <w:rPr>
          <w:rStyle w:val="33"/>
        </w:rPr>
        <w:t xml:space="preserve">6.3 </w:t>
      </w:r>
      <w:r>
        <w:rPr>
          <w:rStyle w:val="33"/>
          <w:rFonts w:hint="eastAsia"/>
          <w:shd w:val="clear" w:color="auto" w:fill="FFFFFF"/>
        </w:rPr>
        <w:t xml:space="preserve"> 特殊说明</w:t>
      </w:r>
      <w:r>
        <w:tab/>
      </w:r>
      <w:r>
        <w:fldChar w:fldCharType="begin"/>
      </w:r>
      <w:r>
        <w:instrText xml:space="preserve"> PAGEREF _Toc228436537 \h </w:instrText>
      </w:r>
      <w:r>
        <w:fldChar w:fldCharType="separate"/>
      </w:r>
      <w:r>
        <w:t>2</w:t>
      </w:r>
      <w:r>
        <w:fldChar w:fldCharType="end"/>
      </w:r>
      <w:r>
        <w:fldChar w:fldCharType="end"/>
      </w:r>
    </w:p>
    <w:p w14:paraId="6934E7FC">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"_Toc228436538" </w:instrText>
      </w:r>
      <w:r>
        <w:fldChar w:fldCharType="separate"/>
      </w:r>
      <w:r>
        <w:rPr>
          <w:rStyle w:val="33"/>
        </w:rPr>
        <w:t xml:space="preserve">7 </w:t>
      </w:r>
      <w:r>
        <w:rPr>
          <w:rStyle w:val="33"/>
          <w:rFonts w:hint="eastAsia"/>
          <w:shd w:val="clear" w:color="auto" w:fill="FFFFFF"/>
        </w:rPr>
        <w:t xml:space="preserve"> 加工过程一致性</w:t>
      </w:r>
      <w:r>
        <w:tab/>
      </w:r>
      <w:r>
        <w:fldChar w:fldCharType="begin"/>
      </w:r>
      <w:r>
        <w:instrText xml:space="preserve"> PAGEREF _Toc228436538 \h </w:instrText>
      </w:r>
      <w:r>
        <w:fldChar w:fldCharType="separate"/>
      </w:r>
      <w:r>
        <w:t>2</w:t>
      </w:r>
      <w:r>
        <w:fldChar w:fldCharType="end"/>
      </w:r>
      <w:r>
        <w:fldChar w:fldCharType="end"/>
      </w:r>
    </w:p>
    <w:p w14:paraId="180E6C6B">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"_Toc228436539" </w:instrText>
      </w:r>
      <w:r>
        <w:fldChar w:fldCharType="separate"/>
      </w:r>
      <w:r>
        <w:rPr>
          <w:rStyle w:val="33"/>
        </w:rPr>
        <w:t xml:space="preserve">8 </w:t>
      </w:r>
      <w:r>
        <w:rPr>
          <w:rStyle w:val="33"/>
          <w:rFonts w:hint="eastAsia"/>
          <w:shd w:val="clear" w:color="auto" w:fill="FFFFFF"/>
        </w:rPr>
        <w:t xml:space="preserve"> 质量与分量一致性</w:t>
      </w:r>
      <w:r>
        <w:tab/>
      </w:r>
      <w:r>
        <w:fldChar w:fldCharType="begin"/>
      </w:r>
      <w:r>
        <w:instrText xml:space="preserve"> PAGEREF _Toc228436539 \h </w:instrText>
      </w:r>
      <w:r>
        <w:fldChar w:fldCharType="separate"/>
      </w:r>
      <w:r>
        <w:t>2</w:t>
      </w:r>
      <w:r>
        <w:fldChar w:fldCharType="end"/>
      </w:r>
      <w:r>
        <w:fldChar w:fldCharType="end"/>
      </w:r>
    </w:p>
    <w:p w14:paraId="182BB6BA">
      <w:pPr>
        <w:pStyle w:val="25"/>
        <w:rPr>
          <w:rFonts w:asciiTheme="minorHAnsi" w:hAnsiTheme="minorHAnsi" w:eastAsiaTheme="minorEastAsia" w:cstheme="minorBidi"/>
          <w:szCs w:val="22"/>
        </w:rPr>
      </w:pPr>
      <w:r>
        <w:fldChar w:fldCharType="begin"/>
      </w:r>
      <w:r>
        <w:instrText xml:space="preserve"> HYPERLINK \l "_Toc228436540" </w:instrText>
      </w:r>
      <w:r>
        <w:fldChar w:fldCharType="separate"/>
      </w:r>
      <w:r>
        <w:rPr>
          <w:rStyle w:val="33"/>
        </w:rPr>
        <w:t xml:space="preserve">8.1 </w:t>
      </w:r>
      <w:r>
        <w:rPr>
          <w:rStyle w:val="33"/>
          <w:rFonts w:hint="eastAsia"/>
          <w:shd w:val="clear" w:color="auto" w:fill="FFFFFF"/>
        </w:rPr>
        <w:t xml:space="preserve"> 关键主料重量偏差</w:t>
      </w:r>
      <w:r>
        <w:tab/>
      </w:r>
      <w:r>
        <w:fldChar w:fldCharType="begin"/>
      </w:r>
      <w:r>
        <w:instrText xml:space="preserve"> PAGEREF _Toc228436540 \h </w:instrText>
      </w:r>
      <w:r>
        <w:fldChar w:fldCharType="separate"/>
      </w:r>
      <w:r>
        <w:t>3</w:t>
      </w:r>
      <w:r>
        <w:fldChar w:fldCharType="end"/>
      </w:r>
      <w:r>
        <w:fldChar w:fldCharType="end"/>
      </w:r>
    </w:p>
    <w:p w14:paraId="03DB896F">
      <w:pPr>
        <w:pStyle w:val="25"/>
        <w:rPr>
          <w:rFonts w:asciiTheme="minorHAnsi" w:hAnsiTheme="minorHAnsi" w:eastAsiaTheme="minorEastAsia" w:cstheme="minorBidi"/>
          <w:szCs w:val="22"/>
        </w:rPr>
      </w:pPr>
      <w:r>
        <w:fldChar w:fldCharType="begin"/>
      </w:r>
      <w:r>
        <w:instrText xml:space="preserve"> HYPERLINK \l "_Toc228436541" </w:instrText>
      </w:r>
      <w:r>
        <w:fldChar w:fldCharType="separate"/>
      </w:r>
      <w:r>
        <w:rPr>
          <w:rStyle w:val="33"/>
        </w:rPr>
        <w:t xml:space="preserve">8.2 </w:t>
      </w:r>
      <w:r>
        <w:rPr>
          <w:rStyle w:val="33"/>
          <w:rFonts w:hint="eastAsia"/>
          <w:shd w:val="clear" w:color="auto" w:fill="FFFFFF"/>
        </w:rPr>
        <w:t xml:space="preserve"> 感官一致性</w:t>
      </w:r>
      <w:r>
        <w:tab/>
      </w:r>
      <w:r>
        <w:fldChar w:fldCharType="begin"/>
      </w:r>
      <w:r>
        <w:instrText xml:space="preserve"> PAGEREF _Toc228436541 \h </w:instrText>
      </w:r>
      <w:r>
        <w:fldChar w:fldCharType="separate"/>
      </w:r>
      <w:r>
        <w:t>3</w:t>
      </w:r>
      <w:r>
        <w:fldChar w:fldCharType="end"/>
      </w:r>
      <w:r>
        <w:fldChar w:fldCharType="end"/>
      </w:r>
    </w:p>
    <w:p w14:paraId="4AC3B0DE">
      <w:pPr>
        <w:pStyle w:val="25"/>
        <w:rPr>
          <w:rFonts w:asciiTheme="minorHAnsi" w:hAnsiTheme="minorHAnsi" w:eastAsiaTheme="minorEastAsia" w:cstheme="minorBidi"/>
          <w:szCs w:val="22"/>
        </w:rPr>
      </w:pPr>
      <w:r>
        <w:fldChar w:fldCharType="begin"/>
      </w:r>
      <w:r>
        <w:instrText xml:space="preserve"> HYPERLINK \l "_Toc228436542" </w:instrText>
      </w:r>
      <w:r>
        <w:fldChar w:fldCharType="separate"/>
      </w:r>
      <w:r>
        <w:rPr>
          <w:rStyle w:val="33"/>
        </w:rPr>
        <w:t xml:space="preserve">8.3 </w:t>
      </w:r>
      <w:r>
        <w:rPr>
          <w:rStyle w:val="33"/>
          <w:rFonts w:hint="eastAsia"/>
          <w:shd w:val="clear" w:color="auto" w:fill="FFFFFF"/>
        </w:rPr>
        <w:t xml:space="preserve"> 温度一致性</w:t>
      </w:r>
      <w:r>
        <w:tab/>
      </w:r>
      <w:r>
        <w:fldChar w:fldCharType="begin"/>
      </w:r>
      <w:r>
        <w:instrText xml:space="preserve"> PAGEREF _Toc228436542 \h </w:instrText>
      </w:r>
      <w:r>
        <w:fldChar w:fldCharType="separate"/>
      </w:r>
      <w:r>
        <w:t>3</w:t>
      </w:r>
      <w:r>
        <w:fldChar w:fldCharType="end"/>
      </w:r>
      <w:r>
        <w:fldChar w:fldCharType="end"/>
      </w:r>
    </w:p>
    <w:p w14:paraId="6091F3FD">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"_Toc228436543" </w:instrText>
      </w:r>
      <w:r>
        <w:fldChar w:fldCharType="separate"/>
      </w:r>
      <w:r>
        <w:rPr>
          <w:rStyle w:val="33"/>
        </w:rPr>
        <w:t xml:space="preserve">9 </w:t>
      </w:r>
      <w:r>
        <w:rPr>
          <w:rStyle w:val="33"/>
          <w:rFonts w:hint="eastAsia"/>
          <w:shd w:val="clear" w:color="auto" w:fill="FFFFFF"/>
        </w:rPr>
        <w:t xml:space="preserve"> 包装材料一致性</w:t>
      </w:r>
      <w:r>
        <w:tab/>
      </w:r>
      <w:r>
        <w:fldChar w:fldCharType="begin"/>
      </w:r>
      <w:r>
        <w:instrText xml:space="preserve"> PAGEREF _Toc228436543 \h </w:instrText>
      </w:r>
      <w:r>
        <w:fldChar w:fldCharType="separate"/>
      </w:r>
      <w:r>
        <w:t>3</w:t>
      </w:r>
      <w:r>
        <w:fldChar w:fldCharType="end"/>
      </w:r>
      <w:r>
        <w:fldChar w:fldCharType="end"/>
      </w:r>
    </w:p>
    <w:p w14:paraId="4E252BBA">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"_Toc228436544" </w:instrText>
      </w:r>
      <w:r>
        <w:fldChar w:fldCharType="separate"/>
      </w:r>
      <w:r>
        <w:rPr>
          <w:rStyle w:val="33"/>
        </w:rPr>
        <w:t xml:space="preserve">10 </w:t>
      </w:r>
      <w:r>
        <w:rPr>
          <w:rStyle w:val="33"/>
          <w:rFonts w:hint="eastAsia"/>
          <w:shd w:val="clear" w:color="auto" w:fill="FFFFFF"/>
        </w:rPr>
        <w:t xml:space="preserve"> 监督与评价</w:t>
      </w:r>
      <w:r>
        <w:tab/>
      </w:r>
      <w:r>
        <w:fldChar w:fldCharType="begin"/>
      </w:r>
      <w:r>
        <w:instrText xml:space="preserve"> PAGEREF _Toc228436544 \h </w:instrText>
      </w:r>
      <w:r>
        <w:fldChar w:fldCharType="separate"/>
      </w:r>
      <w:r>
        <w:t>3</w:t>
      </w:r>
      <w:r>
        <w:fldChar w:fldCharType="end"/>
      </w:r>
      <w:r>
        <w:fldChar w:fldCharType="end"/>
      </w:r>
    </w:p>
    <w:p w14:paraId="48511A98">
      <w:pPr>
        <w:pStyle w:val="25"/>
        <w:rPr>
          <w:rFonts w:asciiTheme="minorHAnsi" w:hAnsiTheme="minorHAnsi" w:eastAsiaTheme="minorEastAsia" w:cstheme="minorBidi"/>
          <w:szCs w:val="22"/>
        </w:rPr>
      </w:pPr>
      <w:r>
        <w:fldChar w:fldCharType="begin"/>
      </w:r>
      <w:r>
        <w:instrText xml:space="preserve"> HYPERLINK \l "_Toc228436545" </w:instrText>
      </w:r>
      <w:r>
        <w:fldChar w:fldCharType="separate"/>
      </w:r>
      <w:r>
        <w:rPr>
          <w:rStyle w:val="33"/>
        </w:rPr>
        <w:t xml:space="preserve">10.1 </w:t>
      </w:r>
      <w:r>
        <w:rPr>
          <w:rStyle w:val="33"/>
          <w:rFonts w:hint="eastAsia"/>
          <w:shd w:val="clear" w:color="auto" w:fill="FFFFFF"/>
        </w:rPr>
        <w:t xml:space="preserve"> 平台监督</w:t>
      </w:r>
      <w:r>
        <w:tab/>
      </w:r>
      <w:r>
        <w:fldChar w:fldCharType="begin"/>
      </w:r>
      <w:r>
        <w:instrText xml:space="preserve"> PAGEREF _Toc228436545 \h </w:instrText>
      </w:r>
      <w:r>
        <w:fldChar w:fldCharType="separate"/>
      </w:r>
      <w:r>
        <w:t>3</w:t>
      </w:r>
      <w:r>
        <w:fldChar w:fldCharType="end"/>
      </w:r>
      <w:r>
        <w:fldChar w:fldCharType="end"/>
      </w:r>
    </w:p>
    <w:p w14:paraId="7BCABACF">
      <w:pPr>
        <w:pStyle w:val="25"/>
        <w:rPr>
          <w:rFonts w:asciiTheme="minorHAnsi" w:hAnsiTheme="minorHAnsi" w:eastAsiaTheme="minorEastAsia" w:cstheme="minorBidi"/>
          <w:szCs w:val="22"/>
        </w:rPr>
      </w:pPr>
      <w:r>
        <w:fldChar w:fldCharType="begin"/>
      </w:r>
      <w:r>
        <w:instrText xml:space="preserve"> HYPERLINK \l "_Toc228436546" </w:instrText>
      </w:r>
      <w:r>
        <w:fldChar w:fldCharType="separate"/>
      </w:r>
      <w:r>
        <w:rPr>
          <w:rStyle w:val="33"/>
        </w:rPr>
        <w:t xml:space="preserve">10.2 </w:t>
      </w:r>
      <w:r>
        <w:rPr>
          <w:rStyle w:val="33"/>
          <w:rFonts w:hint="eastAsia"/>
          <w:shd w:val="clear" w:color="auto" w:fill="FFFFFF"/>
        </w:rPr>
        <w:t xml:space="preserve"> 第三方评价</w:t>
      </w:r>
      <w:r>
        <w:tab/>
      </w:r>
      <w:r>
        <w:fldChar w:fldCharType="begin"/>
      </w:r>
      <w:r>
        <w:instrText xml:space="preserve"> PAGEREF _Toc228436546 \h </w:instrText>
      </w:r>
      <w:r>
        <w:fldChar w:fldCharType="separate"/>
      </w:r>
      <w:r>
        <w:t>3</w:t>
      </w:r>
      <w:r>
        <w:fldChar w:fldCharType="end"/>
      </w:r>
      <w:r>
        <w:fldChar w:fldCharType="end"/>
      </w:r>
    </w:p>
    <w:p w14:paraId="25E01A03">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"_Toc228436547" </w:instrText>
      </w:r>
      <w:r>
        <w:fldChar w:fldCharType="separate"/>
      </w:r>
      <w:r>
        <w:rPr>
          <w:rStyle w:val="33"/>
          <w:rFonts w:hint="eastAsia"/>
        </w:rPr>
        <w:t>附录A（资料性）</w:t>
      </w:r>
      <w:r>
        <w:rPr>
          <w:rStyle w:val="33"/>
        </w:rPr>
        <w:t xml:space="preserve">  </w:t>
      </w:r>
      <w:r>
        <w:rPr>
          <w:rStyle w:val="33"/>
          <w:rFonts w:hint="eastAsia"/>
        </w:rPr>
        <w:t>网络餐饮经营场所布局示意图</w:t>
      </w:r>
      <w:r>
        <w:tab/>
      </w:r>
      <w:r>
        <w:fldChar w:fldCharType="begin"/>
      </w:r>
      <w:r>
        <w:instrText xml:space="preserve"> PAGEREF _Toc228436547 \h </w:instrText>
      </w:r>
      <w:r>
        <w:fldChar w:fldCharType="separate"/>
      </w:r>
      <w:r>
        <w:t>4</w:t>
      </w:r>
      <w:r>
        <w:fldChar w:fldCharType="end"/>
      </w:r>
      <w:r>
        <w:fldChar w:fldCharType="end"/>
      </w:r>
    </w:p>
    <w:p w14:paraId="1F9DD179">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"_Toc228436548" </w:instrText>
      </w:r>
      <w:r>
        <w:fldChar w:fldCharType="separate"/>
      </w:r>
      <w:r>
        <w:rPr>
          <w:rStyle w:val="33"/>
          <w:rFonts w:hint="eastAsia"/>
        </w:rPr>
        <w:t>附录B（规范性）</w:t>
      </w:r>
      <w:r>
        <w:rPr>
          <w:rStyle w:val="33"/>
        </w:rPr>
        <w:t xml:space="preserve">  </w:t>
      </w:r>
      <w:r>
        <w:rPr>
          <w:rStyle w:val="33"/>
          <w:rFonts w:hint="eastAsia"/>
        </w:rPr>
        <w:t>明厨亮灶视频接入技术要求</w:t>
      </w:r>
      <w:r>
        <w:tab/>
      </w:r>
      <w:r>
        <w:fldChar w:fldCharType="begin"/>
      </w:r>
      <w:r>
        <w:instrText xml:space="preserve"> PAGEREF _Toc228436548 \h </w:instrText>
      </w:r>
      <w:r>
        <w:fldChar w:fldCharType="separate"/>
      </w:r>
      <w:r>
        <w:t>1</w:t>
      </w:r>
      <w:r>
        <w:fldChar w:fldCharType="end"/>
      </w:r>
      <w:r>
        <w:fldChar w:fldCharType="end"/>
      </w:r>
    </w:p>
    <w:p w14:paraId="5A86C9BC">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"_Toc228436549" </w:instrText>
      </w:r>
      <w:r>
        <w:fldChar w:fldCharType="separate"/>
      </w:r>
      <w:r>
        <w:rPr>
          <w:rStyle w:val="33"/>
          <w:rFonts w:hint="eastAsia"/>
        </w:rPr>
        <w:t>附录C（资料性）</w:t>
      </w:r>
      <w:r>
        <w:rPr>
          <w:rStyle w:val="33"/>
        </w:rPr>
        <w:t xml:space="preserve">  </w:t>
      </w:r>
      <w:r>
        <w:rPr>
          <w:rStyle w:val="33"/>
          <w:rFonts w:hint="eastAsia"/>
        </w:rPr>
        <w:t>食安封签使用规范图示</w:t>
      </w:r>
      <w:r>
        <w:tab/>
      </w:r>
      <w:r>
        <w:fldChar w:fldCharType="begin"/>
      </w:r>
      <w:r>
        <w:instrText xml:space="preserve"> PAGEREF _Toc228436549 \h </w:instrText>
      </w:r>
      <w:r>
        <w:fldChar w:fldCharType="separate"/>
      </w:r>
      <w:r>
        <w:t>2</w:t>
      </w:r>
      <w:r>
        <w:fldChar w:fldCharType="end"/>
      </w:r>
      <w:r>
        <w:fldChar w:fldCharType="end"/>
      </w:r>
    </w:p>
    <w:p w14:paraId="02B983F3">
      <w:pPr>
        <w:pStyle w:val="20"/>
        <w:tabs>
          <w:tab w:val="right" w:leader="dot" w:pos="9344"/>
        </w:tabs>
        <w:rPr>
          <w:rFonts w:asciiTheme="minorHAnsi" w:hAnsiTheme="minorHAnsi" w:eastAsiaTheme="minorEastAsia" w:cstheme="minorBidi"/>
          <w:szCs w:val="22"/>
        </w:rPr>
      </w:pPr>
      <w:r>
        <w:fldChar w:fldCharType="begin"/>
      </w:r>
      <w:r>
        <w:instrText xml:space="preserve"> HYPERLINK \l "_Toc228436550" </w:instrText>
      </w:r>
      <w:r>
        <w:fldChar w:fldCharType="separate"/>
      </w:r>
      <w:r>
        <w:rPr>
          <w:rStyle w:val="33"/>
          <w:rFonts w:hint="eastAsia"/>
          <w:shd w:val="clear" w:color="auto" w:fill="FFFFFF"/>
        </w:rPr>
        <w:t>参考文献</w:t>
      </w:r>
      <w:r>
        <w:tab/>
      </w:r>
      <w:r>
        <w:fldChar w:fldCharType="begin"/>
      </w:r>
      <w:r>
        <w:instrText xml:space="preserve"> PAGEREF _Toc228436550 \h </w:instrText>
      </w:r>
      <w:r>
        <w:fldChar w:fldCharType="separate"/>
      </w:r>
      <w:r>
        <w:t>3</w:t>
      </w:r>
      <w:r>
        <w:fldChar w:fldCharType="end"/>
      </w:r>
      <w:r>
        <w:fldChar w:fldCharType="end"/>
      </w:r>
    </w:p>
    <w:p w14:paraId="786FF62F">
      <w:pPr>
        <w:pStyle w:val="92"/>
        <w:spacing w:after="36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1B9046E2">
      <w:pPr>
        <w:pStyle w:val="90"/>
        <w:spacing w:after="360"/>
      </w:pPr>
      <w:bookmarkStart w:id="25" w:name="_Toc228436525"/>
      <w:bookmarkStart w:id="26" w:name="BookMark2"/>
      <w:r>
        <w:rPr>
          <w:spacing w:val="320"/>
        </w:rPr>
        <w:t>前</w:t>
      </w:r>
      <w:r>
        <w:t>言</w:t>
      </w:r>
      <w:bookmarkEnd w:id="22"/>
      <w:bookmarkEnd w:id="23"/>
      <w:bookmarkEnd w:id="24"/>
      <w:bookmarkEnd w:id="25"/>
    </w:p>
    <w:p w14:paraId="1DD85638">
      <w:pPr>
        <w:pStyle w:val="57"/>
        <w:ind w:firstLine="420"/>
      </w:pPr>
      <w:r>
        <w:rPr>
          <w:rFonts w:hint="eastAsia"/>
        </w:rPr>
        <w:t>本文件按照GB/T 1.1—2020《标准化工作导则  第1部分：标准化文件的结构和起草规则》的规定起草。</w:t>
      </w:r>
    </w:p>
    <w:p w14:paraId="24B17429">
      <w:pPr>
        <w:pStyle w:val="57"/>
        <w:ind w:firstLine="420"/>
      </w:pPr>
      <w:r>
        <w:t>请注意本文件的某些内容可能涉及专利。本文件的发布机构不承担识别专利的责任。</w:t>
      </w:r>
    </w:p>
    <w:p w14:paraId="434CC0B3">
      <w:pPr>
        <w:pStyle w:val="57"/>
        <w:ind w:firstLine="420"/>
      </w:pPr>
      <w:r>
        <w:rPr>
          <w:rFonts w:hint="eastAsia"/>
        </w:rPr>
        <w:t>本文件由××××提出。</w:t>
      </w:r>
    </w:p>
    <w:p w14:paraId="41CB87A4">
      <w:pPr>
        <w:pStyle w:val="57"/>
        <w:ind w:firstLine="420"/>
      </w:pPr>
      <w:r>
        <w:rPr>
          <w:rFonts w:hint="eastAsia"/>
        </w:rPr>
        <w:t>本文件由××××归口。</w:t>
      </w:r>
    </w:p>
    <w:p w14:paraId="486105CB">
      <w:pPr>
        <w:pStyle w:val="57"/>
        <w:ind w:firstLine="420"/>
      </w:pPr>
      <w:r>
        <w:rPr>
          <w:rFonts w:hint="eastAsia"/>
        </w:rPr>
        <w:t>本文件起草单位：</w:t>
      </w:r>
    </w:p>
    <w:p w14:paraId="1C56696D">
      <w:pPr>
        <w:pStyle w:val="57"/>
        <w:ind w:firstLine="420"/>
      </w:pPr>
      <w:r>
        <w:rPr>
          <w:rFonts w:hint="eastAsia"/>
        </w:rPr>
        <w:t>本文件主要起草人：</w:t>
      </w:r>
    </w:p>
    <w:p w14:paraId="173FABEE">
      <w:pPr>
        <w:pStyle w:val="57"/>
        <w:ind w:firstLine="420"/>
      </w:pPr>
    </w:p>
    <w:p w14:paraId="1BD78390">
      <w:pPr>
        <w:pStyle w:val="57"/>
        <w:ind w:firstLine="420"/>
        <w:sectPr>
          <w:pgSz w:w="11906" w:h="16838"/>
          <w:pgMar w:top="1928" w:right="1134" w:bottom="1134" w:left="1134" w:header="1418" w:footer="1134" w:gutter="284"/>
          <w:pgNumType w:fmt="upperRoman"/>
          <w:cols w:space="425" w:num="1"/>
          <w:formProt w:val="0"/>
          <w:docGrid w:linePitch="312" w:charSpace="0"/>
        </w:sectPr>
      </w:pPr>
    </w:p>
    <w:bookmarkEnd w:id="26"/>
    <w:p w14:paraId="06386B50">
      <w:pPr>
        <w:spacing w:line="20" w:lineRule="exact"/>
        <w:jc w:val="center"/>
        <w:rPr>
          <w:rFonts w:ascii="黑体" w:hAnsi="黑体" w:eastAsia="黑体"/>
          <w:sz w:val="32"/>
          <w:szCs w:val="32"/>
        </w:rPr>
      </w:pPr>
      <w:bookmarkStart w:id="27" w:name="BookMark4"/>
    </w:p>
    <w:p w14:paraId="37021AA3">
      <w:pPr>
        <w:spacing w:line="20" w:lineRule="exact"/>
        <w:jc w:val="center"/>
        <w:rPr>
          <w:rFonts w:ascii="黑体" w:hAnsi="黑体" w:eastAsia="黑体"/>
          <w:sz w:val="32"/>
          <w:szCs w:val="32"/>
        </w:rPr>
      </w:pPr>
    </w:p>
    <w:sdt>
      <w:sdtPr>
        <w:tag w:val="NEW_STAND_NAME"/>
        <w:id w:val="595910757"/>
        <w:lock w:val="sdtLocked"/>
        <w:placeholder>
          <w:docPart w:val="58D0BF2311DE45749C7ABE110D2B8E8C"/>
        </w:placeholder>
      </w:sdtPr>
      <w:sdtContent>
        <w:p w14:paraId="6CD6D5CC">
          <w:pPr>
            <w:pStyle w:val="178"/>
            <w:spacing w:beforeLines="1" w:afterLines="220"/>
          </w:pPr>
          <w:bookmarkStart w:id="28" w:name="NEW_STAND_NAME"/>
          <w:r>
            <w:rPr>
              <w:rFonts w:hint="eastAsia"/>
            </w:rPr>
            <w:t>网络餐饮线上线下同质同标技术规范</w:t>
          </w:r>
        </w:p>
      </w:sdtContent>
    </w:sdt>
    <w:bookmarkEnd w:id="28"/>
    <w:p w14:paraId="5289C5DC">
      <w:pPr>
        <w:pStyle w:val="105"/>
        <w:spacing w:before="240" w:after="240"/>
      </w:pPr>
      <w:bookmarkStart w:id="29" w:name="_Toc17233325"/>
      <w:bookmarkStart w:id="30" w:name="_Toc26648465"/>
      <w:bookmarkStart w:id="31" w:name="_Toc17233333"/>
      <w:bookmarkStart w:id="32" w:name="_Toc228435921"/>
      <w:bookmarkStart w:id="33" w:name="_Toc24884211"/>
      <w:bookmarkStart w:id="34" w:name="_Toc26986530"/>
      <w:bookmarkStart w:id="35" w:name="_Toc24884218"/>
      <w:bookmarkStart w:id="36" w:name="_Toc97192964"/>
      <w:bookmarkStart w:id="37" w:name="_Toc26986771"/>
      <w:bookmarkStart w:id="38" w:name="_Toc26718930"/>
      <w:bookmarkStart w:id="39" w:name="_Toc228436114"/>
      <w:bookmarkStart w:id="40" w:name="_Toc227158274"/>
      <w:bookmarkStart w:id="41" w:name="_Toc228436526"/>
      <w:r>
        <w:rPr>
          <w:rFonts w:hint="eastAsia"/>
        </w:rPr>
        <w:t>范围</w:t>
      </w:r>
      <w:bookmarkEnd w:id="29"/>
      <w:bookmarkEnd w:id="30"/>
      <w:bookmarkEnd w:id="31"/>
      <w:bookmarkEnd w:id="32"/>
      <w:bookmarkEnd w:id="33"/>
      <w:bookmarkEnd w:id="34"/>
      <w:bookmarkEnd w:id="35"/>
      <w:bookmarkEnd w:id="36"/>
      <w:bookmarkEnd w:id="37"/>
      <w:bookmarkEnd w:id="38"/>
      <w:bookmarkEnd w:id="39"/>
      <w:bookmarkEnd w:id="40"/>
      <w:bookmarkEnd w:id="41"/>
    </w:p>
    <w:p w14:paraId="37FD67F0">
      <w:pPr>
        <w:spacing w:line="240" w:lineRule="auto"/>
        <w:ind w:firstLine="420" w:firstLineChars="200"/>
        <w:rPr>
          <w:rFonts w:ascii="宋体" w:hAnsi="宋体"/>
        </w:rPr>
      </w:pPr>
      <w:r>
        <w:rPr>
          <w:rFonts w:hint="eastAsia" w:ascii="宋体" w:hAnsi="宋体"/>
        </w:rPr>
        <w:t>本文件界定了网络餐饮线上线下同标同质的术语和定义，规定了网络餐饮线上线下同标同质的基本原则、总体要求、餐品信息一致性、加工过程一致性、质量与分量一致性、包装材料一致性以及监督与评价等技术要求。</w:t>
      </w:r>
    </w:p>
    <w:p w14:paraId="363B7A20">
      <w:pPr>
        <w:pStyle w:val="57"/>
        <w:ind w:firstLine="420"/>
        <w:rPr>
          <w:rFonts w:hAnsi="宋体"/>
          <w:kern w:val="2"/>
          <w:szCs w:val="21"/>
        </w:rPr>
      </w:pPr>
      <w:r>
        <w:rPr>
          <w:rFonts w:hint="eastAsia" w:hAnsi="宋体"/>
          <w:kern w:val="2"/>
          <w:szCs w:val="21"/>
        </w:rPr>
        <w:t>本文件适用于通过网络餐饮第三方平台、自建网站或其他网络渠道提供餐饮服务的入网餐饮服务提供者（以下简称“入网餐饮者”），以及相关网络餐饮服务平台。</w:t>
      </w:r>
    </w:p>
    <w:p w14:paraId="4385966C">
      <w:pPr>
        <w:pStyle w:val="105"/>
        <w:spacing w:before="240" w:after="240"/>
      </w:pPr>
      <w:bookmarkStart w:id="42" w:name="_Toc17233334"/>
      <w:bookmarkStart w:id="43" w:name="_Toc24884219"/>
      <w:bookmarkStart w:id="44" w:name="_Toc26718931"/>
      <w:bookmarkStart w:id="45" w:name="_Toc97192965"/>
      <w:bookmarkStart w:id="46" w:name="_Toc26986772"/>
      <w:bookmarkStart w:id="47" w:name="_Toc227158275"/>
      <w:bookmarkStart w:id="48" w:name="_Toc24884212"/>
      <w:bookmarkStart w:id="49" w:name="_Toc26648466"/>
      <w:bookmarkStart w:id="50" w:name="_Toc26986531"/>
      <w:bookmarkStart w:id="51" w:name="_Toc17233326"/>
      <w:bookmarkStart w:id="52" w:name="_Toc228435922"/>
      <w:bookmarkStart w:id="53" w:name="_Toc228436527"/>
      <w:bookmarkStart w:id="54" w:name="_Toc228436115"/>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p>
    <w:sdt>
      <w:sdtPr>
        <w:rPr>
          <w:rFonts w:hint="eastAsia"/>
        </w:rPr>
        <w:id w:val="715848253"/>
        <w:placeholder>
          <w:docPart w:val="9567DB1B5AE948BA9D7AE4CFFD60763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546193EF">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5BA02CC">
      <w:pPr>
        <w:spacing w:line="240" w:lineRule="auto"/>
        <w:ind w:firstLine="420" w:firstLineChars="200"/>
        <w:rPr>
          <w:rFonts w:ascii="宋体" w:hAnsi="宋体"/>
          <w:shd w:val="clear" w:color="auto" w:fill="FFFFFF"/>
        </w:rPr>
      </w:pPr>
      <w:r>
        <w:rPr>
          <w:rFonts w:hint="eastAsia" w:ascii="宋体" w:hAnsi="宋体"/>
          <w:shd w:val="clear" w:color="auto" w:fill="FFFFFF"/>
        </w:rPr>
        <w:t>GB 3162  食品安全国家标准  食品经营过程卫生规范</w:t>
      </w:r>
    </w:p>
    <w:p w14:paraId="054F2CAA">
      <w:pPr>
        <w:spacing w:line="240" w:lineRule="auto"/>
        <w:ind w:firstLine="420" w:firstLineChars="200"/>
        <w:rPr>
          <w:rFonts w:ascii="宋体" w:hAnsi="宋体"/>
          <w:shd w:val="clear" w:color="auto" w:fill="FFFFFF"/>
        </w:rPr>
      </w:pPr>
      <w:r>
        <w:rPr>
          <w:rFonts w:hint="eastAsia" w:ascii="宋体" w:hAnsi="宋体"/>
          <w:shd w:val="clear" w:color="auto" w:fill="FFFFFF"/>
        </w:rPr>
        <w:t>GB 3165  食品安全国家标准  餐饮服务通用卫生规范</w:t>
      </w:r>
    </w:p>
    <w:p w14:paraId="00A62279">
      <w:pPr>
        <w:spacing w:line="240" w:lineRule="auto"/>
        <w:ind w:firstLine="420" w:firstLineChars="200"/>
        <w:rPr>
          <w:rFonts w:ascii="宋体" w:hAnsi="宋体"/>
          <w:shd w:val="clear" w:color="auto" w:fill="FFFFFF"/>
        </w:rPr>
      </w:pPr>
      <w:r>
        <w:rPr>
          <w:rFonts w:hint="eastAsia" w:ascii="宋体" w:hAnsi="宋体"/>
          <w:shd w:val="clear" w:color="auto" w:fill="FFFFFF"/>
        </w:rPr>
        <w:t>GB 4806（所有部分）  食品安全国家标准  食品接触材料及制品</w:t>
      </w:r>
    </w:p>
    <w:p w14:paraId="661AB201">
      <w:pPr>
        <w:spacing w:line="240" w:lineRule="auto"/>
        <w:ind w:firstLine="420" w:firstLineChars="200"/>
        <w:rPr>
          <w:rFonts w:ascii="宋体" w:hAnsi="宋体"/>
          <w:shd w:val="clear" w:color="auto" w:fill="FFFFFF"/>
        </w:rPr>
      </w:pPr>
      <w:r>
        <w:rPr>
          <w:rFonts w:hint="eastAsia" w:ascii="宋体" w:hAnsi="宋体"/>
          <w:shd w:val="clear" w:color="auto" w:fill="FFFFFF"/>
        </w:rPr>
        <w:t>GB/T 28181—2022  公共安全视频监控联网系统信息传输、交换、控制技术要求</w:t>
      </w:r>
    </w:p>
    <w:p w14:paraId="6DAA27CE">
      <w:pPr>
        <w:spacing w:line="240" w:lineRule="auto"/>
        <w:ind w:firstLine="420" w:firstLineChars="200"/>
        <w:rPr>
          <w:rFonts w:ascii="宋体" w:hAnsi="宋体"/>
          <w:shd w:val="clear" w:color="auto" w:fill="FFFFFF"/>
        </w:rPr>
      </w:pPr>
      <w:r>
        <w:rPr>
          <w:rFonts w:hint="eastAsia" w:ascii="宋体" w:hAnsi="宋体"/>
          <w:shd w:val="clear" w:color="auto" w:fill="FFFFFF"/>
        </w:rPr>
        <w:t>GB/T 40041—2021  外卖餐品信息描述规范</w:t>
      </w:r>
    </w:p>
    <w:p w14:paraId="40476766">
      <w:pPr>
        <w:pStyle w:val="105"/>
        <w:spacing w:before="240" w:after="240"/>
      </w:pPr>
      <w:bookmarkStart w:id="55" w:name="_Toc228435923"/>
      <w:bookmarkStart w:id="56" w:name="_Toc228436116"/>
      <w:bookmarkStart w:id="57" w:name="_Toc97192966"/>
      <w:bookmarkStart w:id="58" w:name="_Toc227158276"/>
      <w:bookmarkStart w:id="59" w:name="_Toc228436528"/>
      <w:r>
        <w:rPr>
          <w:rFonts w:hint="eastAsia"/>
          <w:szCs w:val="21"/>
        </w:rPr>
        <w:t>术语和定义</w:t>
      </w:r>
      <w:bookmarkEnd w:id="55"/>
      <w:bookmarkEnd w:id="56"/>
      <w:bookmarkEnd w:id="57"/>
      <w:bookmarkEnd w:id="58"/>
      <w:bookmarkEnd w:id="59"/>
    </w:p>
    <w:sdt>
      <w:sdtPr>
        <w:id w:val="-1909835108"/>
        <w:placeholder>
          <w:docPart w:val="AA3A5F7266C242BE910047037690EA5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3C6D339">
          <w:pPr>
            <w:pStyle w:val="57"/>
            <w:ind w:firstLine="420"/>
          </w:pPr>
          <w:bookmarkStart w:id="60" w:name="_Toc26986532"/>
          <w:bookmarkEnd w:id="60"/>
          <w:r>
            <w:t>下列术语和定义适用于本文件。</w:t>
          </w:r>
        </w:p>
      </w:sdtContent>
    </w:sdt>
    <w:p w14:paraId="4370E8B1">
      <w:pPr>
        <w:pStyle w:val="224"/>
        <w:ind w:left="420" w:hanging="420" w:hangingChars="200"/>
        <w:rPr>
          <w:rFonts w:ascii="黑体" w:hAnsi="黑体" w:eastAsia="黑体"/>
          <w:shd w:val="clear" w:color="auto" w:fill="FFFFFF"/>
        </w:rPr>
      </w:pPr>
      <w:r>
        <w:rPr>
          <w:rFonts w:ascii="黑体" w:hAnsi="黑体" w:eastAsia="黑体"/>
          <w:shd w:val="clear" w:color="auto" w:fill="FFFFFF"/>
        </w:rPr>
        <w:br w:type="textWrapping"/>
      </w:r>
      <w:r>
        <w:rPr>
          <w:rFonts w:hint="eastAsia" w:ascii="黑体" w:hAnsi="黑体" w:eastAsia="黑体"/>
          <w:shd w:val="clear" w:color="auto" w:fill="FFFFFF"/>
        </w:rPr>
        <w:t>线上线下同标同质  online and offline are standardized and of the same quality.</w:t>
      </w:r>
    </w:p>
    <w:p w14:paraId="026F2546">
      <w:pPr>
        <w:spacing w:line="240" w:lineRule="auto"/>
        <w:ind w:firstLine="420" w:firstLineChars="200"/>
        <w:rPr>
          <w:rFonts w:ascii="宋体" w:hAnsi="宋体"/>
          <w:shd w:val="clear" w:color="auto" w:fill="FFFFFF"/>
        </w:rPr>
      </w:pPr>
      <w:r>
        <w:rPr>
          <w:rFonts w:hint="eastAsia" w:ascii="宋体" w:hAnsi="宋体"/>
          <w:shd w:val="clear" w:color="auto" w:fill="FFFFFF"/>
        </w:rPr>
        <w:t>入网餐饮服务提供者在网络渠道（线上）展示、销售并最终交付给消费者的餐品，与其在实体经营场所（线下）直接销售的同名、同类餐品，在原料品质、加工工艺、成品质量、规格分量、感官特性、安全性等关键属性上保持一致的水平。</w:t>
      </w:r>
    </w:p>
    <w:p w14:paraId="1C81A962">
      <w:pPr>
        <w:pStyle w:val="224"/>
        <w:ind w:left="420" w:hanging="420" w:hangingChars="200"/>
        <w:rPr>
          <w:rFonts w:ascii="黑体" w:hAnsi="黑体" w:eastAsia="黑体"/>
          <w:shd w:val="clear" w:color="auto" w:fill="FFFFFF"/>
        </w:rPr>
      </w:pPr>
      <w:r>
        <w:rPr>
          <w:rFonts w:ascii="黑体" w:hAnsi="黑体" w:eastAsia="黑体"/>
          <w:shd w:val="clear" w:color="auto" w:fill="FFFFFF"/>
        </w:rPr>
        <w:br w:type="textWrapping"/>
      </w:r>
      <w:r>
        <w:rPr>
          <w:rFonts w:hint="eastAsia" w:ascii="黑体" w:hAnsi="黑体" w:eastAsia="黑体"/>
          <w:shd w:val="clear" w:color="auto" w:fill="FFFFFF"/>
        </w:rPr>
        <w:t>入网餐饮服务提供者  online catering service providers</w:t>
      </w:r>
    </w:p>
    <w:p w14:paraId="5C7A4AE5">
      <w:pPr>
        <w:spacing w:line="240" w:lineRule="auto"/>
        <w:ind w:firstLine="420" w:firstLineChars="200"/>
        <w:rPr>
          <w:rFonts w:ascii="宋体" w:hAnsi="宋体"/>
          <w:shd w:val="clear" w:color="auto" w:fill="FFFFFF"/>
        </w:rPr>
      </w:pPr>
      <w:r>
        <w:rPr>
          <w:rFonts w:hint="eastAsia" w:ascii="宋体" w:hAnsi="宋体"/>
          <w:shd w:val="clear" w:color="auto" w:fill="FFFFFF"/>
        </w:rPr>
        <w:t>自行或委托第三方开设网络餐饮经营入口，提供餐饮服务的实体餐饮门店、连锁门店或专营外卖的餐饮单位（不含仅做食品销售的虚拟档口，除非其具备完整线下后厨）。</w:t>
      </w:r>
    </w:p>
    <w:p w14:paraId="574CD0BB">
      <w:pPr>
        <w:pStyle w:val="224"/>
        <w:ind w:left="420" w:hanging="420" w:hangingChars="200"/>
        <w:rPr>
          <w:rFonts w:ascii="黑体" w:hAnsi="黑体" w:eastAsia="黑体"/>
          <w:shd w:val="clear" w:color="auto" w:fill="FFFFFF"/>
        </w:rPr>
      </w:pPr>
      <w:r>
        <w:rPr>
          <w:rFonts w:ascii="黑体" w:hAnsi="黑体" w:eastAsia="黑体"/>
          <w:shd w:val="clear" w:color="auto" w:fill="FFFFFF"/>
        </w:rPr>
        <w:br w:type="textWrapping"/>
      </w:r>
      <w:r>
        <w:rPr>
          <w:rFonts w:hint="eastAsia" w:ascii="黑体" w:hAnsi="黑体" w:eastAsia="黑体"/>
          <w:shd w:val="clear" w:color="auto" w:fill="FFFFFF"/>
        </w:rPr>
        <w:t>关键质量特性  key quality characteristics</w:t>
      </w:r>
    </w:p>
    <w:p w14:paraId="40E3A583">
      <w:pPr>
        <w:spacing w:line="240" w:lineRule="auto"/>
        <w:ind w:firstLine="420" w:firstLineChars="200"/>
        <w:rPr>
          <w:rFonts w:ascii="宋体" w:hAnsi="宋体"/>
          <w:shd w:val="clear" w:color="auto" w:fill="FFFFFF"/>
        </w:rPr>
      </w:pPr>
      <w:r>
        <w:rPr>
          <w:rFonts w:hint="eastAsia" w:ascii="宋体" w:hAnsi="宋体"/>
          <w:shd w:val="clear" w:color="auto" w:fill="FFFFFF"/>
        </w:rPr>
        <w:t>直接影响餐品口感、风味、营养价值、安全性和消费者接受度的特征。</w:t>
      </w:r>
    </w:p>
    <w:p w14:paraId="7EF6318B">
      <w:pPr>
        <w:spacing w:line="240" w:lineRule="auto"/>
        <w:ind w:firstLine="420" w:firstLineChars="200"/>
        <w:rPr>
          <w:rFonts w:ascii="宋体" w:hAnsi="宋体"/>
          <w:shd w:val="clear" w:color="auto" w:fill="FFFFFF"/>
        </w:rPr>
      </w:pPr>
      <w:r>
        <w:rPr>
          <w:rFonts w:hint="eastAsia" w:ascii="宋体" w:hAnsi="宋体"/>
          <w:shd w:val="clear" w:color="auto" w:fill="FFFFFF"/>
        </w:rPr>
        <w:t>注：一般包括主料品种/等级、辅料比例、熟制程度、调味基准、成品净重、包装密封性等。</w:t>
      </w:r>
    </w:p>
    <w:p w14:paraId="005F25DD">
      <w:pPr>
        <w:pStyle w:val="105"/>
        <w:spacing w:before="240" w:after="240"/>
        <w:rPr>
          <w:shd w:val="clear" w:color="auto" w:fill="FFFFFF"/>
        </w:rPr>
      </w:pPr>
      <w:bookmarkStart w:id="61" w:name="_Toc228435924"/>
      <w:bookmarkStart w:id="62" w:name="_Toc228436117"/>
      <w:bookmarkStart w:id="63" w:name="_Toc228436529"/>
      <w:bookmarkStart w:id="64" w:name="_Toc227158277"/>
      <w:r>
        <w:rPr>
          <w:rFonts w:hint="eastAsia"/>
          <w:shd w:val="clear" w:color="auto" w:fill="FFFFFF"/>
        </w:rPr>
        <w:t>总体原则</w:t>
      </w:r>
      <w:bookmarkEnd w:id="61"/>
      <w:bookmarkEnd w:id="62"/>
      <w:bookmarkEnd w:id="63"/>
      <w:bookmarkEnd w:id="64"/>
      <w:r>
        <w:rPr>
          <w:rFonts w:hint="eastAsia"/>
          <w:shd w:val="clear" w:color="auto" w:fill="FFFFFF"/>
        </w:rPr>
        <w:t xml:space="preserve"> </w:t>
      </w:r>
    </w:p>
    <w:p w14:paraId="76E5D252">
      <w:pPr>
        <w:pStyle w:val="106"/>
        <w:spacing w:before="120" w:after="120"/>
        <w:rPr>
          <w:shd w:val="clear" w:color="auto" w:fill="FFFFFF"/>
        </w:rPr>
      </w:pPr>
      <w:bookmarkStart w:id="65" w:name="_Toc227158280"/>
      <w:bookmarkStart w:id="66" w:name="_Toc228435926"/>
      <w:bookmarkStart w:id="67" w:name="_Toc228436530"/>
      <w:bookmarkStart w:id="68" w:name="_Toc228436119"/>
      <w:bookmarkStart w:id="69" w:name="_Toc227158278"/>
      <w:bookmarkStart w:id="70" w:name="_Toc228435925"/>
      <w:bookmarkStart w:id="71" w:name="_Toc228436118"/>
      <w:r>
        <w:rPr>
          <w:rFonts w:hint="eastAsia"/>
          <w:shd w:val="clear" w:color="auto" w:fill="FFFFFF"/>
        </w:rPr>
        <w:t>责任主体原则</w:t>
      </w:r>
      <w:bookmarkEnd w:id="65"/>
      <w:bookmarkEnd w:id="66"/>
      <w:bookmarkEnd w:id="67"/>
      <w:bookmarkEnd w:id="68"/>
    </w:p>
    <w:p w14:paraId="7BDBAFD2">
      <w:pPr>
        <w:spacing w:line="360" w:lineRule="auto"/>
        <w:ind w:firstLine="420" w:firstLineChars="200"/>
        <w:rPr>
          <w:rFonts w:ascii="宋体" w:hAnsi="宋体"/>
          <w:shd w:val="clear" w:color="auto" w:fill="FFFFFF"/>
        </w:rPr>
      </w:pPr>
      <w:r>
        <w:rPr>
          <w:rFonts w:hint="eastAsia" w:ascii="宋体" w:hAnsi="宋体"/>
          <w:shd w:val="clear" w:color="auto" w:fill="FFFFFF"/>
        </w:rPr>
        <w:t>入网餐饮者是实现"线上线下同标同质"的第一责任人，平台提供必要的监督技术与管理支持。</w:t>
      </w:r>
    </w:p>
    <w:p w14:paraId="726D5913">
      <w:pPr>
        <w:pStyle w:val="106"/>
        <w:spacing w:before="120" w:after="120"/>
        <w:rPr>
          <w:shd w:val="clear" w:color="auto" w:fill="FFFFFF"/>
        </w:rPr>
      </w:pPr>
      <w:bookmarkStart w:id="72" w:name="_Toc228436531"/>
      <w:r>
        <w:rPr>
          <w:rFonts w:hint="eastAsia"/>
          <w:shd w:val="clear" w:color="auto" w:fill="FFFFFF"/>
        </w:rPr>
        <w:t>诚信一致原则</w:t>
      </w:r>
      <w:bookmarkEnd w:id="69"/>
      <w:bookmarkEnd w:id="70"/>
      <w:bookmarkEnd w:id="71"/>
      <w:bookmarkEnd w:id="72"/>
    </w:p>
    <w:p w14:paraId="6D03E573">
      <w:pPr>
        <w:spacing w:line="240" w:lineRule="auto"/>
        <w:ind w:firstLine="420" w:firstLineChars="200"/>
        <w:rPr>
          <w:rFonts w:ascii="宋体" w:hAnsi="宋体"/>
          <w:shd w:val="clear" w:color="auto" w:fill="FFFFFF"/>
        </w:rPr>
      </w:pPr>
      <w:r>
        <w:rPr>
          <w:rFonts w:hint="eastAsia" w:ascii="宋体" w:hAnsi="宋体"/>
          <w:shd w:val="clear" w:color="auto" w:fill="FFFFFF"/>
        </w:rPr>
        <w:t>入网餐饮者保证线上展示信息（图文、视频、规格说明）真实、完整、不误导，并与线下实际提供餐品实质等效。</w:t>
      </w:r>
    </w:p>
    <w:p w14:paraId="001F9907">
      <w:pPr>
        <w:pStyle w:val="106"/>
        <w:spacing w:before="120" w:after="120"/>
        <w:rPr>
          <w:shd w:val="clear" w:color="auto" w:fill="FFFFFF"/>
        </w:rPr>
      </w:pPr>
      <w:bookmarkStart w:id="73" w:name="_Toc228435927"/>
      <w:bookmarkStart w:id="74" w:name="_Toc227158279"/>
      <w:bookmarkStart w:id="75" w:name="_Toc228436120"/>
      <w:bookmarkStart w:id="76" w:name="_Toc228436532"/>
      <w:r>
        <w:rPr>
          <w:rFonts w:hint="eastAsia"/>
          <w:shd w:val="clear" w:color="auto" w:fill="FFFFFF"/>
        </w:rPr>
        <w:t>可追溯原则</w:t>
      </w:r>
      <w:bookmarkEnd w:id="73"/>
      <w:bookmarkEnd w:id="74"/>
      <w:bookmarkEnd w:id="75"/>
      <w:bookmarkEnd w:id="76"/>
    </w:p>
    <w:p w14:paraId="76D49CAE">
      <w:pPr>
        <w:spacing w:line="360" w:lineRule="auto"/>
        <w:ind w:firstLine="420" w:firstLineChars="200"/>
        <w:rPr>
          <w:rFonts w:ascii="宋体" w:hAnsi="宋体"/>
          <w:shd w:val="clear" w:color="auto" w:fill="FFFFFF"/>
        </w:rPr>
      </w:pPr>
      <w:r>
        <w:rPr>
          <w:rFonts w:hint="eastAsia" w:ascii="宋体" w:hAnsi="宋体"/>
          <w:shd w:val="clear" w:color="auto" w:fill="FFFFFF"/>
        </w:rPr>
        <w:t>入网餐饮者建立从原料采购、加工制作到出餐配送的全过程记录，确保线上线下餐品来源与标准一致。</w:t>
      </w:r>
    </w:p>
    <w:p w14:paraId="1DD8672A">
      <w:pPr>
        <w:pStyle w:val="105"/>
        <w:spacing w:before="240" w:after="240"/>
        <w:rPr>
          <w:shd w:val="clear" w:color="auto" w:fill="FFFFFF"/>
        </w:rPr>
      </w:pPr>
      <w:bookmarkStart w:id="77" w:name="_Toc228435928"/>
      <w:bookmarkStart w:id="78" w:name="_Toc228436121"/>
      <w:bookmarkStart w:id="79" w:name="_Toc228436533"/>
      <w:bookmarkStart w:id="80" w:name="_Toc227158281"/>
      <w:r>
        <w:rPr>
          <w:rFonts w:hint="eastAsia"/>
          <w:shd w:val="clear" w:color="auto" w:fill="FFFFFF"/>
        </w:rPr>
        <w:t>总体要求</w:t>
      </w:r>
      <w:bookmarkEnd w:id="77"/>
      <w:bookmarkEnd w:id="78"/>
      <w:bookmarkEnd w:id="79"/>
      <w:bookmarkEnd w:id="80"/>
    </w:p>
    <w:p w14:paraId="4EC271C0">
      <w:pPr>
        <w:pStyle w:val="163"/>
        <w:rPr>
          <w:shd w:val="clear" w:color="auto" w:fill="FFFFFF"/>
        </w:rPr>
      </w:pPr>
      <w:r>
        <w:rPr>
          <w:rFonts w:hint="eastAsia"/>
          <w:shd w:val="clear" w:color="auto" w:fill="FFFFFF"/>
        </w:rPr>
        <w:t>入网餐饮者应具备有效的食品经营许可证，且主体业态包含“餐饮服务经营者”或“网络经营”标注。</w:t>
      </w:r>
    </w:p>
    <w:p w14:paraId="25285A09">
      <w:pPr>
        <w:pStyle w:val="163"/>
        <w:rPr>
          <w:shd w:val="clear" w:color="auto" w:fill="FFFFFF"/>
        </w:rPr>
      </w:pPr>
      <w:r>
        <w:rPr>
          <w:rFonts w:hint="eastAsia"/>
          <w:shd w:val="clear" w:color="auto" w:fill="FFFFFF"/>
        </w:rPr>
        <w:t>入网餐饮者应在线上店铺显著位置公示营业执照、食品经营许可证、实体门店地址、后厨环境（鼓励明厨亮灶实时视频）及从业人员健康证明信息。</w:t>
      </w:r>
    </w:p>
    <w:p w14:paraId="5E12D38F">
      <w:pPr>
        <w:pStyle w:val="163"/>
        <w:rPr>
          <w:rFonts w:hint="eastAsia"/>
          <w:shd w:val="clear" w:color="auto" w:fill="FFFFFF"/>
        </w:rPr>
      </w:pPr>
      <w:r>
        <w:rPr>
          <w:rFonts w:hint="eastAsia"/>
          <w:shd w:val="clear" w:color="auto" w:fill="FFFFFF"/>
        </w:rPr>
        <w:t>入网餐饮者应建立并执行覆盖线上、线下渠道的统一餐品制作标准书（SOP），明确每款餐品的原料规格、投料量、制作时间、成品重量、感官要求（色泽、气味、形态）及交付温度。</w:t>
      </w:r>
    </w:p>
    <w:p w14:paraId="1DB2CF92">
      <w:pPr>
        <w:pStyle w:val="163"/>
        <w:rPr>
          <w:rFonts w:hint="eastAsia"/>
          <w:shd w:val="clear" w:color="auto" w:fill="FFFFFF"/>
        </w:rPr>
      </w:pPr>
      <w:r>
        <w:rPr>
          <w:rFonts w:hint="eastAsia"/>
          <w:shd w:val="clear" w:color="auto" w:fill="FFFFFF"/>
        </w:rPr>
        <w:t>入网餐饮者应合理划分经营场所布局，见附录A。</w:t>
      </w:r>
    </w:p>
    <w:p w14:paraId="650F9FE0">
      <w:pPr>
        <w:pStyle w:val="163"/>
        <w:rPr>
          <w:shd w:val="clear" w:color="auto" w:fill="FFFFFF"/>
        </w:rPr>
      </w:pPr>
      <w:r>
        <w:rPr>
          <w:rFonts w:hint="eastAsia"/>
          <w:shd w:val="clear" w:color="auto" w:fill="FFFFFF"/>
        </w:rPr>
        <w:t>入网餐饮者宜接入明厨亮灶，其视频接入技术要求按附录B执行。</w:t>
      </w:r>
    </w:p>
    <w:p w14:paraId="69F03B93">
      <w:pPr>
        <w:pStyle w:val="163"/>
        <w:rPr>
          <w:shd w:val="clear" w:color="auto" w:fill="FFFFFF"/>
        </w:rPr>
      </w:pPr>
      <w:r>
        <w:rPr>
          <w:rFonts w:hint="eastAsia"/>
          <w:shd w:val="clear" w:color="auto" w:fill="FFFFFF"/>
        </w:rPr>
        <w:t>入网餐饮者不应因餐品用于线上销售而降低原料等级、改变加工工艺（如减少炖煮时间）、缩减主料分量或使用替代性低价原料。</w:t>
      </w:r>
    </w:p>
    <w:p w14:paraId="558C873D">
      <w:pPr>
        <w:pStyle w:val="163"/>
        <w:rPr>
          <w:shd w:val="clear" w:color="auto" w:fill="FFFFFF"/>
        </w:rPr>
      </w:pPr>
      <w:r>
        <w:rPr>
          <w:rFonts w:hint="eastAsia"/>
          <w:shd w:val="clear" w:color="auto" w:fill="FFFFFF"/>
        </w:rPr>
        <w:t>入网餐饮者员工应掌握“线上线下同标同质”的相关要求，并严格按照统一操作规程操作。</w:t>
      </w:r>
    </w:p>
    <w:p w14:paraId="213EEF15">
      <w:pPr>
        <w:pStyle w:val="163"/>
        <w:rPr>
          <w:shd w:val="clear" w:color="auto" w:fill="FFFFFF"/>
        </w:rPr>
      </w:pPr>
      <w:r>
        <w:rPr>
          <w:rFonts w:hint="eastAsia"/>
          <w:shd w:val="clear" w:color="auto" w:fill="FFFFFF"/>
        </w:rPr>
        <w:t>入网餐饮者应建立留样与比对制度，并每周应至少随机抽取1款线上销售餐品与线下堂食餐品进行平行留样比对，记录主料重量、感官差异、温度等数据，保存记录不应少于6个月。</w:t>
      </w:r>
    </w:p>
    <w:p w14:paraId="20F6B8B6">
      <w:pPr>
        <w:pStyle w:val="163"/>
        <w:rPr>
          <w:shd w:val="clear" w:color="auto" w:fill="FFFFFF"/>
        </w:rPr>
      </w:pPr>
      <w:r>
        <w:rPr>
          <w:rFonts w:hint="eastAsia"/>
          <w:shd w:val="clear" w:color="auto" w:fill="FFFFFF"/>
        </w:rPr>
        <w:t>入网餐饮者应建立消费者投诉处理制度，及时记录消费者投诉并在24h内响应，主动调取当日该批次制作记录、监控视频（如有）进行核查，第一时间向消费者发馈处理结果。</w:t>
      </w:r>
    </w:p>
    <w:p w14:paraId="4BAFB017">
      <w:pPr>
        <w:pStyle w:val="105"/>
        <w:spacing w:before="240" w:after="240"/>
        <w:rPr>
          <w:shd w:val="clear" w:color="auto" w:fill="FFFFFF"/>
        </w:rPr>
      </w:pPr>
      <w:bookmarkStart w:id="81" w:name="_Toc228436122"/>
      <w:bookmarkStart w:id="82" w:name="_Toc228436534"/>
      <w:bookmarkStart w:id="83" w:name="_Toc227158282"/>
      <w:bookmarkStart w:id="84" w:name="_Toc228435929"/>
      <w:r>
        <w:rPr>
          <w:rFonts w:hint="eastAsia"/>
          <w:shd w:val="clear" w:color="auto" w:fill="FFFFFF"/>
        </w:rPr>
        <w:t>餐品信息一致性</w:t>
      </w:r>
      <w:bookmarkEnd w:id="81"/>
      <w:bookmarkEnd w:id="82"/>
      <w:bookmarkEnd w:id="83"/>
      <w:bookmarkEnd w:id="84"/>
    </w:p>
    <w:p w14:paraId="4E2B9726">
      <w:pPr>
        <w:pStyle w:val="106"/>
        <w:spacing w:before="120" w:after="120"/>
        <w:rPr>
          <w:shd w:val="clear" w:color="auto" w:fill="FFFFFF"/>
        </w:rPr>
      </w:pPr>
      <w:bookmarkStart w:id="85" w:name="_Toc227158283"/>
      <w:bookmarkStart w:id="86" w:name="_Toc228435930"/>
      <w:bookmarkStart w:id="87" w:name="_Toc228436123"/>
      <w:bookmarkStart w:id="88" w:name="_Toc228436535"/>
      <w:r>
        <w:rPr>
          <w:rFonts w:hint="eastAsia"/>
          <w:shd w:val="clear" w:color="auto" w:fill="FFFFFF"/>
        </w:rPr>
        <w:t>菜单与描述</w:t>
      </w:r>
      <w:bookmarkEnd w:id="85"/>
      <w:bookmarkEnd w:id="86"/>
      <w:bookmarkEnd w:id="87"/>
      <w:bookmarkEnd w:id="88"/>
    </w:p>
    <w:p w14:paraId="1A457A9E">
      <w:pPr>
        <w:spacing w:line="240" w:lineRule="auto"/>
        <w:ind w:firstLine="420" w:firstLineChars="200"/>
        <w:rPr>
          <w:rFonts w:ascii="宋体" w:hAnsi="宋体"/>
          <w:shd w:val="clear" w:color="auto" w:fill="FFFFFF"/>
        </w:rPr>
      </w:pPr>
      <w:r>
        <w:rPr>
          <w:rFonts w:hint="eastAsia" w:ascii="宋体" w:hAnsi="宋体"/>
          <w:shd w:val="clear" w:color="auto" w:fill="FFFFFF"/>
        </w:rPr>
        <w:t>线上餐品应按GB/T 40041—2021进行描述，其名称、主要原料、口味选项、规格（大/中/小份）、辣度、忌口提示等，应与线下菜单完全一致，不准许使用“图片仅供参考，请以实物为准”等免责性模糊语句。若因拍摄光线导致色差，应加注真实色差说明。</w:t>
      </w:r>
    </w:p>
    <w:p w14:paraId="3CF575F8">
      <w:pPr>
        <w:pStyle w:val="106"/>
        <w:spacing w:before="120" w:after="120"/>
        <w:rPr>
          <w:shd w:val="clear" w:color="auto" w:fill="FFFFFF"/>
        </w:rPr>
      </w:pPr>
      <w:bookmarkStart w:id="89" w:name="_Toc227158284"/>
      <w:bookmarkStart w:id="90" w:name="_Toc228436536"/>
      <w:bookmarkStart w:id="91" w:name="_Toc228435931"/>
      <w:bookmarkStart w:id="92" w:name="_Toc228436124"/>
      <w:r>
        <w:rPr>
          <w:rFonts w:hint="eastAsia"/>
          <w:shd w:val="clear" w:color="auto" w:fill="FFFFFF"/>
        </w:rPr>
        <w:t>分量与尺寸</w:t>
      </w:r>
      <w:bookmarkEnd w:id="89"/>
      <w:bookmarkEnd w:id="90"/>
      <w:bookmarkEnd w:id="91"/>
      <w:bookmarkEnd w:id="92"/>
    </w:p>
    <w:p w14:paraId="73B7AD92">
      <w:pPr>
        <w:spacing w:line="240" w:lineRule="auto"/>
        <w:ind w:firstLine="420" w:firstLineChars="200"/>
        <w:rPr>
          <w:rFonts w:ascii="宋体" w:hAnsi="宋体"/>
          <w:shd w:val="clear" w:color="auto" w:fill="FFFFFF"/>
        </w:rPr>
      </w:pPr>
      <w:r>
        <w:rPr>
          <w:rFonts w:hint="eastAsia" w:ascii="宋体" w:hAnsi="宋体"/>
          <w:shd w:val="clear" w:color="auto" w:fill="FFFFFF"/>
        </w:rPr>
        <w:t>线上展示的餐品图片中主食、主菜、配菜的视觉比例、餐具尺寸参照物，应与线下实际出餐的分量、盛器大小基本一致，误差不应超过10%。对于重量敏感型餐品（如牛排、烤鱼），应标注生料或熟料净重。</w:t>
      </w:r>
    </w:p>
    <w:p w14:paraId="65501C67">
      <w:pPr>
        <w:pStyle w:val="106"/>
        <w:spacing w:before="120" w:after="120"/>
        <w:rPr>
          <w:shd w:val="clear" w:color="auto" w:fill="FFFFFF"/>
        </w:rPr>
      </w:pPr>
      <w:bookmarkStart w:id="93" w:name="_Toc228436537"/>
      <w:bookmarkStart w:id="94" w:name="_Toc227158285"/>
      <w:bookmarkStart w:id="95" w:name="_Toc228436125"/>
      <w:bookmarkStart w:id="96" w:name="_Toc228435932"/>
      <w:r>
        <w:rPr>
          <w:rFonts w:hint="eastAsia"/>
          <w:shd w:val="clear" w:color="auto" w:fill="FFFFFF"/>
        </w:rPr>
        <w:t>特殊说明</w:t>
      </w:r>
      <w:bookmarkEnd w:id="93"/>
      <w:bookmarkEnd w:id="94"/>
      <w:bookmarkEnd w:id="95"/>
      <w:bookmarkEnd w:id="96"/>
    </w:p>
    <w:p w14:paraId="0F027926">
      <w:pPr>
        <w:spacing w:line="240" w:lineRule="auto"/>
        <w:ind w:firstLine="420" w:firstLineChars="200"/>
        <w:rPr>
          <w:rFonts w:ascii="宋体" w:hAnsi="宋体"/>
          <w:shd w:val="clear" w:color="auto" w:fill="FFFFFF"/>
        </w:rPr>
      </w:pPr>
      <w:r>
        <w:rPr>
          <w:rFonts w:hint="eastAsia" w:ascii="宋体" w:hAnsi="宋体"/>
          <w:shd w:val="clear" w:color="auto" w:fill="FFFFFF"/>
        </w:rPr>
        <w:t>若餐品含有可能引起过敏的原料（如花生、麸质、甲壳类），线上线下均应在菜单中醒目标注。线上应支持过敏原筛选功能。</w:t>
      </w:r>
    </w:p>
    <w:p w14:paraId="439C04EC">
      <w:pPr>
        <w:pStyle w:val="105"/>
        <w:spacing w:before="240" w:after="240"/>
        <w:rPr>
          <w:shd w:val="clear" w:color="auto" w:fill="FFFFFF"/>
        </w:rPr>
      </w:pPr>
      <w:bookmarkStart w:id="97" w:name="_Toc227158286"/>
      <w:bookmarkStart w:id="98" w:name="_Toc228435933"/>
      <w:bookmarkStart w:id="99" w:name="_Toc228436126"/>
      <w:bookmarkStart w:id="100" w:name="_Toc228436538"/>
      <w:r>
        <w:rPr>
          <w:rFonts w:hint="eastAsia"/>
          <w:shd w:val="clear" w:color="auto" w:fill="FFFFFF"/>
        </w:rPr>
        <w:t>加工过程一致性</w:t>
      </w:r>
      <w:bookmarkEnd w:id="97"/>
      <w:bookmarkEnd w:id="98"/>
      <w:bookmarkEnd w:id="99"/>
      <w:bookmarkEnd w:id="100"/>
    </w:p>
    <w:p w14:paraId="6B9A2554">
      <w:pPr>
        <w:pStyle w:val="163"/>
        <w:rPr>
          <w:shd w:val="clear" w:color="auto" w:fill="FFFFFF"/>
        </w:rPr>
      </w:pPr>
      <w:r>
        <w:rPr>
          <w:rFonts w:hint="eastAsia"/>
          <w:shd w:val="clear" w:color="auto" w:fill="FFFFFF"/>
        </w:rPr>
        <w:t>入网餐饮者在食品生产和餐饮服务过程中应符合</w:t>
      </w:r>
      <w:r>
        <w:rPr>
          <w:rFonts w:hint="eastAsia" w:hAnsi="宋体"/>
          <w:shd w:val="clear" w:color="auto" w:fill="FFFFFF"/>
        </w:rPr>
        <w:t>GB 3162和GB 3165的规定。</w:t>
      </w:r>
    </w:p>
    <w:p w14:paraId="67ECEA13">
      <w:pPr>
        <w:pStyle w:val="163"/>
        <w:rPr>
          <w:shd w:val="clear" w:color="auto" w:fill="FFFFFF"/>
        </w:rPr>
      </w:pPr>
      <w:r>
        <w:rPr>
          <w:rFonts w:hint="eastAsia"/>
          <w:shd w:val="clear" w:color="auto" w:fill="FFFFFF"/>
        </w:rPr>
        <w:t>入网餐饮者应使用与线下完全相同的原料品牌、等级、产地（若明确宣传产地）。不准许为线上订单使用临期、解冻超过规定时间或外观次等的原料。</w:t>
      </w:r>
    </w:p>
    <w:p w14:paraId="0428F376">
      <w:pPr>
        <w:pStyle w:val="163"/>
        <w:rPr>
          <w:shd w:val="clear" w:color="auto" w:fill="FFFFFF"/>
        </w:rPr>
      </w:pPr>
      <w:r>
        <w:rPr>
          <w:rFonts w:hint="eastAsia"/>
          <w:shd w:val="clear" w:color="auto" w:fill="FFFFFF"/>
        </w:rPr>
        <w:t>同一款餐品，线上订单和线下堂食订单均应使用同一口锅、同一烹饪时间、同一调味配方。不准许单独设立“外卖专线”并降低加工标准。必要时，可增设专用工位，工艺标准应保持一致。</w:t>
      </w:r>
    </w:p>
    <w:p w14:paraId="53D930E3">
      <w:pPr>
        <w:pStyle w:val="163"/>
        <w:rPr>
          <w:shd w:val="clear" w:color="auto" w:fill="FFFFFF"/>
        </w:rPr>
      </w:pPr>
      <w:r>
        <w:rPr>
          <w:rFonts w:hint="eastAsia"/>
          <w:shd w:val="clear" w:color="auto" w:fill="FFFFFF"/>
        </w:rPr>
        <w:t>入网餐饮者应设置独立的外卖打包区，该区域不应替代核心烹饪区。打包不准许影响餐品温度、形态和完整性（如压塌造型等）。</w:t>
      </w:r>
    </w:p>
    <w:p w14:paraId="5AE59338">
      <w:pPr>
        <w:pStyle w:val="105"/>
        <w:spacing w:before="240" w:after="240"/>
        <w:rPr>
          <w:shd w:val="clear" w:color="auto" w:fill="FFFFFF"/>
        </w:rPr>
      </w:pPr>
      <w:bookmarkStart w:id="101" w:name="_Toc228436539"/>
      <w:bookmarkStart w:id="102" w:name="_Toc228435934"/>
      <w:bookmarkStart w:id="103" w:name="_Toc227158287"/>
      <w:bookmarkStart w:id="104" w:name="_Toc228436127"/>
      <w:r>
        <w:rPr>
          <w:rFonts w:hint="eastAsia"/>
          <w:shd w:val="clear" w:color="auto" w:fill="FFFFFF"/>
        </w:rPr>
        <w:t>质量与分量一致性</w:t>
      </w:r>
      <w:bookmarkEnd w:id="101"/>
      <w:bookmarkEnd w:id="102"/>
      <w:bookmarkEnd w:id="103"/>
      <w:bookmarkEnd w:id="104"/>
    </w:p>
    <w:p w14:paraId="1E15510C">
      <w:pPr>
        <w:pStyle w:val="106"/>
        <w:spacing w:before="120" w:after="120"/>
        <w:rPr>
          <w:shd w:val="clear" w:color="auto" w:fill="FFFFFF"/>
        </w:rPr>
      </w:pPr>
      <w:bookmarkStart w:id="105" w:name="_Toc227158288"/>
      <w:bookmarkStart w:id="106" w:name="_Toc228435935"/>
      <w:bookmarkStart w:id="107" w:name="_Toc228436128"/>
      <w:bookmarkStart w:id="108" w:name="_Toc228436540"/>
      <w:r>
        <w:rPr>
          <w:rFonts w:hint="eastAsia"/>
          <w:shd w:val="clear" w:color="auto" w:fill="FFFFFF"/>
        </w:rPr>
        <w:t>关键主料重量偏差</w:t>
      </w:r>
      <w:bookmarkEnd w:id="105"/>
      <w:bookmarkEnd w:id="106"/>
      <w:bookmarkEnd w:id="107"/>
      <w:bookmarkEnd w:id="108"/>
    </w:p>
    <w:p w14:paraId="4F2725B6">
      <w:pPr>
        <w:spacing w:line="240" w:lineRule="auto"/>
        <w:ind w:firstLine="420" w:firstLineChars="200"/>
        <w:rPr>
          <w:rFonts w:ascii="宋体" w:hAnsi="宋体"/>
          <w:shd w:val="clear" w:color="auto" w:fill="FFFFFF"/>
        </w:rPr>
      </w:pPr>
      <w:r>
        <w:rPr>
          <w:rFonts w:hint="eastAsia" w:ascii="宋体" w:hAnsi="宋体"/>
          <w:shd w:val="clear" w:color="auto" w:fill="FFFFFF"/>
        </w:rPr>
        <w:t>随机抽查同款餐品，线上订单与线下堂食订单的主料（肉、水产、主要蔬菜）净重差值不应超过5%或10克（取大值）。</w:t>
      </w:r>
    </w:p>
    <w:p w14:paraId="05DA7265">
      <w:pPr>
        <w:pStyle w:val="106"/>
        <w:spacing w:before="120" w:after="120"/>
        <w:rPr>
          <w:shd w:val="clear" w:color="auto" w:fill="FFFFFF"/>
        </w:rPr>
      </w:pPr>
      <w:bookmarkStart w:id="109" w:name="_Toc227158289"/>
      <w:bookmarkStart w:id="110" w:name="_Toc228435936"/>
      <w:bookmarkStart w:id="111" w:name="_Toc228436129"/>
      <w:bookmarkStart w:id="112" w:name="_Toc228436541"/>
      <w:r>
        <w:rPr>
          <w:rFonts w:hint="eastAsia"/>
          <w:shd w:val="clear" w:color="auto" w:fill="FFFFFF"/>
        </w:rPr>
        <w:t>感官一致性</w:t>
      </w:r>
      <w:bookmarkEnd w:id="109"/>
      <w:bookmarkEnd w:id="110"/>
      <w:bookmarkEnd w:id="111"/>
      <w:bookmarkEnd w:id="112"/>
    </w:p>
    <w:p w14:paraId="61189E5E">
      <w:pPr>
        <w:spacing w:line="240" w:lineRule="auto"/>
        <w:ind w:firstLine="420" w:firstLineChars="200"/>
        <w:rPr>
          <w:rFonts w:ascii="宋体" w:hAnsi="宋体"/>
          <w:shd w:val="clear" w:color="auto" w:fill="FFFFFF"/>
        </w:rPr>
      </w:pPr>
      <w:r>
        <w:rPr>
          <w:rFonts w:hint="eastAsia" w:ascii="宋体" w:hAnsi="宋体"/>
          <w:shd w:val="clear" w:color="auto" w:fill="FFFFFF"/>
        </w:rPr>
        <w:t>同一款餐品，线上交付品的色泽、香气、咸淡、口感（如脆度、软烂度）应与线下同时段出餐品基本一致，不应出现线上餐品明显过咸、过油或食材发干发硬等情况。</w:t>
      </w:r>
    </w:p>
    <w:p w14:paraId="78635A2B">
      <w:pPr>
        <w:pStyle w:val="106"/>
        <w:spacing w:before="120" w:after="120"/>
        <w:rPr>
          <w:shd w:val="clear" w:color="auto" w:fill="FFFFFF"/>
        </w:rPr>
      </w:pPr>
      <w:bookmarkStart w:id="113" w:name="_Toc228436542"/>
      <w:bookmarkStart w:id="114" w:name="_Toc227158290"/>
      <w:bookmarkStart w:id="115" w:name="_Toc228435937"/>
      <w:bookmarkStart w:id="116" w:name="_Toc228436130"/>
      <w:r>
        <w:rPr>
          <w:rFonts w:hint="eastAsia"/>
          <w:shd w:val="clear" w:color="auto" w:fill="FFFFFF"/>
        </w:rPr>
        <w:t>温度一致性</w:t>
      </w:r>
      <w:bookmarkEnd w:id="113"/>
      <w:bookmarkEnd w:id="114"/>
      <w:bookmarkEnd w:id="115"/>
      <w:bookmarkEnd w:id="116"/>
    </w:p>
    <w:p w14:paraId="5DFF0D1D">
      <w:pPr>
        <w:spacing w:line="240" w:lineRule="auto"/>
        <w:ind w:firstLine="420" w:firstLineChars="200"/>
        <w:rPr>
          <w:rFonts w:hint="eastAsia" w:ascii="宋体" w:hAnsi="宋体"/>
          <w:color w:val="auto"/>
          <w:shd w:val="clear" w:color="auto" w:fill="FFFFFF"/>
        </w:rPr>
      </w:pPr>
      <w:r>
        <w:rPr>
          <w:rFonts w:hint="eastAsia" w:ascii="宋体" w:hAnsi="宋体"/>
          <w:color w:val="auto"/>
          <w:shd w:val="clear" w:color="auto" w:fill="FFFFFF"/>
        </w:rPr>
        <w:t>热食类餐品（出锅温度≥60℃）在交付配送员时，中心温度不应低于线下堂食装盘时的温度（通常≥65℃），且不得低于60℃---核实。冷食类（如沙拉、刺身等）交付温度不应高于10℃。</w:t>
      </w:r>
    </w:p>
    <w:p w14:paraId="331F6D86">
      <w:pPr>
        <w:pStyle w:val="106"/>
        <w:spacing w:before="120" w:after="120"/>
        <w:rPr>
          <w:rFonts w:hint="default" w:ascii="宋体" w:hAnsi="宋体" w:eastAsia="宋体"/>
          <w:shd w:val="clear" w:color="auto" w:fill="FFFFFF"/>
          <w:lang w:val="en-US" w:eastAsia="zh-CN"/>
        </w:rPr>
      </w:pPr>
      <w:r>
        <w:rPr>
          <w:rFonts w:hint="eastAsia"/>
          <w:shd w:val="clear" w:color="auto" w:fill="FFFFFF"/>
          <w:lang w:val="en-US" w:eastAsia="zh-CN"/>
        </w:rPr>
        <w:t>食材质量一致内容</w:t>
      </w:r>
    </w:p>
    <w:p w14:paraId="430FFB91">
      <w:pPr>
        <w:pStyle w:val="106"/>
        <w:numPr>
          <w:numId w:val="0"/>
        </w:numPr>
        <w:spacing w:before="120" w:after="120"/>
        <w:ind w:leftChars="0" w:firstLine="420" w:firstLineChars="200"/>
        <w:rPr>
          <w:rFonts w:hint="default" w:ascii="宋体" w:hAnsi="宋体" w:eastAsia="宋体" w:cs="Times New Roman"/>
          <w:kern w:val="2"/>
          <w:sz w:val="21"/>
          <w:szCs w:val="21"/>
          <w:shd w:val="clear" w:color="auto" w:fill="FFFFFF"/>
          <w:lang w:val="en-US" w:eastAsia="zh-CN" w:bidi="ar-SA"/>
        </w:rPr>
      </w:pPr>
      <w:r>
        <w:rPr>
          <w:rFonts w:hint="eastAsia" w:ascii="宋体" w:hAnsi="宋体" w:eastAsia="宋体" w:cs="Times New Roman"/>
          <w:kern w:val="2"/>
          <w:sz w:val="21"/>
          <w:szCs w:val="21"/>
          <w:shd w:val="clear" w:color="auto" w:fill="FFFFFF"/>
          <w:lang w:val="en-US" w:eastAsia="zh-CN" w:bidi="ar-SA"/>
        </w:rPr>
        <w:t>食材新鲜度、等级、规格统一，执行相同验收标准。 过期、变质、不合格食材线上线下同步下架销毁。</w:t>
      </w:r>
    </w:p>
    <w:p w14:paraId="18C96B8C">
      <w:pPr>
        <w:pStyle w:val="105"/>
        <w:spacing w:before="240" w:after="240"/>
        <w:rPr>
          <w:shd w:val="clear" w:color="auto" w:fill="FFFFFF"/>
        </w:rPr>
      </w:pPr>
      <w:bookmarkStart w:id="117" w:name="_Toc227158291"/>
      <w:bookmarkStart w:id="118" w:name="_Toc228436131"/>
      <w:bookmarkStart w:id="119" w:name="_Toc228435938"/>
      <w:bookmarkStart w:id="120" w:name="_Toc228436543"/>
      <w:r>
        <w:rPr>
          <w:rFonts w:hint="eastAsia"/>
          <w:shd w:val="clear" w:color="auto" w:fill="FFFFFF"/>
        </w:rPr>
        <w:t>包装材料一致性</w:t>
      </w:r>
      <w:bookmarkEnd w:id="117"/>
      <w:bookmarkEnd w:id="118"/>
      <w:bookmarkEnd w:id="119"/>
      <w:bookmarkEnd w:id="120"/>
    </w:p>
    <w:p w14:paraId="5DDE284B">
      <w:pPr>
        <w:pStyle w:val="163"/>
        <w:rPr>
          <w:shd w:val="clear" w:color="auto" w:fill="FFFFFF"/>
        </w:rPr>
      </w:pPr>
      <w:r>
        <w:rPr>
          <w:rFonts w:hint="eastAsia"/>
          <w:shd w:val="clear" w:color="auto" w:fill="FFFFFF"/>
        </w:rPr>
        <w:t>线上销售的餐品包装应使用食品级且符合GB 4806（所有部分）的材料。不准许使用劣质、含回收塑料或存在异味的包装。</w:t>
      </w:r>
    </w:p>
    <w:p w14:paraId="640675E6">
      <w:pPr>
        <w:pStyle w:val="163"/>
        <w:rPr>
          <w:shd w:val="clear" w:color="auto" w:fill="FFFFFF"/>
        </w:rPr>
      </w:pPr>
      <w:r>
        <w:rPr>
          <w:rFonts w:hint="eastAsia"/>
          <w:shd w:val="clear" w:color="auto" w:fill="FFFFFF"/>
        </w:rPr>
        <w:t>对于汤类、带酱汁类餐品，其包装应具备防洒漏功能，且内衬不应影响食物原有形态（如防止油炸食品被蒸汽焖软）。线上展示的包装形态（如分格餐盒）应与实际一致。</w:t>
      </w:r>
    </w:p>
    <w:p w14:paraId="2AFEFCC6">
      <w:pPr>
        <w:pStyle w:val="163"/>
        <w:rPr>
          <w:rFonts w:hint="eastAsia"/>
          <w:shd w:val="clear" w:color="auto" w:fill="FFFFFF"/>
        </w:rPr>
      </w:pPr>
      <w:r>
        <w:rPr>
          <w:rFonts w:hint="eastAsia"/>
          <w:shd w:val="clear" w:color="auto" w:fill="FFFFFF"/>
        </w:rPr>
        <w:t>鼓励使用环保可降解包装，但不准许因成本原因在线上订单中替换。</w:t>
      </w:r>
    </w:p>
    <w:p w14:paraId="458B716E">
      <w:pPr>
        <w:pStyle w:val="163"/>
        <w:rPr>
          <w:shd w:val="clear" w:color="auto" w:fill="FFFFFF"/>
        </w:rPr>
      </w:pPr>
      <w:r>
        <w:rPr>
          <w:rFonts w:hint="eastAsia"/>
          <w:shd w:val="clear" w:color="auto" w:fill="FFFFFF"/>
        </w:rPr>
        <w:t>线上销售的餐品应使用</w:t>
      </w:r>
      <w:r>
        <w:rPr>
          <w:rFonts w:hint="eastAsia"/>
        </w:rPr>
        <w:t>食安封签，其规范使用图示见附录C。</w:t>
      </w:r>
    </w:p>
    <w:p w14:paraId="508B76A3">
      <w:pPr>
        <w:pStyle w:val="105"/>
        <w:spacing w:before="240" w:after="240"/>
        <w:rPr>
          <w:shd w:val="clear" w:color="auto" w:fill="FFFFFF"/>
        </w:rPr>
      </w:pPr>
      <w:bookmarkStart w:id="121" w:name="_Toc227158296"/>
      <w:bookmarkStart w:id="122" w:name="_Toc228435939"/>
      <w:bookmarkStart w:id="123" w:name="_Toc228436544"/>
      <w:bookmarkStart w:id="124" w:name="_Toc228436132"/>
      <w:r>
        <w:rPr>
          <w:rFonts w:hint="eastAsia"/>
          <w:shd w:val="clear" w:color="auto" w:fill="FFFFFF"/>
        </w:rPr>
        <w:t>监督与评价</w:t>
      </w:r>
      <w:bookmarkEnd w:id="121"/>
      <w:bookmarkEnd w:id="122"/>
      <w:bookmarkEnd w:id="123"/>
      <w:bookmarkEnd w:id="124"/>
    </w:p>
    <w:p w14:paraId="73255C32">
      <w:pPr>
        <w:pStyle w:val="106"/>
        <w:spacing w:before="120" w:after="120"/>
        <w:rPr>
          <w:shd w:val="clear" w:color="auto" w:fill="FFFFFF"/>
        </w:rPr>
      </w:pPr>
      <w:bookmarkStart w:id="125" w:name="_Toc228436545"/>
      <w:bookmarkStart w:id="126" w:name="_Toc228436133"/>
      <w:bookmarkStart w:id="127" w:name="_Toc228435940"/>
      <w:bookmarkStart w:id="128" w:name="_Toc227158297"/>
      <w:r>
        <w:rPr>
          <w:rFonts w:hint="eastAsia"/>
          <w:shd w:val="clear" w:color="auto" w:fill="FFFFFF"/>
        </w:rPr>
        <w:t>平台监督</w:t>
      </w:r>
      <w:bookmarkEnd w:id="125"/>
      <w:bookmarkEnd w:id="126"/>
      <w:bookmarkEnd w:id="127"/>
      <w:bookmarkEnd w:id="128"/>
    </w:p>
    <w:p w14:paraId="63EE8912">
      <w:pPr>
        <w:spacing w:line="240" w:lineRule="auto"/>
        <w:ind w:firstLine="420" w:firstLineChars="200"/>
        <w:rPr>
          <w:rFonts w:ascii="宋体" w:hAnsi="宋体"/>
          <w:shd w:val="clear" w:color="auto" w:fill="FFFFFF"/>
        </w:rPr>
      </w:pPr>
      <w:r>
        <w:rPr>
          <w:rFonts w:hint="eastAsia" w:ascii="宋体" w:hAnsi="宋体"/>
          <w:shd w:val="clear" w:color="auto" w:fill="FFFFFF"/>
        </w:rPr>
        <w:t>网络餐饮平台宜建立</w:t>
      </w:r>
      <w:r>
        <w:rPr>
          <w:rFonts w:hint="eastAsia"/>
          <w:shd w:val="clear" w:color="auto" w:fill="FFFFFF"/>
        </w:rPr>
        <w:t>入网餐饮者</w:t>
      </w:r>
      <w:r>
        <w:rPr>
          <w:rFonts w:hint="eastAsia" w:ascii="宋体" w:hAnsi="宋体"/>
          <w:shd w:val="clear" w:color="auto" w:fill="FFFFFF"/>
        </w:rPr>
        <w:t>“同标同质”信用评价体系，组织神秘抽检（同时购买线上订单及到店堂食）等多种方式进行监督。对多次被证实线上线下不一致的商户进行降权、置休或清退。</w:t>
      </w:r>
    </w:p>
    <w:p w14:paraId="666229FA">
      <w:pPr>
        <w:pStyle w:val="106"/>
        <w:spacing w:before="120" w:after="120"/>
        <w:rPr>
          <w:shd w:val="clear" w:color="auto" w:fill="FFFFFF"/>
        </w:rPr>
      </w:pPr>
      <w:bookmarkStart w:id="129" w:name="_Toc228435941"/>
      <w:bookmarkStart w:id="130" w:name="_Toc228436546"/>
      <w:bookmarkStart w:id="131" w:name="_Toc228436134"/>
      <w:bookmarkStart w:id="132" w:name="_Toc227158298"/>
      <w:r>
        <w:rPr>
          <w:rFonts w:hint="eastAsia"/>
          <w:shd w:val="clear" w:color="auto" w:fill="FFFFFF"/>
        </w:rPr>
        <w:t>第三方评价</w:t>
      </w:r>
      <w:bookmarkEnd w:id="129"/>
      <w:bookmarkEnd w:id="130"/>
      <w:bookmarkEnd w:id="131"/>
      <w:bookmarkEnd w:id="132"/>
    </w:p>
    <w:p w14:paraId="02AFB770">
      <w:pPr>
        <w:spacing w:line="240" w:lineRule="auto"/>
        <w:ind w:firstLine="420" w:firstLineChars="200"/>
        <w:rPr>
          <w:rFonts w:ascii="宋体" w:hAnsi="宋体"/>
          <w:shd w:val="clear" w:color="auto" w:fill="FFFFFF"/>
        </w:rPr>
      </w:pPr>
      <w:r>
        <w:rPr>
          <w:rFonts w:hint="eastAsia" w:ascii="宋体" w:hAnsi="宋体"/>
          <w:shd w:val="clear" w:color="auto" w:fill="FFFFFF"/>
        </w:rPr>
        <w:t>鼓励行业协会或认证机构开展“线上线下同标同质”达标评价，对符合要求的商户授予标识，并每年复查。</w:t>
      </w:r>
    </w:p>
    <w:p w14:paraId="099F8D22">
      <w:pPr>
        <w:spacing w:line="240" w:lineRule="auto"/>
        <w:ind w:firstLine="420" w:firstLineChars="200"/>
        <w:rPr>
          <w:rFonts w:ascii="宋体" w:hAnsi="宋体"/>
          <w:shd w:val="clear" w:color="auto" w:fill="FFFFFF"/>
        </w:rPr>
      </w:pPr>
    </w:p>
    <w:p w14:paraId="4D43E1D3">
      <w:pPr>
        <w:spacing w:line="240" w:lineRule="auto"/>
        <w:ind w:firstLine="420" w:firstLineChars="200"/>
        <w:rPr>
          <w:rFonts w:ascii="宋体" w:hAnsi="宋体"/>
          <w:shd w:val="clear" w:color="auto" w:fill="FFFFFF"/>
        </w:rPr>
      </w:pPr>
    </w:p>
    <w:p w14:paraId="5650DC9F">
      <w:pPr>
        <w:spacing w:line="240" w:lineRule="auto"/>
        <w:ind w:firstLine="420" w:firstLineChars="200"/>
        <w:rPr>
          <w:rFonts w:ascii="宋体" w:hAnsi="宋体"/>
          <w:shd w:val="clear" w:color="auto" w:fill="FFFFFF"/>
        </w:rPr>
        <w:sectPr>
          <w:pgSz w:w="11906" w:h="16838"/>
          <w:pgMar w:top="1928" w:right="1134" w:bottom="1134" w:left="1134" w:header="1418" w:footer="1134" w:gutter="284"/>
          <w:pgNumType w:start="1"/>
          <w:cols w:space="425" w:num="1"/>
          <w:formProt w:val="0"/>
          <w:docGrid w:linePitch="312" w:charSpace="0"/>
        </w:sectPr>
      </w:pPr>
    </w:p>
    <w:bookmarkEnd w:id="27"/>
    <w:p w14:paraId="1FB6B4A1">
      <w:pPr>
        <w:pStyle w:val="199"/>
        <w:rPr>
          <w:vanish w:val="0"/>
          <w:shd w:val="clear" w:color="auto" w:fill="FFFFFF"/>
        </w:rPr>
      </w:pPr>
      <w:bookmarkStart w:id="133" w:name="BookMark5"/>
    </w:p>
    <w:p w14:paraId="427DB0DD">
      <w:pPr>
        <w:pStyle w:val="200"/>
        <w:rPr>
          <w:vanish w:val="0"/>
        </w:rPr>
      </w:pPr>
    </w:p>
    <w:p w14:paraId="042DDB71">
      <w:pPr>
        <w:pStyle w:val="77"/>
        <w:spacing w:after="120"/>
      </w:pPr>
      <w:r>
        <w:br w:type="textWrapping"/>
      </w:r>
      <w:bookmarkStart w:id="134" w:name="_Toc228436547"/>
      <w:bookmarkStart w:id="135" w:name="_Toc228436135"/>
      <w:bookmarkStart w:id="136" w:name="_Toc228435942"/>
      <w:bookmarkStart w:id="137" w:name="_Toc227158300"/>
      <w:r>
        <w:rPr>
          <w:rFonts w:hint="eastAsia"/>
        </w:rPr>
        <w:t>（资料性）</w:t>
      </w:r>
      <w:r>
        <w:br w:type="textWrapping"/>
      </w:r>
      <w:r>
        <w:rPr>
          <w:rFonts w:hint="eastAsia"/>
        </w:rPr>
        <w:t>网络餐饮经营场所布局示意图</w:t>
      </w:r>
      <w:bookmarkEnd w:id="134"/>
      <w:bookmarkEnd w:id="135"/>
      <w:bookmarkEnd w:id="136"/>
      <w:bookmarkEnd w:id="137"/>
    </w:p>
    <w:p w14:paraId="0C527F15">
      <w:pPr>
        <w:pStyle w:val="57"/>
        <w:ind w:firstLine="420"/>
      </w:pPr>
    </w:p>
    <w:p w14:paraId="18D0073F">
      <w:pPr>
        <w:pStyle w:val="212"/>
        <w:rPr>
          <w:rFonts w:hAnsi="宋体"/>
        </w:rPr>
      </w:pPr>
      <w:r>
        <w:rPr>
          <w:rFonts w:hint="eastAsia" w:hAnsi="宋体" w:cs="黑体"/>
        </w:rPr>
        <w:t>热食类食品</w:t>
      </w:r>
      <w:r>
        <w:rPr>
          <w:rFonts w:hint="eastAsia" w:hAnsi="宋体"/>
        </w:rPr>
        <w:t>制售经济场所布局示意图见图A.1。</w:t>
      </w:r>
    </w:p>
    <w:p w14:paraId="2A733508">
      <w:pPr>
        <w:pStyle w:val="57"/>
        <w:ind w:firstLine="420"/>
      </w:pPr>
    </w:p>
    <w:p w14:paraId="6600ADFE">
      <w:pPr>
        <w:pStyle w:val="57"/>
        <w:ind w:firstLine="420"/>
      </w:pPr>
      <w:r>
        <w:drawing>
          <wp:inline distT="0" distB="0" distL="114300" distR="114300">
            <wp:extent cx="5476875" cy="5201285"/>
            <wp:effectExtent l="0" t="0" r="9525" b="1079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7" cstate="print"/>
                    <a:stretch>
                      <a:fillRect/>
                    </a:stretch>
                  </pic:blipFill>
                  <pic:spPr>
                    <a:xfrm>
                      <a:off x="0" y="0"/>
                      <a:ext cx="5476875" cy="5201285"/>
                    </a:xfrm>
                    <a:prstGeom prst="rect">
                      <a:avLst/>
                    </a:prstGeom>
                    <a:noFill/>
                    <a:ln>
                      <a:noFill/>
                    </a:ln>
                  </pic:spPr>
                </pic:pic>
              </a:graphicData>
            </a:graphic>
          </wp:inline>
        </w:drawing>
      </w:r>
    </w:p>
    <w:p w14:paraId="6AE47353">
      <w:pPr>
        <w:pStyle w:val="57"/>
        <w:ind w:firstLine="420"/>
        <w:rPr>
          <w:shd w:val="clear" w:color="auto" w:fill="FFFFFF"/>
        </w:rPr>
      </w:pPr>
    </w:p>
    <w:p w14:paraId="7ACD473A">
      <w:pPr>
        <w:pStyle w:val="84"/>
        <w:spacing w:before="120" w:after="120"/>
      </w:pPr>
      <w:r>
        <w:rPr>
          <w:rFonts w:hint="eastAsia" w:hAnsi="黑体" w:cs="黑体"/>
        </w:rPr>
        <w:t>热食类食品</w:t>
      </w:r>
      <w:r>
        <w:rPr>
          <w:rFonts w:hint="eastAsia"/>
        </w:rPr>
        <w:t>制售经济场所布局示意图</w:t>
      </w:r>
    </w:p>
    <w:p w14:paraId="6A33878E">
      <w:pPr>
        <w:pStyle w:val="57"/>
        <w:ind w:firstLine="420"/>
        <w:jc w:val="center"/>
      </w:pPr>
    </w:p>
    <w:p w14:paraId="1065958E">
      <w:pPr>
        <w:pStyle w:val="57"/>
        <w:ind w:firstLine="420"/>
        <w:jc w:val="center"/>
      </w:pPr>
    </w:p>
    <w:p w14:paraId="48D9FC69">
      <w:pPr>
        <w:pStyle w:val="57"/>
        <w:ind w:firstLine="420"/>
        <w:jc w:val="center"/>
      </w:pPr>
    </w:p>
    <w:p w14:paraId="6AB41185">
      <w:pPr>
        <w:pStyle w:val="57"/>
        <w:ind w:firstLine="420"/>
        <w:jc w:val="center"/>
      </w:pPr>
    </w:p>
    <w:p w14:paraId="7643ED53">
      <w:pPr>
        <w:pStyle w:val="57"/>
        <w:ind w:firstLine="420"/>
        <w:jc w:val="center"/>
      </w:pPr>
    </w:p>
    <w:p w14:paraId="49E7442E">
      <w:pPr>
        <w:pStyle w:val="57"/>
        <w:ind w:firstLine="420"/>
        <w:jc w:val="center"/>
      </w:pPr>
      <w:bookmarkStart w:id="149" w:name="_GoBack"/>
      <w:bookmarkEnd w:id="149"/>
    </w:p>
    <w:p w14:paraId="790CDF5B">
      <w:pPr>
        <w:pStyle w:val="57"/>
        <w:ind w:firstLine="420"/>
        <w:jc w:val="center"/>
      </w:pPr>
    </w:p>
    <w:p w14:paraId="3666F936">
      <w:pPr>
        <w:pStyle w:val="57"/>
        <w:ind w:firstLine="420"/>
        <w:jc w:val="center"/>
      </w:pPr>
    </w:p>
    <w:p w14:paraId="1642E635">
      <w:pPr>
        <w:pStyle w:val="57"/>
        <w:ind w:firstLine="420"/>
        <w:rPr>
          <w:shd w:val="clear" w:color="auto" w:fill="FFFFFF"/>
        </w:rPr>
      </w:pPr>
    </w:p>
    <w:p w14:paraId="13562461">
      <w:pPr>
        <w:pStyle w:val="212"/>
        <w:rPr>
          <w:rFonts w:hAnsi="宋体"/>
        </w:rPr>
      </w:pPr>
      <w:r>
        <w:rPr>
          <w:rFonts w:hint="eastAsia" w:hAnsi="宋体" w:cs="黑体"/>
        </w:rPr>
        <w:t>热食、冷食类食品</w:t>
      </w:r>
      <w:r>
        <w:rPr>
          <w:rFonts w:hint="eastAsia" w:hAnsi="宋体"/>
        </w:rPr>
        <w:t>制售经济场所布局示意图见图A.2。</w:t>
      </w:r>
    </w:p>
    <w:p w14:paraId="0FCFBD1E">
      <w:pPr>
        <w:pStyle w:val="57"/>
        <w:ind w:firstLine="420"/>
      </w:pPr>
    </w:p>
    <w:p w14:paraId="6C0DE820">
      <w:pPr>
        <w:pStyle w:val="57"/>
        <w:ind w:firstLine="420"/>
      </w:pPr>
    </w:p>
    <w:p w14:paraId="5B24AB7C">
      <w:pPr>
        <w:pStyle w:val="57"/>
        <w:ind w:firstLine="420"/>
        <w:rPr>
          <w:shd w:val="clear" w:color="auto" w:fill="FFFFFF"/>
        </w:rPr>
      </w:pPr>
      <w:r>
        <w:drawing>
          <wp:inline distT="0" distB="0" distL="114300" distR="114300">
            <wp:extent cx="5286375" cy="4857750"/>
            <wp:effectExtent l="0" t="0" r="1905" b="381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8" cstate="print"/>
                    <a:stretch>
                      <a:fillRect/>
                    </a:stretch>
                  </pic:blipFill>
                  <pic:spPr>
                    <a:xfrm>
                      <a:off x="0" y="0"/>
                      <a:ext cx="5286375" cy="4857750"/>
                    </a:xfrm>
                    <a:prstGeom prst="rect">
                      <a:avLst/>
                    </a:prstGeom>
                    <a:noFill/>
                    <a:ln>
                      <a:noFill/>
                    </a:ln>
                  </pic:spPr>
                </pic:pic>
              </a:graphicData>
            </a:graphic>
          </wp:inline>
        </w:drawing>
      </w:r>
    </w:p>
    <w:p w14:paraId="68BD293B">
      <w:pPr>
        <w:pStyle w:val="84"/>
        <w:spacing w:before="120" w:after="120"/>
      </w:pPr>
      <w:r>
        <w:rPr>
          <w:rFonts w:hint="eastAsia"/>
          <w:shd w:val="clear" w:color="auto" w:fill="FFFFFF"/>
        </w:rPr>
        <w:t xml:space="preserve"> </w:t>
      </w:r>
      <w:r>
        <w:rPr>
          <w:rFonts w:hint="eastAsia" w:hAnsi="黑体" w:cs="黑体"/>
        </w:rPr>
        <w:t>热食、冷食类食品</w:t>
      </w:r>
      <w:r>
        <w:rPr>
          <w:rFonts w:hint="eastAsia"/>
        </w:rPr>
        <w:t>制售经济场所布局示意图</w:t>
      </w:r>
    </w:p>
    <w:p w14:paraId="051B4A8C">
      <w:pPr>
        <w:pStyle w:val="57"/>
        <w:ind w:firstLine="420"/>
        <w:rPr>
          <w:shd w:val="clear" w:color="auto" w:fill="FFFFFF"/>
        </w:rPr>
      </w:pPr>
    </w:p>
    <w:p w14:paraId="7DAE10A5">
      <w:pPr>
        <w:pStyle w:val="57"/>
        <w:ind w:firstLine="420"/>
        <w:rPr>
          <w:shd w:val="clear" w:color="auto" w:fill="FFFFFF"/>
        </w:rPr>
      </w:pPr>
    </w:p>
    <w:p w14:paraId="5261DEA0">
      <w:pPr>
        <w:pStyle w:val="57"/>
        <w:ind w:firstLine="420"/>
        <w:rPr>
          <w:shd w:val="clear" w:color="auto" w:fill="FFFFFF"/>
        </w:rPr>
      </w:pPr>
    </w:p>
    <w:p w14:paraId="4E14B7A4">
      <w:pPr>
        <w:pStyle w:val="57"/>
        <w:ind w:firstLine="420"/>
        <w:rPr>
          <w:shd w:val="clear" w:color="auto" w:fill="FFFFFF"/>
        </w:rPr>
      </w:pPr>
    </w:p>
    <w:p w14:paraId="09239A85">
      <w:pPr>
        <w:pStyle w:val="57"/>
        <w:ind w:firstLine="420"/>
        <w:rPr>
          <w:shd w:val="clear" w:color="auto" w:fill="FFFFFF"/>
        </w:rPr>
      </w:pPr>
    </w:p>
    <w:p w14:paraId="65E58E5A">
      <w:pPr>
        <w:pStyle w:val="57"/>
        <w:ind w:firstLine="420"/>
        <w:rPr>
          <w:shd w:val="clear" w:color="auto" w:fill="FFFFFF"/>
        </w:rPr>
      </w:pPr>
    </w:p>
    <w:p w14:paraId="70DA9982">
      <w:pPr>
        <w:pStyle w:val="57"/>
        <w:ind w:firstLine="420"/>
        <w:rPr>
          <w:shd w:val="clear" w:color="auto" w:fill="FFFFFF"/>
        </w:rPr>
      </w:pPr>
    </w:p>
    <w:p w14:paraId="2AC4CDF0">
      <w:pPr>
        <w:pStyle w:val="57"/>
        <w:ind w:firstLine="420"/>
        <w:rPr>
          <w:shd w:val="clear" w:color="auto" w:fill="FFFFFF"/>
        </w:rPr>
      </w:pPr>
    </w:p>
    <w:p w14:paraId="3FD77B94">
      <w:pPr>
        <w:pStyle w:val="57"/>
        <w:ind w:firstLine="420"/>
        <w:rPr>
          <w:shd w:val="clear" w:color="auto" w:fill="FFFFFF"/>
        </w:rPr>
      </w:pPr>
    </w:p>
    <w:p w14:paraId="36BA0EDA">
      <w:pPr>
        <w:pStyle w:val="57"/>
        <w:ind w:firstLine="420"/>
        <w:rPr>
          <w:shd w:val="clear" w:color="auto" w:fill="FFFFFF"/>
        </w:rPr>
      </w:pPr>
    </w:p>
    <w:p w14:paraId="091BEE52">
      <w:pPr>
        <w:pStyle w:val="57"/>
        <w:ind w:firstLine="420"/>
        <w:rPr>
          <w:shd w:val="clear" w:color="auto" w:fill="FFFFFF"/>
        </w:rPr>
      </w:pPr>
    </w:p>
    <w:p w14:paraId="2D4A2B95">
      <w:pPr>
        <w:pStyle w:val="57"/>
        <w:ind w:firstLine="420"/>
        <w:rPr>
          <w:shd w:val="clear" w:color="auto" w:fill="FFFFFF"/>
        </w:rPr>
      </w:pPr>
    </w:p>
    <w:p w14:paraId="32E99605">
      <w:pPr>
        <w:pStyle w:val="57"/>
        <w:ind w:firstLine="420"/>
        <w:rPr>
          <w:shd w:val="clear" w:color="auto" w:fill="FFFFFF"/>
        </w:rPr>
      </w:pPr>
    </w:p>
    <w:p w14:paraId="2DB120A8">
      <w:pPr>
        <w:pStyle w:val="57"/>
        <w:ind w:firstLine="420"/>
        <w:rPr>
          <w:shd w:val="clear" w:color="auto" w:fill="FFFFFF"/>
        </w:rPr>
      </w:pPr>
    </w:p>
    <w:p w14:paraId="52D0766D">
      <w:pPr>
        <w:pStyle w:val="57"/>
        <w:ind w:firstLine="420"/>
        <w:rPr>
          <w:shd w:val="clear" w:color="auto" w:fill="FFFFFF"/>
        </w:rPr>
      </w:pPr>
    </w:p>
    <w:p w14:paraId="1CBD441F">
      <w:pPr>
        <w:pStyle w:val="57"/>
        <w:ind w:firstLine="420"/>
        <w:rPr>
          <w:shd w:val="clear" w:color="auto" w:fill="FFFFFF"/>
        </w:rPr>
      </w:pPr>
    </w:p>
    <w:p w14:paraId="5C8F40E5">
      <w:pPr>
        <w:pStyle w:val="212"/>
        <w:rPr>
          <w:shd w:val="clear" w:color="auto" w:fill="FFFFFF"/>
        </w:rPr>
      </w:pPr>
      <w:r>
        <w:rPr>
          <w:rFonts w:hint="eastAsia" w:hAnsi="宋体" w:cs="黑体"/>
        </w:rPr>
        <w:t>冷食、生食类食品</w:t>
      </w:r>
      <w:r>
        <w:rPr>
          <w:rFonts w:hint="eastAsia" w:hAnsi="宋体"/>
        </w:rPr>
        <w:t>制售经济场所布局示意图见图A.3</w:t>
      </w:r>
      <w:r>
        <w:rPr>
          <w:rFonts w:hint="eastAsia"/>
        </w:rPr>
        <w:t>。</w:t>
      </w:r>
    </w:p>
    <w:p w14:paraId="43719F1E">
      <w:pPr>
        <w:pStyle w:val="57"/>
        <w:ind w:firstLine="420"/>
        <w:rPr>
          <w:shd w:val="clear" w:color="auto" w:fill="FFFFFF"/>
        </w:rPr>
      </w:pPr>
    </w:p>
    <w:p w14:paraId="241B2C7D">
      <w:pPr>
        <w:pStyle w:val="57"/>
        <w:ind w:firstLine="420"/>
        <w:rPr>
          <w:shd w:val="clear" w:color="auto" w:fill="FFFFFF"/>
        </w:rPr>
      </w:pPr>
      <w:r>
        <w:drawing>
          <wp:inline distT="0" distB="0" distL="114300" distR="114300">
            <wp:extent cx="5334000" cy="4810125"/>
            <wp:effectExtent l="0" t="0" r="0" b="5715"/>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19" cstate="print"/>
                    <a:stretch>
                      <a:fillRect/>
                    </a:stretch>
                  </pic:blipFill>
                  <pic:spPr>
                    <a:xfrm>
                      <a:off x="0" y="0"/>
                      <a:ext cx="5334000" cy="4810125"/>
                    </a:xfrm>
                    <a:prstGeom prst="rect">
                      <a:avLst/>
                    </a:prstGeom>
                    <a:noFill/>
                    <a:ln>
                      <a:noFill/>
                    </a:ln>
                  </pic:spPr>
                </pic:pic>
              </a:graphicData>
            </a:graphic>
          </wp:inline>
        </w:drawing>
      </w:r>
    </w:p>
    <w:p w14:paraId="41C5A7FD">
      <w:pPr>
        <w:pStyle w:val="57"/>
        <w:ind w:firstLine="420"/>
        <w:rPr>
          <w:shd w:val="clear" w:color="auto" w:fill="FFFFFF"/>
        </w:rPr>
      </w:pPr>
    </w:p>
    <w:p w14:paraId="34D8DDF6">
      <w:pPr>
        <w:pStyle w:val="84"/>
        <w:spacing w:before="120" w:after="120"/>
      </w:pPr>
      <w:r>
        <w:rPr>
          <w:rFonts w:hint="eastAsia"/>
          <w:shd w:val="clear" w:color="auto" w:fill="FFFFFF"/>
        </w:rPr>
        <w:t xml:space="preserve"> </w:t>
      </w:r>
      <w:r>
        <w:rPr>
          <w:rFonts w:hint="eastAsia" w:hAnsi="黑体" w:cs="黑体"/>
        </w:rPr>
        <w:t>冷食、生食类食品</w:t>
      </w:r>
      <w:r>
        <w:rPr>
          <w:rFonts w:hint="eastAsia"/>
        </w:rPr>
        <w:t>制售经济场所布局示意图</w:t>
      </w:r>
    </w:p>
    <w:p w14:paraId="306E7B4A">
      <w:pPr>
        <w:pStyle w:val="57"/>
        <w:ind w:firstLine="420"/>
        <w:rPr>
          <w:shd w:val="clear" w:color="auto" w:fill="FFFFFF"/>
        </w:rPr>
      </w:pPr>
    </w:p>
    <w:p w14:paraId="23633D64">
      <w:pPr>
        <w:pStyle w:val="57"/>
        <w:ind w:firstLine="420"/>
        <w:rPr>
          <w:shd w:val="clear" w:color="auto" w:fill="FFFFFF"/>
        </w:rPr>
      </w:pPr>
    </w:p>
    <w:p w14:paraId="41EEEFD8">
      <w:pPr>
        <w:pStyle w:val="57"/>
        <w:ind w:firstLine="420"/>
        <w:rPr>
          <w:shd w:val="clear" w:color="auto" w:fill="FFFFFF"/>
        </w:rPr>
      </w:pPr>
    </w:p>
    <w:p w14:paraId="20601E0E">
      <w:pPr>
        <w:pStyle w:val="57"/>
        <w:ind w:firstLine="420"/>
        <w:rPr>
          <w:shd w:val="clear" w:color="auto" w:fill="FFFFFF"/>
        </w:rPr>
      </w:pPr>
    </w:p>
    <w:p w14:paraId="3EE22939">
      <w:pPr>
        <w:pStyle w:val="57"/>
        <w:ind w:firstLine="420"/>
        <w:rPr>
          <w:shd w:val="clear" w:color="auto" w:fill="FFFFFF"/>
        </w:rPr>
      </w:pPr>
    </w:p>
    <w:p w14:paraId="04AA771F">
      <w:pPr>
        <w:pStyle w:val="57"/>
        <w:ind w:firstLine="420"/>
        <w:rPr>
          <w:shd w:val="clear" w:color="auto" w:fill="FFFFFF"/>
        </w:rPr>
        <w:sectPr>
          <w:pgSz w:w="11906" w:h="16838"/>
          <w:pgMar w:top="1928" w:right="1134" w:bottom="1134" w:left="1134" w:header="1418" w:footer="1134" w:gutter="284"/>
          <w:cols w:space="425" w:num="1"/>
          <w:formProt w:val="0"/>
          <w:docGrid w:linePitch="312" w:charSpace="0"/>
        </w:sectPr>
      </w:pPr>
    </w:p>
    <w:p w14:paraId="22FAE206">
      <w:pPr>
        <w:pStyle w:val="199"/>
        <w:rPr>
          <w:vanish w:val="0"/>
          <w:shd w:val="clear" w:color="auto" w:fill="FFFFFF"/>
        </w:rPr>
      </w:pPr>
    </w:p>
    <w:p w14:paraId="73001325">
      <w:pPr>
        <w:pStyle w:val="200"/>
        <w:rPr>
          <w:vanish w:val="0"/>
        </w:rPr>
      </w:pPr>
    </w:p>
    <w:p w14:paraId="0527BA33">
      <w:pPr>
        <w:pStyle w:val="77"/>
        <w:spacing w:after="120"/>
        <w:rPr>
          <w:rFonts w:hint="eastAsia"/>
        </w:rPr>
      </w:pPr>
      <w:r>
        <w:br w:type="textWrapping"/>
      </w:r>
      <w:bookmarkStart w:id="138" w:name="_Toc228436548"/>
      <w:bookmarkStart w:id="139" w:name="_Toc228435943"/>
      <w:bookmarkStart w:id="140" w:name="_Toc228436136"/>
      <w:r>
        <w:rPr>
          <w:rFonts w:hint="eastAsia"/>
        </w:rPr>
        <w:t>（规范性）</w:t>
      </w:r>
      <w:r>
        <w:br w:type="textWrapping"/>
      </w:r>
      <w:r>
        <w:rPr>
          <w:rFonts w:hint="eastAsia"/>
        </w:rPr>
        <w:t>明厨亮灶视频接入技术要求</w:t>
      </w:r>
      <w:bookmarkEnd w:id="138"/>
      <w:bookmarkEnd w:id="139"/>
      <w:bookmarkEnd w:id="140"/>
    </w:p>
    <w:p w14:paraId="187DDE98">
      <w:pPr>
        <w:pStyle w:val="57"/>
        <w:ind w:firstLine="420"/>
        <w:rPr>
          <w:rFonts w:hint="eastAsia"/>
        </w:rPr>
      </w:pPr>
    </w:p>
    <w:p w14:paraId="7ED35B4B">
      <w:pPr>
        <w:pStyle w:val="57"/>
        <w:ind w:firstLine="420"/>
      </w:pPr>
      <w:r>
        <w:rPr>
          <w:rFonts w:hint="eastAsia"/>
        </w:rPr>
        <w:t>明厨亮灶视频接入技术要求：</w:t>
      </w:r>
    </w:p>
    <w:p w14:paraId="723A0341">
      <w:pPr>
        <w:pStyle w:val="57"/>
        <w:ind w:firstLine="420"/>
      </w:pPr>
      <w:r>
        <w:rPr>
          <w:rFonts w:hint="eastAsia"/>
        </w:rPr>
        <w:t>——合规的摄像设备：安装支持GB/T 28181</w:t>
      </w:r>
      <w:r>
        <w:rPr>
          <w:rFonts w:hint="eastAsia" w:hAnsi="宋体"/>
          <w:shd w:val="clear" w:color="auto" w:fill="FFFFFF"/>
        </w:rPr>
        <w:t>—2022</w:t>
      </w:r>
      <w:r>
        <w:rPr>
          <w:rFonts w:hint="eastAsia"/>
        </w:rPr>
        <w:t>协议的摄像头，确保视频信号可被监管平台稳定调用；</w:t>
      </w:r>
    </w:p>
    <w:p w14:paraId="3DD6ED29">
      <w:pPr>
        <w:pStyle w:val="57"/>
        <w:ind w:firstLine="420"/>
      </w:pPr>
      <w:r>
        <w:rPr>
          <w:rFonts w:hint="eastAsia"/>
        </w:rPr>
        <w:t>——畅通的网络环境：需接入稳定、可对外互联的宽带网络（公网环境），以保证视频实时传输顺畅。安装“互联网+明厨亮灶”应选择网络带宽不小于200MB。</w:t>
      </w:r>
    </w:p>
    <w:p w14:paraId="4F008B76">
      <w:pPr>
        <w:pStyle w:val="57"/>
        <w:ind w:firstLine="420"/>
      </w:pPr>
    </w:p>
    <w:p w14:paraId="76C98A39">
      <w:pPr>
        <w:pStyle w:val="57"/>
        <w:ind w:firstLine="420"/>
      </w:pPr>
    </w:p>
    <w:p w14:paraId="12C178AA">
      <w:pPr>
        <w:pStyle w:val="57"/>
        <w:ind w:firstLine="420"/>
      </w:pPr>
    </w:p>
    <w:p w14:paraId="7E049BBD">
      <w:pPr>
        <w:pStyle w:val="57"/>
        <w:ind w:firstLine="420"/>
      </w:pPr>
    </w:p>
    <w:p w14:paraId="7868967F">
      <w:pPr>
        <w:pStyle w:val="57"/>
        <w:ind w:firstLine="420"/>
        <w:rPr>
          <w:shd w:val="clear" w:color="auto" w:fill="FFFFFF"/>
        </w:rPr>
      </w:pPr>
    </w:p>
    <w:p w14:paraId="3B75DBC7">
      <w:pPr>
        <w:pStyle w:val="57"/>
        <w:ind w:firstLine="420"/>
        <w:sectPr>
          <w:pgSz w:w="11906" w:h="16838"/>
          <w:pgMar w:top="1928" w:right="1134" w:bottom="1134" w:left="1134" w:header="1418" w:footer="1134" w:gutter="284"/>
          <w:pgNumType w:start="1"/>
          <w:cols w:space="425" w:num="1"/>
          <w:formProt w:val="0"/>
          <w:docGrid w:linePitch="312" w:charSpace="0"/>
        </w:sectPr>
      </w:pPr>
    </w:p>
    <w:p w14:paraId="63468183">
      <w:pPr>
        <w:pStyle w:val="199"/>
        <w:rPr>
          <w:vanish w:val="0"/>
        </w:rPr>
      </w:pPr>
    </w:p>
    <w:p w14:paraId="7A591DC6">
      <w:pPr>
        <w:pStyle w:val="200"/>
        <w:rPr>
          <w:vanish w:val="0"/>
        </w:rPr>
      </w:pPr>
    </w:p>
    <w:p w14:paraId="318037C0">
      <w:pPr>
        <w:pStyle w:val="77"/>
        <w:spacing w:after="120"/>
        <w:rPr>
          <w:rFonts w:hint="eastAsia"/>
        </w:rPr>
      </w:pPr>
      <w:r>
        <w:br w:type="textWrapping"/>
      </w:r>
      <w:bookmarkStart w:id="141" w:name="_Toc228436137"/>
      <w:bookmarkStart w:id="142" w:name="_Toc228436549"/>
      <w:r>
        <w:rPr>
          <w:rFonts w:hint="eastAsia"/>
        </w:rPr>
        <w:t>（资料性）</w:t>
      </w:r>
      <w:r>
        <w:br w:type="textWrapping"/>
      </w:r>
      <w:r>
        <w:rPr>
          <w:rFonts w:hint="eastAsia"/>
        </w:rPr>
        <w:t>食安封签使用规范图示</w:t>
      </w:r>
      <w:bookmarkEnd w:id="141"/>
      <w:bookmarkEnd w:id="142"/>
    </w:p>
    <w:p w14:paraId="4893B164">
      <w:pPr>
        <w:pStyle w:val="57"/>
        <w:ind w:firstLine="420"/>
      </w:pPr>
    </w:p>
    <w:p w14:paraId="010263A9">
      <w:pPr>
        <w:pStyle w:val="57"/>
        <w:ind w:firstLine="420"/>
      </w:pPr>
    </w:p>
    <w:p w14:paraId="0E4A987C">
      <w:pPr>
        <w:pStyle w:val="57"/>
        <w:ind w:firstLine="420"/>
      </w:pPr>
      <w:r>
        <w:rPr>
          <w:rFonts w:hint="eastAsia"/>
        </w:rPr>
        <w:t>食安封签使用见图C.1。</w:t>
      </w:r>
    </w:p>
    <w:p w14:paraId="196AD883">
      <w:pPr>
        <w:pStyle w:val="57"/>
        <w:ind w:firstLine="420"/>
      </w:pPr>
    </w:p>
    <w:p w14:paraId="661E11F8">
      <w:pPr>
        <w:pStyle w:val="57"/>
        <w:ind w:firstLine="420"/>
      </w:pPr>
      <w:r>
        <w:drawing>
          <wp:inline distT="0" distB="0" distL="114300" distR="114300">
            <wp:extent cx="4940935" cy="3883025"/>
            <wp:effectExtent l="1905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0" cstate="print"/>
                    <a:stretch>
                      <a:fillRect/>
                    </a:stretch>
                  </pic:blipFill>
                  <pic:spPr>
                    <a:xfrm>
                      <a:off x="0" y="0"/>
                      <a:ext cx="4943475" cy="3884943"/>
                    </a:xfrm>
                    <a:prstGeom prst="rect">
                      <a:avLst/>
                    </a:prstGeom>
                    <a:noFill/>
                    <a:ln>
                      <a:noFill/>
                    </a:ln>
                  </pic:spPr>
                </pic:pic>
              </a:graphicData>
            </a:graphic>
          </wp:inline>
        </w:drawing>
      </w:r>
    </w:p>
    <w:p w14:paraId="662F6EB0">
      <w:pPr>
        <w:pStyle w:val="57"/>
        <w:ind w:firstLine="420"/>
      </w:pPr>
    </w:p>
    <w:p w14:paraId="1CB55D9C">
      <w:pPr>
        <w:pStyle w:val="57"/>
        <w:ind w:firstLine="420"/>
      </w:pPr>
    </w:p>
    <w:bookmarkEnd w:id="133"/>
    <w:p w14:paraId="09DC232E">
      <w:pPr>
        <w:pStyle w:val="84"/>
        <w:spacing w:before="120" w:after="120"/>
      </w:pPr>
      <w:bookmarkStart w:id="143" w:name="BookMark6"/>
      <w:r>
        <w:rPr>
          <w:rFonts w:hint="eastAsia"/>
        </w:rPr>
        <w:t>食安封签使用图示</w:t>
      </w:r>
    </w:p>
    <w:p w14:paraId="79CC0B61">
      <w:pPr>
        <w:pStyle w:val="57"/>
        <w:ind w:firstLine="420"/>
        <w:rPr>
          <w:shd w:val="clear" w:color="auto" w:fill="FFFFFF"/>
        </w:rPr>
        <w:sectPr>
          <w:pgSz w:w="11906" w:h="16838"/>
          <w:pgMar w:top="1928" w:right="1134" w:bottom="1134" w:left="1134" w:header="1418" w:footer="1134" w:gutter="284"/>
          <w:cols w:space="425" w:num="1"/>
          <w:formProt w:val="0"/>
          <w:docGrid w:linePitch="312" w:charSpace="0"/>
        </w:sectPr>
      </w:pPr>
    </w:p>
    <w:p w14:paraId="67C33FD0">
      <w:pPr>
        <w:pStyle w:val="64"/>
        <w:spacing w:after="120"/>
        <w:rPr>
          <w:shd w:val="clear" w:color="auto" w:fill="FFFFFF"/>
        </w:rPr>
      </w:pPr>
      <w:bookmarkStart w:id="144" w:name="_Toc227158303"/>
      <w:bookmarkStart w:id="145" w:name="_Toc228436138"/>
      <w:bookmarkStart w:id="146" w:name="_Toc228435945"/>
      <w:bookmarkStart w:id="147" w:name="_Toc228436550"/>
      <w:r>
        <w:rPr>
          <w:rFonts w:hint="eastAsia"/>
          <w:spacing w:val="105"/>
          <w:shd w:val="clear" w:color="auto" w:fill="FFFFFF"/>
        </w:rPr>
        <w:t>参考文</w:t>
      </w:r>
      <w:r>
        <w:rPr>
          <w:rFonts w:hint="eastAsia"/>
          <w:shd w:val="clear" w:color="auto" w:fill="FFFFFF"/>
        </w:rPr>
        <w:t>献</w:t>
      </w:r>
      <w:bookmarkEnd w:id="144"/>
      <w:bookmarkEnd w:id="145"/>
      <w:bookmarkEnd w:id="146"/>
      <w:bookmarkEnd w:id="147"/>
    </w:p>
    <w:p w14:paraId="17C92E39">
      <w:pPr>
        <w:pStyle w:val="57"/>
        <w:ind w:firstLine="420"/>
      </w:pPr>
    </w:p>
    <w:p w14:paraId="1AAC58F2">
      <w:pPr>
        <w:numPr>
          <w:ilvl w:val="0"/>
          <w:numId w:val="32"/>
        </w:numPr>
        <w:spacing w:line="240" w:lineRule="auto"/>
        <w:ind w:firstLine="420" w:firstLineChars="200"/>
        <w:rPr>
          <w:rFonts w:ascii="宋体" w:hAnsi="宋体"/>
          <w:shd w:val="clear" w:color="auto" w:fill="FFFFFF"/>
        </w:rPr>
      </w:pPr>
      <w:r>
        <w:rPr>
          <w:rFonts w:hint="eastAsia" w:ascii="宋体" w:hAnsi="宋体"/>
          <w:shd w:val="clear" w:color="auto" w:fill="FFFFFF"/>
        </w:rPr>
        <w:t xml:space="preserve">  GB/T 31654  餐饮服务通用卫生规范</w:t>
      </w:r>
    </w:p>
    <w:p w14:paraId="742DAD52">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GB/T 40041—2021  外卖餐品信息描述规范</w:t>
      </w:r>
    </w:p>
    <w:p w14:paraId="4662A8D8">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GB/T 43285—2023  绿色外卖管理规范</w:t>
      </w:r>
    </w:p>
    <w:p w14:paraId="3D9E4069">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GB/T 46862—2025  外卖平台服务管理基本要求</w:t>
      </w:r>
    </w:p>
    <w:p w14:paraId="1CF221B4">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DB62/T 4085—2019  餐饮服务明厨亮灶建设要求</w:t>
      </w:r>
    </w:p>
    <w:p w14:paraId="4EA0C853">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食品安全法</w:t>
      </w:r>
    </w:p>
    <w:p w14:paraId="28D4C6BD">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餐饮服务食品安全操作规范</w:t>
      </w:r>
    </w:p>
    <w:p w14:paraId="4B85A248">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网络餐饮服务食品安全监督管理办法（国家市场监督管理总局令第31号）</w:t>
      </w:r>
    </w:p>
    <w:p w14:paraId="5F04EBF2">
      <w:pPr>
        <w:numPr>
          <w:ilvl w:val="0"/>
          <w:numId w:val="32"/>
        </w:numPr>
        <w:spacing w:line="240" w:lineRule="auto"/>
        <w:ind w:firstLine="420" w:firstLineChars="200"/>
        <w:rPr>
          <w:rFonts w:hint="eastAsia" w:ascii="宋体" w:hAnsi="宋体"/>
          <w:shd w:val="clear" w:color="auto" w:fill="FFFFFF"/>
        </w:rPr>
      </w:pPr>
      <w:r>
        <w:rPr>
          <w:rFonts w:hint="eastAsia" w:ascii="宋体" w:hAnsi="宋体"/>
          <w:shd w:val="clear" w:color="auto" w:fill="FFFFFF"/>
        </w:rPr>
        <w:t xml:space="preserve">  山东省外卖封签使用管理指南（鲁市监餐食规字〔2024〕14号）</w:t>
      </w:r>
    </w:p>
    <w:bookmarkEnd w:id="143"/>
    <w:p w14:paraId="22218476">
      <w:pPr>
        <w:spacing w:line="240" w:lineRule="auto"/>
        <w:ind w:left="420"/>
        <w:jc w:val="center"/>
        <w:rPr>
          <w:rFonts w:ascii="宋体" w:hAnsi="宋体"/>
          <w:shd w:val="clear" w:color="auto" w:fill="FFFFFF"/>
        </w:rPr>
      </w:pPr>
      <w:bookmarkStart w:id="148" w:name="BookMark8"/>
      <w:r>
        <w:rPr>
          <w:rFonts w:ascii="宋体" w:hAnsi="宋体"/>
          <w:shd w:val="clear" w:color="auto" w:fill="FFFFFF"/>
        </w:rPr>
        <w:drawing>
          <wp:inline distT="0" distB="0" distL="0" distR="0">
            <wp:extent cx="1485900" cy="317500"/>
            <wp:effectExtent l="19050" t="0" r="0" b="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21" cstate="print"/>
                    <a:stretch>
                      <a:fillRect/>
                    </a:stretch>
                  </pic:blipFill>
                  <pic:spPr>
                    <a:xfrm>
                      <a:off x="0" y="0"/>
                      <a:ext cx="1485900" cy="317500"/>
                    </a:xfrm>
                    <a:prstGeom prst="rect">
                      <a:avLst/>
                    </a:prstGeom>
                  </pic:spPr>
                </pic:pic>
              </a:graphicData>
            </a:graphic>
          </wp:inline>
        </w:drawing>
      </w:r>
      <w:bookmarkEnd w:id="148"/>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71305">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EBD63">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9EDDC">
    <w:pPr>
      <w:pStyle w:val="18"/>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99722">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24823">
    <w:pPr>
      <w:pStyle w:val="19"/>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46276">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2B668">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5F8CD">
    <w:pPr>
      <w:pStyle w:val="62"/>
    </w:pPr>
    <w:r>
      <w:fldChar w:fldCharType="begin"/>
    </w:r>
    <w:r>
      <w:instrText xml:space="preserve"> STYLEREF  标准文件_文件编号  \* MERGEFORMAT </w:instrText>
    </w:r>
    <w:r>
      <w:fldChar w:fldCharType="separate"/>
    </w:r>
    <w:r>
      <w:t>T/XXX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08CFA">
    <w:pPr>
      <w:pStyle w:val="19"/>
      <w:jc w:val="right"/>
    </w:pPr>
    <w:r>
      <w:fldChar w:fldCharType="begin"/>
    </w:r>
    <w:r>
      <w:instrText xml:space="preserve"> STYLEREF  标准文件_文件编号  \* MERGEFORMAT </w:instrText>
    </w:r>
    <w:r>
      <w:fldChar w:fldCharType="separate"/>
    </w:r>
    <w:r>
      <w:t>T/XXX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385059"/>
    <w:multiLevelType w:val="singleLevel"/>
    <w:tmpl w:val="9B385059"/>
    <w:lvl w:ilvl="0" w:tentative="0">
      <w:start w:val="1"/>
      <w:numFmt w:val="decimal"/>
      <w:suff w:val="space"/>
      <w:lvlText w:val="[%1]"/>
      <w:lvlJc w:val="left"/>
    </w:lvl>
  </w:abstractNum>
  <w:abstractNum w:abstractNumId="1">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attachedTemplate r:id="rId1"/>
  <w:documentProtection w:edit="forms" w:enforcement="1" w:cryptProviderType="rsaAES" w:cryptAlgorithmClass="hash" w:cryptAlgorithmType="typeAny" w:cryptAlgorithmSid="14" w:cryptSpinCount="100000" w:hash="zThCViFpDQtywVBuFwYuTQ5EEwyepQGLs9x6kQFLRyj4ropXN6KuKfmlI7jKPjlWV1m+PT0F9p8x&#10;6NxzK4hhgg=====" w:salt="Ax2nMoH63btUqHVYjUi4gg=="/>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763E3D"/>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18E7"/>
    <w:rsid w:val="00292D60"/>
    <w:rsid w:val="00293B30"/>
    <w:rsid w:val="00294D34"/>
    <w:rsid w:val="00294E3B"/>
    <w:rsid w:val="00296193"/>
    <w:rsid w:val="00296B1C"/>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0DA7"/>
    <w:rsid w:val="0036107C"/>
    <w:rsid w:val="003615D2"/>
    <w:rsid w:val="0036429C"/>
    <w:rsid w:val="00364A53"/>
    <w:rsid w:val="003654CB"/>
    <w:rsid w:val="00365AA9"/>
    <w:rsid w:val="00365F86"/>
    <w:rsid w:val="00365F87"/>
    <w:rsid w:val="00366E89"/>
    <w:rsid w:val="003705F4"/>
    <w:rsid w:val="00370D58"/>
    <w:rsid w:val="00371316"/>
    <w:rsid w:val="00376713"/>
    <w:rsid w:val="003802CA"/>
    <w:rsid w:val="00381815"/>
    <w:rsid w:val="003819AF"/>
    <w:rsid w:val="003820E9"/>
    <w:rsid w:val="00382DE7"/>
    <w:rsid w:val="00384FFC"/>
    <w:rsid w:val="00385291"/>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1F20"/>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5C19"/>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330D"/>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3FAB"/>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3E3D"/>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117"/>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73855"/>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0B9"/>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3871"/>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B55"/>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0"/>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818"/>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0364"/>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5FC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ADF"/>
    <w:rsid w:val="00F86D87"/>
    <w:rsid w:val="00F9108B"/>
    <w:rsid w:val="00F91349"/>
    <w:rsid w:val="00F93A8A"/>
    <w:rsid w:val="00F95248"/>
    <w:rsid w:val="00F956A9"/>
    <w:rsid w:val="00F963ED"/>
    <w:rsid w:val="00F966CF"/>
    <w:rsid w:val="00F96CAE"/>
    <w:rsid w:val="00F97C99"/>
    <w:rsid w:val="00FA53E7"/>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3D88"/>
    <w:rsid w:val="00FE4BCE"/>
    <w:rsid w:val="00FE54AE"/>
    <w:rsid w:val="00FE576A"/>
    <w:rsid w:val="00FE7E79"/>
    <w:rsid w:val="00FF3E7D"/>
    <w:rsid w:val="00FF5B99"/>
    <w:rsid w:val="00FF730C"/>
    <w:rsid w:val="00FF73F4"/>
    <w:rsid w:val="00FF7CE4"/>
    <w:rsid w:val="00FF7E39"/>
    <w:rsid w:val="1DBA49EB"/>
    <w:rsid w:val="1F6E494A"/>
    <w:rsid w:val="280007C8"/>
    <w:rsid w:val="30704F4C"/>
    <w:rsid w:val="3C357C06"/>
    <w:rsid w:val="469043B7"/>
    <w:rsid w:val="51981FF4"/>
    <w:rsid w:val="57FF46A2"/>
    <w:rsid w:val="6085265B"/>
    <w:rsid w:val="6AED777A"/>
    <w:rsid w:val="780B1F70"/>
    <w:rsid w:val="7E8122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Document Map"/>
    <w:basedOn w:val="1"/>
    <w:link w:val="231"/>
    <w:semiHidden/>
    <w:unhideWhenUsed/>
    <w:qFormat/>
    <w:uiPriority w:val="99"/>
    <w:rPr>
      <w:rFonts w:ascii="宋体"/>
      <w:sz w:val="18"/>
      <w:szCs w:val="18"/>
    </w:rPr>
  </w:style>
  <w:style w:type="paragraph" w:styleId="14">
    <w:name w:val="Body Text"/>
    <w:basedOn w:val="1"/>
    <w:link w:val="87"/>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6"/>
    <w:semiHidden/>
    <w:unhideWhenUsed/>
    <w:qFormat/>
    <w:uiPriority w:val="99"/>
    <w:rPr>
      <w:sz w:val="18"/>
      <w:szCs w:val="18"/>
    </w:rPr>
  </w:style>
  <w:style w:type="paragraph" w:styleId="18">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4"/>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Char"/>
    <w:link w:val="2"/>
    <w:qFormat/>
    <w:uiPriority w:val="0"/>
    <w:rPr>
      <w:b/>
      <w:bCs/>
      <w:kern w:val="44"/>
      <w:sz w:val="44"/>
      <w:szCs w:val="44"/>
    </w:rPr>
  </w:style>
  <w:style w:type="character" w:customStyle="1" w:styleId="36">
    <w:name w:val="标题 2 Char"/>
    <w:link w:val="3"/>
    <w:qFormat/>
    <w:uiPriority w:val="0"/>
    <w:rPr>
      <w:rFonts w:ascii="Arial" w:hAnsi="Arial" w:eastAsia="黑体"/>
      <w:b/>
      <w:bCs/>
      <w:kern w:val="2"/>
      <w:sz w:val="32"/>
      <w:szCs w:val="32"/>
    </w:rPr>
  </w:style>
  <w:style w:type="character" w:customStyle="1" w:styleId="37">
    <w:name w:val="标题 3 Char"/>
    <w:link w:val="4"/>
    <w:qFormat/>
    <w:uiPriority w:val="0"/>
    <w:rPr>
      <w:b/>
      <w:bCs/>
      <w:kern w:val="2"/>
      <w:sz w:val="32"/>
      <w:szCs w:val="32"/>
    </w:rPr>
  </w:style>
  <w:style w:type="character" w:customStyle="1" w:styleId="38">
    <w:name w:val="标题 4 Char"/>
    <w:link w:val="5"/>
    <w:qFormat/>
    <w:uiPriority w:val="0"/>
    <w:rPr>
      <w:rFonts w:ascii="Arial" w:hAnsi="Arial" w:eastAsia="黑体"/>
      <w:b/>
      <w:bCs/>
      <w:kern w:val="2"/>
      <w:sz w:val="28"/>
      <w:szCs w:val="28"/>
    </w:rPr>
  </w:style>
  <w:style w:type="character" w:customStyle="1" w:styleId="39">
    <w:name w:val="标题 5 Char"/>
    <w:link w:val="6"/>
    <w:qFormat/>
    <w:uiPriority w:val="0"/>
    <w:rPr>
      <w:b/>
      <w:bCs/>
      <w:kern w:val="2"/>
      <w:sz w:val="28"/>
      <w:szCs w:val="28"/>
    </w:rPr>
  </w:style>
  <w:style w:type="character" w:customStyle="1" w:styleId="40">
    <w:name w:val="标题 6 Char"/>
    <w:link w:val="7"/>
    <w:qFormat/>
    <w:uiPriority w:val="0"/>
    <w:rPr>
      <w:rFonts w:ascii="Arial" w:hAnsi="Arial" w:eastAsia="黑体"/>
      <w:b/>
      <w:bCs/>
      <w:kern w:val="2"/>
      <w:sz w:val="24"/>
      <w:szCs w:val="24"/>
    </w:rPr>
  </w:style>
  <w:style w:type="character" w:customStyle="1" w:styleId="41">
    <w:name w:val="标题 7 Char"/>
    <w:link w:val="8"/>
    <w:qFormat/>
    <w:uiPriority w:val="0"/>
    <w:rPr>
      <w:b/>
      <w:bCs/>
      <w:kern w:val="2"/>
      <w:sz w:val="24"/>
      <w:szCs w:val="24"/>
    </w:rPr>
  </w:style>
  <w:style w:type="character" w:customStyle="1" w:styleId="42">
    <w:name w:val="标题 8 Char"/>
    <w:link w:val="9"/>
    <w:qFormat/>
    <w:uiPriority w:val="0"/>
    <w:rPr>
      <w:rFonts w:ascii="Arial" w:hAnsi="Arial" w:eastAsia="黑体"/>
      <w:kern w:val="2"/>
      <w:sz w:val="24"/>
      <w:szCs w:val="24"/>
    </w:rPr>
  </w:style>
  <w:style w:type="character" w:customStyle="1" w:styleId="43">
    <w:name w:val="标题 9 Char"/>
    <w:link w:val="10"/>
    <w:qFormat/>
    <w:uiPriority w:val="0"/>
    <w:rPr>
      <w:rFonts w:ascii="Arial" w:hAnsi="Arial" w:eastAsia="黑体"/>
      <w:kern w:val="2"/>
      <w:sz w:val="21"/>
      <w:szCs w:val="21"/>
    </w:rPr>
  </w:style>
  <w:style w:type="character" w:customStyle="1" w:styleId="44">
    <w:name w:val="页眉 Char"/>
    <w:link w:val="19"/>
    <w:qFormat/>
    <w:uiPriority w:val="99"/>
    <w:rPr>
      <w:kern w:val="2"/>
      <w:sz w:val="18"/>
      <w:szCs w:val="18"/>
    </w:rPr>
  </w:style>
  <w:style w:type="character" w:customStyle="1" w:styleId="45">
    <w:name w:val="页脚 Char"/>
    <w:link w:val="18"/>
    <w:qFormat/>
    <w:uiPriority w:val="99"/>
    <w:rPr>
      <w:rFonts w:ascii="宋体"/>
      <w:kern w:val="2"/>
      <w:sz w:val="18"/>
      <w:szCs w:val="18"/>
    </w:rPr>
  </w:style>
  <w:style w:type="character" w:customStyle="1" w:styleId="46">
    <w:name w:val="批注框文本 Char"/>
    <w:link w:val="17"/>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Char"/>
    <w:link w:val="47"/>
    <w:qFormat/>
    <w:uiPriority w:val="29"/>
    <w:rPr>
      <w:i/>
      <w:iCs/>
      <w:color w:val="000000"/>
      <w:kern w:val="2"/>
      <w:sz w:val="21"/>
      <w:szCs w:val="21"/>
    </w:rPr>
  </w:style>
  <w:style w:type="character" w:customStyle="1" w:styleId="49">
    <w:name w:val="标题 Char"/>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Lines="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Lines="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Lines="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Lines="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Lines="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Lines="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Lines="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Char"/>
    <w:link w:val="14"/>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Lines="50" w:afterLines="50"/>
      <w:jc w:val="both"/>
      <w:outlineLvl w:val="4"/>
    </w:pPr>
    <w:rPr>
      <w:rFonts w:ascii="黑体" w:hAnsi="Times New Roman" w:eastAsia="黑体" w:cs="Times New Roman"/>
      <w:sz w:val="21"/>
      <w:lang w:val="en-US" w:eastAsia="zh-CN" w:bidi="ar-SA"/>
    </w:rPr>
  </w:style>
  <w:style w:type="character" w:customStyle="1" w:styleId="100">
    <w:name w:val="脚注文本 Char"/>
    <w:link w:val="22"/>
    <w:semiHidden/>
    <w:qFormat/>
    <w:uiPriority w:val="0"/>
    <w:rPr>
      <w:rFonts w:ascii="宋体"/>
      <w:kern w:val="2"/>
      <w:sz w:val="18"/>
      <w:szCs w:val="18"/>
    </w:rPr>
  </w:style>
  <w:style w:type="paragraph" w:customStyle="1" w:styleId="101">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Lines="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Lines="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Lines="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Lines="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Lines="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Lines="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Lines="0" w:afterLines="0"/>
      <w:outlineLvl w:val="9"/>
    </w:pPr>
    <w:rPr>
      <w:rFonts w:ascii="宋体" w:eastAsia="宋体"/>
    </w:rPr>
  </w:style>
  <w:style w:type="paragraph" w:customStyle="1" w:styleId="164">
    <w:name w:val="标准文件_五级无标题"/>
    <w:basedOn w:val="104"/>
    <w:qFormat/>
    <w:uiPriority w:val="0"/>
    <w:pPr>
      <w:spacing w:beforeLines="0" w:afterLines="0"/>
      <w:outlineLvl w:val="9"/>
    </w:pPr>
    <w:rPr>
      <w:rFonts w:ascii="宋体" w:eastAsia="宋体"/>
    </w:rPr>
  </w:style>
  <w:style w:type="paragraph" w:customStyle="1" w:styleId="165">
    <w:name w:val="标准文件_三级无标题"/>
    <w:basedOn w:val="95"/>
    <w:qFormat/>
    <w:uiPriority w:val="0"/>
    <w:pPr>
      <w:spacing w:beforeLines="0" w:afterLines="0"/>
      <w:outlineLvl w:val="9"/>
    </w:pPr>
    <w:rPr>
      <w:rFonts w:ascii="宋体" w:eastAsia="宋体"/>
    </w:rPr>
  </w:style>
  <w:style w:type="paragraph" w:customStyle="1" w:styleId="166">
    <w:name w:val="标准文件_二级无标题"/>
    <w:basedOn w:val="66"/>
    <w:qFormat/>
    <w:uiPriority w:val="0"/>
    <w:pPr>
      <w:spacing w:beforeLines="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Lines="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frame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Lines="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Lines="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Lines="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Lines="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Lines="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Lines="0" w:afterLines="0" w:line="276" w:lineRule="auto"/>
      <w:outlineLvl w:val="9"/>
    </w:pPr>
    <w:rPr>
      <w:rFonts w:ascii="宋体" w:eastAsia="宋体"/>
    </w:rPr>
  </w:style>
  <w:style w:type="paragraph" w:customStyle="1" w:styleId="213">
    <w:name w:val="标准文件_附录二级无标题"/>
    <w:basedOn w:val="80"/>
    <w:qFormat/>
    <w:uiPriority w:val="0"/>
    <w:pPr>
      <w:spacing w:beforeLines="0" w:afterLines="0" w:line="276" w:lineRule="auto"/>
      <w:outlineLvl w:val="9"/>
    </w:pPr>
    <w:rPr>
      <w:rFonts w:ascii="宋体" w:eastAsia="宋体"/>
    </w:rPr>
  </w:style>
  <w:style w:type="paragraph" w:customStyle="1" w:styleId="214">
    <w:name w:val="标准文件_附录三级无标题"/>
    <w:basedOn w:val="82"/>
    <w:qFormat/>
    <w:uiPriority w:val="0"/>
    <w:pPr>
      <w:spacing w:beforeLines="0" w:afterLines="0" w:line="276" w:lineRule="auto"/>
      <w:outlineLvl w:val="9"/>
    </w:pPr>
    <w:rPr>
      <w:rFonts w:ascii="宋体" w:eastAsia="宋体"/>
    </w:rPr>
  </w:style>
  <w:style w:type="paragraph" w:customStyle="1" w:styleId="215">
    <w:name w:val="标准文件_附录四级无标题"/>
    <w:basedOn w:val="83"/>
    <w:qFormat/>
    <w:uiPriority w:val="0"/>
    <w:pPr>
      <w:spacing w:beforeLines="0" w:afterLines="0" w:line="276" w:lineRule="auto"/>
      <w:outlineLvl w:val="9"/>
    </w:pPr>
    <w:rPr>
      <w:rFonts w:ascii="宋体" w:eastAsia="宋体"/>
    </w:rPr>
  </w:style>
  <w:style w:type="paragraph" w:customStyle="1" w:styleId="216">
    <w:name w:val="标准文件_附录五级无标题"/>
    <w:basedOn w:val="85"/>
    <w:qFormat/>
    <w:uiPriority w:val="0"/>
    <w:pPr>
      <w:spacing w:beforeLines="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Lines="0" w:afterLines="0" w:line="276" w:lineRule="auto"/>
    </w:pPr>
    <w:rPr>
      <w:rFonts w:ascii="宋体" w:eastAsia="宋体"/>
    </w:rPr>
  </w:style>
  <w:style w:type="paragraph" w:customStyle="1" w:styleId="218">
    <w:name w:val="标准文件_引言二级无标题"/>
    <w:basedOn w:val="202"/>
    <w:next w:val="57"/>
    <w:qFormat/>
    <w:uiPriority w:val="0"/>
    <w:pPr>
      <w:spacing w:beforeLines="0" w:afterLines="0" w:line="276" w:lineRule="auto"/>
    </w:pPr>
    <w:rPr>
      <w:rFonts w:ascii="宋体" w:eastAsia="宋体"/>
    </w:rPr>
  </w:style>
  <w:style w:type="paragraph" w:customStyle="1" w:styleId="219">
    <w:name w:val="标准文件_引言三级无标题"/>
    <w:basedOn w:val="203"/>
    <w:qFormat/>
    <w:uiPriority w:val="0"/>
    <w:pPr>
      <w:spacing w:beforeLines="0" w:afterLines="0" w:line="276" w:lineRule="auto"/>
    </w:pPr>
    <w:rPr>
      <w:rFonts w:ascii="宋体" w:eastAsia="宋体"/>
    </w:rPr>
  </w:style>
  <w:style w:type="paragraph" w:customStyle="1" w:styleId="220">
    <w:name w:val="标准文件_引言四级无标题"/>
    <w:basedOn w:val="204"/>
    <w:next w:val="57"/>
    <w:qFormat/>
    <w:uiPriority w:val="0"/>
    <w:pPr>
      <w:spacing w:beforeLines="0" w:afterLines="0" w:line="276" w:lineRule="auto"/>
    </w:pPr>
    <w:rPr>
      <w:rFonts w:ascii="宋体" w:eastAsia="宋体"/>
    </w:rPr>
  </w:style>
  <w:style w:type="paragraph" w:customStyle="1" w:styleId="221">
    <w:name w:val="标准文件_引言五级无标题"/>
    <w:basedOn w:val="205"/>
    <w:next w:val="57"/>
    <w:qFormat/>
    <w:uiPriority w:val="0"/>
    <w:pPr>
      <w:spacing w:beforeLines="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文档结构图 Char"/>
    <w:basedOn w:val="29"/>
    <w:link w:val="13"/>
    <w:semiHidden/>
    <w:qFormat/>
    <w:uiPriority w:val="99"/>
    <w:rPr>
      <w:rFonts w:ascii="宋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glossaryDocument" Target="glossary/document.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7.jpe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58D0BF2311DE45749C7ABE110D2B8E8C"/>
        <w:style w:val=""/>
        <w:category>
          <w:name w:val="常规"/>
          <w:gallery w:val="placeholder"/>
        </w:category>
        <w:types>
          <w:type w:val="bbPlcHdr"/>
        </w:types>
        <w:behaviors>
          <w:behavior w:val="content"/>
        </w:behaviors>
        <w:description w:val=""/>
        <w:guid w:val="{37290531-9A46-4779-968D-9E0396656CDD}"/>
      </w:docPartPr>
      <w:docPartBody>
        <w:p w14:paraId="18BC80C2">
          <w:pPr>
            <w:pStyle w:val="5"/>
          </w:pPr>
          <w:r>
            <w:rPr>
              <w:rStyle w:val="4"/>
              <w:rFonts w:hint="eastAsia"/>
            </w:rPr>
            <w:t>单击或点击此处输入文字。</w:t>
          </w:r>
        </w:p>
      </w:docPartBody>
    </w:docPart>
    <w:docPart>
      <w:docPartPr>
        <w:name w:val="9567DB1B5AE948BA9D7AE4CFFD607635"/>
        <w:style w:val=""/>
        <w:category>
          <w:name w:val="常规"/>
          <w:gallery w:val="placeholder"/>
        </w:category>
        <w:types>
          <w:type w:val="bbPlcHdr"/>
        </w:types>
        <w:behaviors>
          <w:behavior w:val="content"/>
        </w:behaviors>
        <w:description w:val=""/>
        <w:guid w:val="{C9FE770A-C3B7-4697-9C5F-DC3D2D1BEE05}"/>
      </w:docPartPr>
      <w:docPartBody>
        <w:p w14:paraId="47580D10">
          <w:pPr>
            <w:pStyle w:val="6"/>
          </w:pPr>
          <w:r>
            <w:rPr>
              <w:rStyle w:val="4"/>
              <w:rFonts w:hint="eastAsia"/>
            </w:rPr>
            <w:t>选择一项。</w:t>
          </w:r>
        </w:p>
      </w:docPartBody>
    </w:docPart>
    <w:docPart>
      <w:docPartPr>
        <w:name w:val="AA3A5F7266C242BE910047037690EA59"/>
        <w:style w:val=""/>
        <w:category>
          <w:name w:val="常规"/>
          <w:gallery w:val="placeholder"/>
        </w:category>
        <w:types>
          <w:type w:val="bbPlcHdr"/>
        </w:types>
        <w:behaviors>
          <w:behavior w:val="content"/>
        </w:behaviors>
        <w:description w:val=""/>
        <w:guid w:val="{CB8FEDB8-C3A7-4E12-A8C0-56D13526D071}"/>
      </w:docPartPr>
      <w:docPartBody>
        <w:p w14:paraId="5CF79A6D">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revisionView w:markup="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91527"/>
    <w:rsid w:val="00691527"/>
    <w:rsid w:val="007A52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58D0BF2311DE45749C7ABE110D2B8E8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9567DB1B5AE948BA9D7AE4CFFD60763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A3A5F7266C242BE910047037690EA59"/>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2051"/>
    <customShpInfo spid="_x0000_s205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8654F0-D2E7-4F79-92DB-365106535BD5}">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12</Pages>
  <Words>3351</Words>
  <Characters>3741</Characters>
  <Lines>43</Lines>
  <Paragraphs>12</Paragraphs>
  <TotalTime>83</TotalTime>
  <ScaleCrop>false</ScaleCrop>
  <LinksUpToDate>false</LinksUpToDate>
  <CharactersWithSpaces>3926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2026-04-15T03:16:00Z</dcterms:created>
  <dc:creator>user</dc:creator>
  <dc:description>&lt;config cover="true" show_menu="true" version="1.0.0" doctype="SDKXY"&gt;_x000d_
&lt;/config&gt;</dc:description>
  <cp:lastModifiedBy>王洋美悦</cp:lastModifiedBy>
  <cp:lastPrinted>2021-02-02T08:22:00Z</cp:lastPrinted>
  <dcterms:modified xsi:type="dcterms:W3CDTF">2026-04-30T02:51:13Z</dcterms:modified>
  <dc:title>团体标准</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eyJoZGlkIjoiM2Y3ZGM1MmFlYmM4NWQzMGIxYmQ2YzEzMTNjOGZhNjEiLCJ1c2VySWQiOiIzNzk4MjczMzcifQ==</vt:lpwstr>
  </property>
  <property fmtid="{D5CDD505-2E9C-101B-9397-08002B2CF9AE}" pid="15" name="KSOProductBuildVer">
    <vt:lpwstr>2052-12.1.0.25865</vt:lpwstr>
  </property>
  <property fmtid="{D5CDD505-2E9C-101B-9397-08002B2CF9AE}" pid="16" name="ICV">
    <vt:lpwstr>D39129AF351A48D3AA4AC801269C6A49_12</vt:lpwstr>
  </property>
</Properties>
</file>