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A79B6A">
      <w:pPr>
        <w:spacing w:before="234" w:beforeLines="50" w:after="234" w:afterLines="50" w:line="360" w:lineRule="auto"/>
        <w:jc w:val="center"/>
        <w:rPr>
          <w:b/>
          <w:color w:val="auto"/>
          <w:sz w:val="36"/>
          <w:szCs w:val="36"/>
        </w:rPr>
      </w:pPr>
      <w:r>
        <w:rPr>
          <w:rFonts w:hint="eastAsia"/>
          <w:b/>
          <w:color w:val="auto"/>
          <w:sz w:val="36"/>
          <w:szCs w:val="36"/>
        </w:rPr>
        <w:t>冲感式浮子流量计团体标准编制说明</w:t>
      </w:r>
    </w:p>
    <w:p w14:paraId="605245D7">
      <w:pPr>
        <w:pStyle w:val="13"/>
        <w:spacing w:before="234" w:beforeLines="50" w:after="0" w:line="360" w:lineRule="auto"/>
        <w:ind w:firstLine="0" w:firstLineChars="0"/>
        <w:jc w:val="left"/>
        <w:rPr>
          <w:b/>
          <w:bCs/>
          <w:color w:val="auto"/>
          <w:sz w:val="32"/>
          <w:szCs w:val="32"/>
        </w:rPr>
      </w:pPr>
      <w:r>
        <w:rPr>
          <w:rFonts w:hint="eastAsia"/>
          <w:b/>
          <w:bCs/>
          <w:color w:val="auto"/>
          <w:sz w:val="32"/>
          <w:szCs w:val="32"/>
        </w:rPr>
        <w:t>一、任务背景</w:t>
      </w:r>
    </w:p>
    <w:p w14:paraId="55387D7D">
      <w:pPr>
        <w:spacing w:after="0"/>
        <w:ind w:firstLine="560" w:firstLineChars="200"/>
        <w:jc w:val="left"/>
        <w:rPr>
          <w:color w:val="auto"/>
          <w:sz w:val="28"/>
          <w:szCs w:val="28"/>
        </w:rPr>
      </w:pPr>
      <w:r>
        <w:rPr>
          <w:rFonts w:hint="eastAsia"/>
          <w:color w:val="auto"/>
          <w:sz w:val="28"/>
          <w:szCs w:val="28"/>
        </w:rPr>
        <w:t>针对石油开采行业复杂工况（如高粘度、含颗粒原油及油、气多相混合液）流量计量的世界性难题，传统流量计（如涡街流量计、金属管浮子流量计、</w:t>
      </w:r>
      <w:r>
        <w:rPr>
          <w:rFonts w:hint="eastAsia"/>
          <w:color w:val="auto"/>
          <w:sz w:val="28"/>
          <w:szCs w:val="28"/>
          <w:lang w:eastAsia="zh-CN"/>
        </w:rPr>
        <w:t>涡轮流量计</w:t>
      </w:r>
      <w:r>
        <w:rPr>
          <w:rFonts w:hint="eastAsia"/>
          <w:color w:val="auto"/>
          <w:sz w:val="28"/>
          <w:szCs w:val="28"/>
        </w:rPr>
        <w:t>等）在精度、稳定性和适应性方面存在明显不足。具体问题包括：</w:t>
      </w:r>
    </w:p>
    <w:p w14:paraId="5C34AAA8">
      <w:pPr>
        <w:spacing w:after="0"/>
        <w:ind w:firstLine="560" w:firstLineChars="200"/>
        <w:jc w:val="left"/>
        <w:rPr>
          <w:color w:val="auto"/>
          <w:sz w:val="28"/>
          <w:szCs w:val="28"/>
        </w:rPr>
      </w:pPr>
      <w:r>
        <w:rPr>
          <w:rFonts w:hint="eastAsia"/>
          <w:color w:val="auto"/>
          <w:sz w:val="28"/>
          <w:szCs w:val="28"/>
        </w:rPr>
        <w:t>精度不足：原油成分复杂、粘度变化大，传统流量计易受环境温压波动影响，导致计量误差超标。</w:t>
      </w:r>
    </w:p>
    <w:p w14:paraId="5185EB9B">
      <w:pPr>
        <w:spacing w:after="0"/>
        <w:ind w:firstLine="560" w:firstLineChars="200"/>
        <w:jc w:val="left"/>
        <w:rPr>
          <w:color w:val="auto"/>
          <w:sz w:val="28"/>
          <w:szCs w:val="28"/>
        </w:rPr>
      </w:pPr>
      <w:r>
        <w:rPr>
          <w:rFonts w:hint="eastAsia"/>
          <w:color w:val="auto"/>
          <w:sz w:val="28"/>
          <w:szCs w:val="28"/>
        </w:rPr>
        <w:t>易堵塞与磨损：原油含杂质、固体颗粒，易堵塞测量管道，机械传动部件磨损严重，维护成本高。</w:t>
      </w:r>
    </w:p>
    <w:p w14:paraId="66F73EF5">
      <w:pPr>
        <w:spacing w:after="0"/>
        <w:ind w:firstLine="560" w:firstLineChars="200"/>
        <w:jc w:val="left"/>
        <w:rPr>
          <w:color w:val="auto"/>
          <w:sz w:val="28"/>
          <w:szCs w:val="28"/>
        </w:rPr>
      </w:pPr>
      <w:r>
        <w:rPr>
          <w:rFonts w:hint="eastAsia"/>
          <w:color w:val="auto"/>
          <w:sz w:val="28"/>
          <w:szCs w:val="28"/>
        </w:rPr>
        <w:t>缺少多介质适用性：传统流量计在工作场景下无法适应多介质流体计量的需求。</w:t>
      </w:r>
    </w:p>
    <w:p w14:paraId="0FD8A199">
      <w:pPr>
        <w:spacing w:after="0"/>
        <w:ind w:firstLine="560" w:firstLineChars="200"/>
        <w:jc w:val="left"/>
        <w:rPr>
          <w:color w:val="auto"/>
          <w:sz w:val="28"/>
          <w:szCs w:val="28"/>
        </w:rPr>
      </w:pPr>
      <w:r>
        <w:rPr>
          <w:rFonts w:hint="eastAsia"/>
          <w:color w:val="auto"/>
          <w:sz w:val="28"/>
          <w:szCs w:val="28"/>
        </w:rPr>
        <w:t>冲感式浮子流量计通过非接触式磁感定位、多参数动态补偿、耐腐蚀一体化结构等技术创新，显著提升测量精度、抗堵塞能力和长期稳定性。其独立供电、防爆设计及远程数据传输功能，特别适用于油田野外作业和复杂工业场景。然而，现有标准（如JB/T 6844-2015《金属管浮子流量计》）无法覆盖其技术特性，亟需制定专用团体标准，规范产品设计、生产及检验流程，推动行业技术进步。</w:t>
      </w:r>
    </w:p>
    <w:p w14:paraId="3E0CA240">
      <w:pPr>
        <w:pStyle w:val="13"/>
        <w:spacing w:after="0" w:line="360" w:lineRule="auto"/>
        <w:ind w:firstLine="0" w:firstLineChars="0"/>
        <w:jc w:val="left"/>
        <w:rPr>
          <w:b/>
          <w:bCs/>
          <w:color w:val="auto"/>
          <w:sz w:val="32"/>
          <w:szCs w:val="32"/>
        </w:rPr>
      </w:pPr>
      <w:r>
        <w:rPr>
          <w:rFonts w:hint="eastAsia"/>
          <w:b/>
          <w:bCs/>
          <w:color w:val="auto"/>
          <w:sz w:val="32"/>
          <w:szCs w:val="32"/>
        </w:rPr>
        <w:t>二、任务来源</w:t>
      </w:r>
    </w:p>
    <w:p w14:paraId="5AD2D90A">
      <w:pPr>
        <w:spacing w:after="0"/>
        <w:ind w:firstLine="560" w:firstLineChars="200"/>
        <w:jc w:val="left"/>
        <w:rPr>
          <w:color w:val="auto"/>
          <w:sz w:val="28"/>
          <w:szCs w:val="28"/>
        </w:rPr>
      </w:pPr>
      <w:r>
        <w:rPr>
          <w:rFonts w:hint="eastAsia"/>
          <w:color w:val="auto"/>
          <w:sz w:val="28"/>
          <w:szCs w:val="28"/>
        </w:rPr>
        <w:t>本标准由山东天工石油装备有限公司牵头，联合中国石油化工股份有限公司胜利油田分公司、山东省计量科学研究院、中国石油大学（华东）、曲阜师范大学、胜利油田东强机电设备制造有限公司、沈阳中科奥维科技股份有限公司等单位共同起草。标准编制任务基于以下需求：</w:t>
      </w:r>
    </w:p>
    <w:p w14:paraId="2F09075B">
      <w:pPr>
        <w:spacing w:after="0"/>
        <w:ind w:firstLine="560" w:firstLineChars="200"/>
        <w:jc w:val="left"/>
        <w:rPr>
          <w:color w:val="auto"/>
          <w:sz w:val="28"/>
          <w:szCs w:val="28"/>
        </w:rPr>
      </w:pPr>
      <w:r>
        <w:rPr>
          <w:rFonts w:hint="eastAsia"/>
          <w:color w:val="auto"/>
          <w:sz w:val="28"/>
          <w:szCs w:val="28"/>
        </w:rPr>
        <w:t>行业需求：填补原油开采及化工领域专用流量计标准的空白。</w:t>
      </w:r>
    </w:p>
    <w:p w14:paraId="1BAF8E2E">
      <w:pPr>
        <w:spacing w:after="0"/>
        <w:ind w:firstLine="560" w:firstLineChars="200"/>
        <w:jc w:val="left"/>
        <w:rPr>
          <w:color w:val="auto"/>
          <w:sz w:val="28"/>
          <w:szCs w:val="28"/>
        </w:rPr>
      </w:pPr>
      <w:r>
        <w:rPr>
          <w:rFonts w:hint="eastAsia"/>
          <w:color w:val="auto"/>
          <w:sz w:val="28"/>
          <w:szCs w:val="28"/>
        </w:rPr>
        <w:t>技术驱动：规范冲感式浮子流量计的非接触检测、多参数补偿等核心技术指标。</w:t>
      </w:r>
    </w:p>
    <w:p w14:paraId="5C72F308">
      <w:pPr>
        <w:spacing w:after="0"/>
        <w:ind w:firstLine="560" w:firstLineChars="200"/>
        <w:jc w:val="left"/>
        <w:rPr>
          <w:color w:val="auto"/>
          <w:sz w:val="28"/>
          <w:szCs w:val="28"/>
        </w:rPr>
      </w:pPr>
      <w:r>
        <w:rPr>
          <w:rFonts w:hint="eastAsia"/>
          <w:color w:val="auto"/>
          <w:sz w:val="28"/>
          <w:szCs w:val="28"/>
        </w:rPr>
        <w:t>政策支持：响应国家智能制造和绿色能源战略，推动石油行业计量设备标准化、智能化、国产化。</w:t>
      </w:r>
    </w:p>
    <w:p w14:paraId="0DA8AA90">
      <w:pPr>
        <w:spacing w:after="0"/>
        <w:ind w:firstLine="643" w:firstLineChars="200"/>
        <w:jc w:val="left"/>
        <w:rPr>
          <w:b/>
          <w:bCs/>
          <w:color w:val="auto"/>
          <w:sz w:val="32"/>
          <w:szCs w:val="32"/>
        </w:rPr>
      </w:pPr>
      <w:r>
        <w:rPr>
          <w:rFonts w:hint="eastAsia"/>
          <w:b/>
          <w:bCs/>
          <w:color w:val="auto"/>
          <w:sz w:val="32"/>
          <w:szCs w:val="32"/>
        </w:rPr>
        <w:t>三、编写依据</w:t>
      </w:r>
    </w:p>
    <w:p w14:paraId="5689FFE8">
      <w:pPr>
        <w:spacing w:after="0"/>
        <w:ind w:firstLine="560" w:firstLineChars="200"/>
        <w:jc w:val="left"/>
        <w:rPr>
          <w:color w:val="auto"/>
          <w:sz w:val="28"/>
          <w:szCs w:val="28"/>
        </w:rPr>
      </w:pPr>
      <w:r>
        <w:rPr>
          <w:rFonts w:hint="eastAsia"/>
          <w:color w:val="auto"/>
          <w:sz w:val="28"/>
          <w:szCs w:val="28"/>
        </w:rPr>
        <w:t>根据国家《中国制造 2025》行动纲领提出的“创新驱动、质量为先、绿色发展、结构优化”基本方针，参照我国金属管浮子流量计已有的标准，制定符合市场需求的团体标准，提升石油开采地面管道中原油（含油、气混合液）及天然气和石油化工等工业生产过程中的流量计量的检测水平。标准制定的格式按照 GB/T 1.1-2020《标准化工作导则》，其技术内容力求体现科学性、先进性、实用性和绿色环保。</w:t>
      </w:r>
    </w:p>
    <w:p w14:paraId="17FAAAA3">
      <w:pPr>
        <w:spacing w:after="0"/>
        <w:ind w:firstLine="560" w:firstLineChars="200"/>
        <w:jc w:val="left"/>
        <w:rPr>
          <w:rFonts w:hint="eastAsia"/>
          <w:color w:val="auto"/>
          <w:sz w:val="28"/>
          <w:szCs w:val="28"/>
        </w:rPr>
      </w:pPr>
      <w:r>
        <w:rPr>
          <w:rFonts w:hint="eastAsia"/>
          <w:color w:val="auto"/>
          <w:sz w:val="28"/>
          <w:szCs w:val="28"/>
        </w:rPr>
        <w:t>本标准规范性引用文件：</w:t>
      </w:r>
    </w:p>
    <w:p w14:paraId="128779B0">
      <w:pPr>
        <w:spacing w:after="0"/>
        <w:ind w:firstLine="560" w:firstLineChars="200"/>
        <w:jc w:val="left"/>
        <w:rPr>
          <w:rFonts w:hint="eastAsia"/>
          <w:color w:val="auto"/>
          <w:sz w:val="28"/>
          <w:szCs w:val="28"/>
        </w:rPr>
      </w:pPr>
      <w:r>
        <w:rPr>
          <w:rFonts w:hint="eastAsia"/>
          <w:color w:val="auto"/>
          <w:sz w:val="28"/>
          <w:szCs w:val="28"/>
        </w:rPr>
        <w:t>GB/T 191—2025 包装储运图形符号标志</w:t>
      </w:r>
    </w:p>
    <w:p w14:paraId="764C4F3D">
      <w:pPr>
        <w:spacing w:after="0"/>
        <w:ind w:firstLine="560" w:firstLineChars="200"/>
        <w:jc w:val="left"/>
        <w:rPr>
          <w:rFonts w:hint="eastAsia"/>
          <w:color w:val="auto"/>
          <w:sz w:val="28"/>
          <w:szCs w:val="28"/>
        </w:rPr>
      </w:pPr>
      <w:r>
        <w:rPr>
          <w:rFonts w:hint="eastAsia"/>
          <w:color w:val="auto"/>
          <w:sz w:val="28"/>
          <w:szCs w:val="28"/>
        </w:rPr>
        <w:t>GB/T 3836.1-2021 爆炸性环境第1 部分：设备通用要求</w:t>
      </w:r>
    </w:p>
    <w:p w14:paraId="42DA2CCC">
      <w:pPr>
        <w:spacing w:after="0"/>
        <w:ind w:firstLine="560" w:firstLineChars="200"/>
        <w:jc w:val="left"/>
        <w:rPr>
          <w:rFonts w:hint="eastAsia"/>
          <w:color w:val="auto"/>
          <w:sz w:val="28"/>
          <w:szCs w:val="28"/>
        </w:rPr>
      </w:pPr>
      <w:r>
        <w:rPr>
          <w:rFonts w:hint="eastAsia"/>
          <w:color w:val="auto"/>
          <w:sz w:val="28"/>
          <w:szCs w:val="28"/>
        </w:rPr>
        <w:t>GB/T 3836.2-2021 爆炸性环境第 2 部分：由隔爆外壳“d”保护的设备</w:t>
      </w:r>
    </w:p>
    <w:p w14:paraId="5C2A0E4F">
      <w:pPr>
        <w:spacing w:after="0"/>
        <w:ind w:firstLine="560" w:firstLineChars="200"/>
        <w:jc w:val="left"/>
        <w:rPr>
          <w:rFonts w:hint="eastAsia"/>
          <w:color w:val="auto"/>
          <w:sz w:val="28"/>
          <w:szCs w:val="28"/>
        </w:rPr>
      </w:pPr>
      <w:r>
        <w:rPr>
          <w:rFonts w:hint="eastAsia"/>
          <w:color w:val="auto"/>
          <w:sz w:val="28"/>
          <w:szCs w:val="28"/>
        </w:rPr>
        <w:t>GB/T 3836.4-2021 爆炸性环境第4 部分：由本质安全型“i”保护的设备</w:t>
      </w:r>
    </w:p>
    <w:p w14:paraId="1E620424">
      <w:pPr>
        <w:spacing w:after="0"/>
        <w:ind w:firstLine="560" w:firstLineChars="200"/>
        <w:jc w:val="left"/>
        <w:rPr>
          <w:rFonts w:hint="eastAsia"/>
          <w:color w:val="auto"/>
          <w:sz w:val="28"/>
          <w:szCs w:val="28"/>
        </w:rPr>
      </w:pPr>
      <w:r>
        <w:rPr>
          <w:rFonts w:hint="eastAsia"/>
          <w:color w:val="auto"/>
          <w:sz w:val="28"/>
          <w:szCs w:val="28"/>
        </w:rPr>
        <w:t>GB/T 4208-2017 外壳防护等级（IP 代码）</w:t>
      </w:r>
    </w:p>
    <w:p w14:paraId="2FFF9360">
      <w:pPr>
        <w:spacing w:after="0"/>
        <w:ind w:firstLine="560" w:firstLineChars="200"/>
        <w:jc w:val="left"/>
        <w:rPr>
          <w:rFonts w:hint="eastAsia"/>
          <w:color w:val="auto"/>
          <w:sz w:val="28"/>
          <w:szCs w:val="28"/>
        </w:rPr>
      </w:pPr>
      <w:r>
        <w:rPr>
          <w:rFonts w:hint="eastAsia"/>
          <w:color w:val="auto"/>
          <w:sz w:val="28"/>
          <w:szCs w:val="28"/>
        </w:rPr>
        <w:t>GB6388—1986 运输包装收发货标志</w:t>
      </w:r>
    </w:p>
    <w:p w14:paraId="0E7F98D0">
      <w:pPr>
        <w:spacing w:after="0"/>
        <w:ind w:firstLine="560" w:firstLineChars="200"/>
        <w:jc w:val="left"/>
        <w:rPr>
          <w:rFonts w:hint="eastAsia"/>
          <w:color w:val="auto"/>
          <w:sz w:val="28"/>
          <w:szCs w:val="28"/>
        </w:rPr>
      </w:pPr>
      <w:r>
        <w:rPr>
          <w:rFonts w:hint="eastAsia"/>
          <w:color w:val="auto"/>
          <w:sz w:val="28"/>
          <w:szCs w:val="28"/>
        </w:rPr>
        <w:t>GB/T 13384—2008 机电产品包装通用技术条件</w:t>
      </w:r>
    </w:p>
    <w:p w14:paraId="4D1F2308">
      <w:pPr>
        <w:spacing w:after="0"/>
        <w:ind w:firstLine="560" w:firstLineChars="200"/>
        <w:jc w:val="left"/>
        <w:rPr>
          <w:rFonts w:hint="eastAsia"/>
          <w:color w:val="auto"/>
          <w:sz w:val="28"/>
          <w:szCs w:val="28"/>
        </w:rPr>
      </w:pPr>
      <w:r>
        <w:rPr>
          <w:rFonts w:hint="eastAsia"/>
          <w:color w:val="auto"/>
          <w:sz w:val="28"/>
          <w:szCs w:val="28"/>
        </w:rPr>
        <w:t>GB/T 17626.2-2018 电磁兼容试验和测量技术静电放电抗扰度试验</w:t>
      </w:r>
    </w:p>
    <w:p w14:paraId="3E6003BC">
      <w:pPr>
        <w:spacing w:after="0"/>
        <w:ind w:firstLine="560" w:firstLineChars="200"/>
        <w:jc w:val="left"/>
        <w:rPr>
          <w:rFonts w:hint="eastAsia"/>
          <w:color w:val="auto"/>
          <w:sz w:val="28"/>
          <w:szCs w:val="28"/>
        </w:rPr>
      </w:pPr>
      <w:r>
        <w:rPr>
          <w:rFonts w:hint="eastAsia"/>
          <w:color w:val="auto"/>
          <w:sz w:val="28"/>
          <w:szCs w:val="28"/>
        </w:rPr>
        <w:t>GB/T 17626.3-2023 电磁兼容 试验和测量技术 第3部分：射频电磁场辐射抗扰度试验</w:t>
      </w:r>
    </w:p>
    <w:p w14:paraId="5D2C6659">
      <w:pPr>
        <w:spacing w:after="0"/>
        <w:ind w:firstLine="560" w:firstLineChars="200"/>
        <w:jc w:val="left"/>
        <w:rPr>
          <w:rFonts w:hint="eastAsia"/>
          <w:color w:val="auto"/>
          <w:sz w:val="28"/>
          <w:szCs w:val="28"/>
        </w:rPr>
      </w:pPr>
      <w:r>
        <w:rPr>
          <w:rFonts w:hint="eastAsia"/>
          <w:color w:val="auto"/>
          <w:sz w:val="28"/>
          <w:szCs w:val="28"/>
        </w:rPr>
        <w:t>GB/T 17626.11-2023 电磁兼容 试验和测量技术 第11部分：对每相输入电流小于或等于16 A设备的电压暂降、短时中断和电压变化抗扰度试验</w:t>
      </w:r>
    </w:p>
    <w:p w14:paraId="4BC8814D">
      <w:pPr>
        <w:spacing w:after="0"/>
        <w:ind w:firstLine="560" w:firstLineChars="200"/>
        <w:jc w:val="left"/>
        <w:rPr>
          <w:rFonts w:hint="eastAsia"/>
          <w:color w:val="auto"/>
          <w:sz w:val="28"/>
          <w:szCs w:val="28"/>
        </w:rPr>
      </w:pPr>
      <w:r>
        <w:rPr>
          <w:rFonts w:hint="eastAsia"/>
          <w:color w:val="auto"/>
          <w:sz w:val="28"/>
          <w:szCs w:val="28"/>
        </w:rPr>
        <w:t>GB/T 18271.3 -2017过程测量和控制装置 通用性能评定方法和程序 第3部分：影响量影响的试验</w:t>
      </w:r>
    </w:p>
    <w:p w14:paraId="2728CB91">
      <w:pPr>
        <w:spacing w:after="0"/>
        <w:ind w:firstLine="560" w:firstLineChars="200"/>
        <w:jc w:val="left"/>
        <w:rPr>
          <w:rFonts w:hint="eastAsia"/>
          <w:color w:val="auto"/>
          <w:sz w:val="28"/>
          <w:szCs w:val="28"/>
        </w:rPr>
      </w:pPr>
      <w:r>
        <w:rPr>
          <w:rFonts w:hint="eastAsia"/>
          <w:color w:val="auto"/>
          <w:sz w:val="28"/>
          <w:szCs w:val="28"/>
        </w:rPr>
        <w:t>GB/T 25480—2010 仪器仪表运输、贮存基本环境条件及试验方法</w:t>
      </w:r>
    </w:p>
    <w:p w14:paraId="73262487">
      <w:pPr>
        <w:spacing w:after="0"/>
        <w:ind w:firstLine="560" w:firstLineChars="200"/>
        <w:jc w:val="left"/>
        <w:rPr>
          <w:rFonts w:hint="eastAsia"/>
          <w:color w:val="auto"/>
          <w:sz w:val="28"/>
          <w:szCs w:val="28"/>
        </w:rPr>
      </w:pPr>
      <w:r>
        <w:rPr>
          <w:rFonts w:hint="eastAsia"/>
          <w:color w:val="auto"/>
          <w:sz w:val="28"/>
          <w:szCs w:val="28"/>
        </w:rPr>
        <w:t>JB/T 6844-2015 金属管浮子流量计</w:t>
      </w:r>
    </w:p>
    <w:p w14:paraId="6D01E6B6">
      <w:pPr>
        <w:spacing w:after="0"/>
        <w:ind w:firstLine="643" w:firstLineChars="200"/>
        <w:jc w:val="left"/>
        <w:rPr>
          <w:b/>
          <w:bCs/>
          <w:color w:val="auto"/>
          <w:sz w:val="32"/>
          <w:szCs w:val="32"/>
        </w:rPr>
      </w:pPr>
      <w:r>
        <w:rPr>
          <w:rFonts w:hint="eastAsia"/>
          <w:b/>
          <w:bCs/>
          <w:color w:val="auto"/>
          <w:sz w:val="32"/>
          <w:szCs w:val="32"/>
        </w:rPr>
        <w:t>四、编写过程</w:t>
      </w:r>
    </w:p>
    <w:p w14:paraId="5ECE4B79">
      <w:pPr>
        <w:spacing w:after="0"/>
        <w:ind w:firstLine="560" w:firstLineChars="200"/>
        <w:jc w:val="left"/>
        <w:rPr>
          <w:color w:val="auto"/>
          <w:sz w:val="28"/>
          <w:szCs w:val="28"/>
        </w:rPr>
      </w:pPr>
      <w:bookmarkStart w:id="0" w:name="_GoBack"/>
      <w:r>
        <w:rPr>
          <w:rFonts w:hint="eastAsia"/>
          <w:color w:val="auto"/>
          <w:sz w:val="28"/>
          <w:szCs w:val="28"/>
        </w:rPr>
        <w:t>1)筹备阶段（2025年</w:t>
      </w:r>
      <w:r>
        <w:rPr>
          <w:rFonts w:hint="eastAsia"/>
          <w:color w:val="auto"/>
          <w:sz w:val="28"/>
          <w:szCs w:val="28"/>
          <w:lang w:val="en-US" w:eastAsia="zh-CN"/>
        </w:rPr>
        <w:t>7</w:t>
      </w:r>
      <w:r>
        <w:rPr>
          <w:rFonts w:hint="eastAsia"/>
          <w:color w:val="auto"/>
          <w:sz w:val="28"/>
          <w:szCs w:val="28"/>
        </w:rPr>
        <w:t>月-</w:t>
      </w:r>
      <w:r>
        <w:rPr>
          <w:rFonts w:hint="eastAsia"/>
          <w:color w:val="auto"/>
          <w:sz w:val="28"/>
          <w:szCs w:val="28"/>
          <w:lang w:val="en-US" w:eastAsia="zh-CN"/>
        </w:rPr>
        <w:t>2025年9</w:t>
      </w:r>
      <w:r>
        <w:rPr>
          <w:rFonts w:hint="eastAsia"/>
          <w:color w:val="auto"/>
          <w:sz w:val="28"/>
          <w:szCs w:val="28"/>
        </w:rPr>
        <w:t>月）：成立标准起草组，完成草案初稿，明确产品定义、技术要求及试验方法。</w:t>
      </w:r>
    </w:p>
    <w:p w14:paraId="5D60DA6D">
      <w:pPr>
        <w:spacing w:after="0"/>
        <w:ind w:firstLine="560" w:firstLineChars="200"/>
        <w:jc w:val="left"/>
        <w:rPr>
          <w:color w:val="auto"/>
          <w:sz w:val="28"/>
          <w:szCs w:val="28"/>
        </w:rPr>
      </w:pPr>
      <w:r>
        <w:rPr>
          <w:rFonts w:hint="eastAsia"/>
          <w:color w:val="auto"/>
          <w:sz w:val="28"/>
          <w:szCs w:val="28"/>
        </w:rPr>
        <w:t>2)验证阶段（2025年</w:t>
      </w:r>
      <w:r>
        <w:rPr>
          <w:rFonts w:hint="eastAsia"/>
          <w:color w:val="auto"/>
          <w:sz w:val="28"/>
          <w:szCs w:val="28"/>
          <w:lang w:val="en-US" w:eastAsia="zh-CN"/>
        </w:rPr>
        <w:t>9</w:t>
      </w:r>
      <w:r>
        <w:rPr>
          <w:rFonts w:hint="eastAsia"/>
          <w:color w:val="auto"/>
          <w:sz w:val="28"/>
          <w:szCs w:val="28"/>
        </w:rPr>
        <w:t>月-</w:t>
      </w:r>
      <w:r>
        <w:rPr>
          <w:rFonts w:hint="eastAsia"/>
          <w:color w:val="auto"/>
          <w:sz w:val="28"/>
          <w:szCs w:val="28"/>
          <w:lang w:val="en-US" w:eastAsia="zh-CN"/>
        </w:rPr>
        <w:t>2026年3</w:t>
      </w:r>
      <w:r>
        <w:rPr>
          <w:rFonts w:hint="eastAsia"/>
          <w:color w:val="auto"/>
          <w:sz w:val="28"/>
          <w:szCs w:val="28"/>
        </w:rPr>
        <w:t>月）：依托合作单位实验室，开展多相流模拟测试、长期稳定性试验及防爆性能验证；召开专家研讨会，修订技术指标（如耐压强度、温度范围）。</w:t>
      </w:r>
    </w:p>
    <w:p w14:paraId="2A8AC358">
      <w:pPr>
        <w:spacing w:after="0"/>
        <w:ind w:firstLine="560" w:firstLineChars="200"/>
        <w:jc w:val="left"/>
        <w:rPr>
          <w:color w:val="auto"/>
          <w:sz w:val="28"/>
          <w:szCs w:val="28"/>
        </w:rPr>
      </w:pPr>
      <w:r>
        <w:rPr>
          <w:rFonts w:hint="eastAsia"/>
          <w:color w:val="auto"/>
          <w:sz w:val="28"/>
          <w:szCs w:val="28"/>
        </w:rPr>
        <w:t>3）征求意见（202</w:t>
      </w:r>
      <w:r>
        <w:rPr>
          <w:rFonts w:hint="eastAsia"/>
          <w:color w:val="auto"/>
          <w:sz w:val="28"/>
          <w:szCs w:val="28"/>
          <w:lang w:val="en-US" w:eastAsia="zh-CN"/>
        </w:rPr>
        <w:t>6</w:t>
      </w:r>
      <w:r>
        <w:rPr>
          <w:rFonts w:hint="eastAsia"/>
          <w:color w:val="auto"/>
          <w:sz w:val="28"/>
          <w:szCs w:val="28"/>
        </w:rPr>
        <w:t>年</w:t>
      </w:r>
      <w:r>
        <w:rPr>
          <w:rFonts w:hint="eastAsia"/>
          <w:color w:val="auto"/>
          <w:sz w:val="28"/>
          <w:szCs w:val="28"/>
          <w:lang w:val="en-US" w:eastAsia="zh-CN"/>
        </w:rPr>
        <w:t>3</w:t>
      </w:r>
      <w:r>
        <w:rPr>
          <w:rFonts w:hint="eastAsia"/>
          <w:color w:val="auto"/>
          <w:sz w:val="28"/>
          <w:szCs w:val="28"/>
        </w:rPr>
        <w:t>月-</w:t>
      </w:r>
      <w:r>
        <w:rPr>
          <w:rFonts w:hint="eastAsia"/>
          <w:color w:val="auto"/>
          <w:sz w:val="28"/>
          <w:szCs w:val="28"/>
          <w:lang w:val="en-US" w:eastAsia="zh-CN"/>
        </w:rPr>
        <w:t>2026年4</w:t>
      </w:r>
      <w:r>
        <w:rPr>
          <w:rFonts w:hint="eastAsia"/>
          <w:color w:val="auto"/>
          <w:sz w:val="28"/>
          <w:szCs w:val="28"/>
        </w:rPr>
        <w:t>月）：向石油工程、计量检测领域专家及企业（如胜利油田、中石化）公开征求意见，重点优化主要技术内容和适用范围。</w:t>
      </w:r>
    </w:p>
    <w:p w14:paraId="02437F54">
      <w:pPr>
        <w:spacing w:after="0"/>
        <w:ind w:firstLine="560" w:firstLineChars="200"/>
        <w:jc w:val="left"/>
        <w:rPr>
          <w:color w:val="auto"/>
          <w:sz w:val="28"/>
          <w:szCs w:val="28"/>
        </w:rPr>
      </w:pPr>
      <w:r>
        <w:rPr>
          <w:rFonts w:hint="eastAsia"/>
          <w:color w:val="auto"/>
          <w:sz w:val="28"/>
          <w:szCs w:val="28"/>
        </w:rPr>
        <w:t>4）定稿阶段（202</w:t>
      </w:r>
      <w:r>
        <w:rPr>
          <w:rFonts w:hint="eastAsia"/>
          <w:color w:val="auto"/>
          <w:sz w:val="28"/>
          <w:szCs w:val="28"/>
          <w:lang w:val="en-US" w:eastAsia="zh-CN"/>
        </w:rPr>
        <w:t>6</w:t>
      </w:r>
      <w:r>
        <w:rPr>
          <w:rFonts w:hint="eastAsia"/>
          <w:color w:val="auto"/>
          <w:sz w:val="28"/>
          <w:szCs w:val="28"/>
        </w:rPr>
        <w:t>年</w:t>
      </w:r>
      <w:r>
        <w:rPr>
          <w:rFonts w:hint="eastAsia"/>
          <w:color w:val="auto"/>
          <w:sz w:val="28"/>
          <w:szCs w:val="28"/>
          <w:lang w:val="en-US" w:eastAsia="zh-CN"/>
        </w:rPr>
        <w:t>4</w:t>
      </w:r>
      <w:r>
        <w:rPr>
          <w:rFonts w:hint="eastAsia"/>
          <w:color w:val="auto"/>
          <w:sz w:val="28"/>
          <w:szCs w:val="28"/>
        </w:rPr>
        <w:t>月-202</w:t>
      </w:r>
      <w:r>
        <w:rPr>
          <w:rFonts w:hint="eastAsia"/>
          <w:color w:val="auto"/>
          <w:sz w:val="28"/>
          <w:szCs w:val="28"/>
          <w:lang w:val="en-US" w:eastAsia="zh-CN"/>
        </w:rPr>
        <w:t>6</w:t>
      </w:r>
      <w:r>
        <w:rPr>
          <w:rFonts w:hint="eastAsia"/>
          <w:color w:val="auto"/>
          <w:sz w:val="28"/>
          <w:szCs w:val="28"/>
        </w:rPr>
        <w:t>年</w:t>
      </w:r>
      <w:r>
        <w:rPr>
          <w:rFonts w:hint="eastAsia"/>
          <w:color w:val="auto"/>
          <w:sz w:val="28"/>
          <w:szCs w:val="28"/>
          <w:lang w:val="en-US" w:eastAsia="zh-CN"/>
        </w:rPr>
        <w:t>5</w:t>
      </w:r>
      <w:r>
        <w:rPr>
          <w:rFonts w:hint="eastAsia"/>
          <w:color w:val="auto"/>
          <w:sz w:val="28"/>
          <w:szCs w:val="28"/>
        </w:rPr>
        <w:t>月）：整合反馈意见，形成《冲感式浮子流量计》团体标准报批稿及编制说明。</w:t>
      </w:r>
    </w:p>
    <w:bookmarkEnd w:id="0"/>
    <w:p w14:paraId="28378EB3">
      <w:pPr>
        <w:spacing w:after="0"/>
        <w:ind w:firstLine="602" w:firstLineChars="200"/>
        <w:jc w:val="left"/>
        <w:rPr>
          <w:b/>
          <w:bCs/>
          <w:color w:val="auto"/>
          <w:sz w:val="30"/>
          <w:szCs w:val="30"/>
        </w:rPr>
      </w:pPr>
      <w:r>
        <w:rPr>
          <w:rFonts w:hint="eastAsia"/>
          <w:b/>
          <w:bCs/>
          <w:color w:val="auto"/>
          <w:sz w:val="30"/>
          <w:szCs w:val="30"/>
        </w:rPr>
        <w:t>五、规范的主要内容与技术关键</w:t>
      </w:r>
    </w:p>
    <w:p w14:paraId="6B9232A8">
      <w:pPr>
        <w:spacing w:after="0"/>
        <w:ind w:firstLine="560" w:firstLineChars="200"/>
        <w:jc w:val="left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1. 主要内容</w:t>
      </w:r>
    </w:p>
    <w:p w14:paraId="59026F1A">
      <w:pPr>
        <w:spacing w:after="0"/>
        <w:ind w:firstLine="560" w:firstLineChars="200"/>
        <w:jc w:val="left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产品定义与分类（第3章）：定义冲感式浮子流量计为非接触磁感检测原理的金属管流量计，按信号输出方式（现场指示型、电远传型、报警型）及环境适应性（普通型、防爆型）分类。</w:t>
      </w:r>
    </w:p>
    <w:p w14:paraId="4B528552">
      <w:pPr>
        <w:pStyle w:val="2"/>
        <w:widowControl/>
        <w:shd w:val="clear" w:color="auto" w:fill="FFFFFF"/>
        <w:ind w:firstLine="560" w:firstLineChars="200"/>
        <w:rPr>
          <w:rFonts w:hint="default" w:ascii="Times New Roman" w:hAnsi="Times New Roman"/>
          <w:b w:val="0"/>
          <w:color w:val="auto"/>
          <w:kern w:val="2"/>
          <w:sz w:val="28"/>
          <w:szCs w:val="28"/>
        </w:rPr>
      </w:pPr>
      <w:r>
        <w:rPr>
          <w:rFonts w:ascii="Times New Roman" w:hAnsi="Times New Roman"/>
          <w:b w:val="0"/>
          <w:color w:val="auto"/>
          <w:kern w:val="2"/>
          <w:sz w:val="28"/>
          <w:szCs w:val="28"/>
        </w:rPr>
        <w:t>结构原理</w:t>
      </w:r>
      <w:r>
        <w:rPr>
          <w:rFonts w:hint="default" w:ascii="Times New Roman" w:hAnsi="Times New Roman"/>
          <w:b w:val="0"/>
          <w:color w:val="auto"/>
          <w:kern w:val="2"/>
          <w:sz w:val="28"/>
          <w:szCs w:val="28"/>
        </w:rPr>
        <w:t>（第</w:t>
      </w:r>
      <w:r>
        <w:rPr>
          <w:rFonts w:ascii="Times New Roman" w:hAnsi="Times New Roman"/>
          <w:b w:val="0"/>
          <w:color w:val="auto"/>
          <w:kern w:val="2"/>
          <w:sz w:val="28"/>
          <w:szCs w:val="28"/>
        </w:rPr>
        <w:t>3</w:t>
      </w:r>
      <w:r>
        <w:rPr>
          <w:rFonts w:hint="default" w:ascii="Times New Roman" w:hAnsi="Times New Roman"/>
          <w:b w:val="0"/>
          <w:color w:val="auto"/>
          <w:kern w:val="2"/>
          <w:sz w:val="28"/>
          <w:szCs w:val="28"/>
        </w:rPr>
        <w:t>章）：a)浮子与流体力学的平衡机制</w:t>
      </w:r>
      <w:r>
        <w:rPr>
          <w:rFonts w:ascii="Times New Roman" w:hAnsi="Times New Roman"/>
          <w:b w:val="0"/>
          <w:color w:val="auto"/>
          <w:kern w:val="2"/>
          <w:sz w:val="28"/>
          <w:szCs w:val="28"/>
        </w:rPr>
        <w:t>；</w:t>
      </w:r>
      <w:r>
        <w:rPr>
          <w:rFonts w:hint="default" w:ascii="Times New Roman" w:hAnsi="Times New Roman"/>
          <w:b w:val="0"/>
          <w:color w:val="auto"/>
          <w:kern w:val="2"/>
          <w:sz w:val="28"/>
          <w:szCs w:val="28"/>
        </w:rPr>
        <w:t>b）非接触式磁感定位</w:t>
      </w:r>
      <w:r>
        <w:rPr>
          <w:rFonts w:ascii="Times New Roman" w:hAnsi="Times New Roman"/>
          <w:b w:val="0"/>
          <w:color w:val="auto"/>
          <w:kern w:val="2"/>
          <w:sz w:val="28"/>
          <w:szCs w:val="28"/>
        </w:rPr>
        <w:t>；</w:t>
      </w:r>
      <w:r>
        <w:rPr>
          <w:rFonts w:hint="default" w:ascii="Times New Roman" w:hAnsi="Times New Roman"/>
          <w:b w:val="0"/>
          <w:color w:val="auto"/>
          <w:kern w:val="2"/>
          <w:sz w:val="28"/>
          <w:szCs w:val="28"/>
        </w:rPr>
        <w:t>c）导流管压力平衡通道</w:t>
      </w:r>
      <w:r>
        <w:rPr>
          <w:rFonts w:ascii="Times New Roman" w:hAnsi="Times New Roman"/>
          <w:b w:val="0"/>
          <w:color w:val="auto"/>
          <w:kern w:val="2"/>
          <w:sz w:val="28"/>
          <w:szCs w:val="28"/>
        </w:rPr>
        <w:t>；</w:t>
      </w:r>
      <w:r>
        <w:rPr>
          <w:rFonts w:hint="default" w:ascii="Times New Roman" w:hAnsi="Times New Roman"/>
          <w:b w:val="0"/>
          <w:color w:val="auto"/>
          <w:kern w:val="2"/>
          <w:sz w:val="28"/>
          <w:szCs w:val="28"/>
        </w:rPr>
        <w:t>d）多参数动态补偿</w:t>
      </w:r>
      <w:r>
        <w:rPr>
          <w:rFonts w:ascii="Times New Roman" w:hAnsi="Times New Roman"/>
          <w:b w:val="0"/>
          <w:color w:val="auto"/>
          <w:kern w:val="2"/>
          <w:sz w:val="28"/>
          <w:szCs w:val="28"/>
        </w:rPr>
        <w:t>；</w:t>
      </w:r>
      <w:r>
        <w:rPr>
          <w:rFonts w:hint="default" w:ascii="Times New Roman" w:hAnsi="Times New Roman"/>
          <w:b w:val="0"/>
          <w:color w:val="auto"/>
          <w:kern w:val="2"/>
          <w:sz w:val="28"/>
          <w:szCs w:val="28"/>
        </w:rPr>
        <w:t>e）数字化显示与远程传输</w:t>
      </w:r>
      <w:r>
        <w:rPr>
          <w:rFonts w:ascii="Times New Roman" w:hAnsi="Times New Roman"/>
          <w:b w:val="0"/>
          <w:color w:val="auto"/>
          <w:kern w:val="2"/>
          <w:sz w:val="28"/>
          <w:szCs w:val="28"/>
        </w:rPr>
        <w:t>；</w:t>
      </w:r>
      <w:r>
        <w:rPr>
          <w:rFonts w:hint="default" w:ascii="Times New Roman" w:hAnsi="Times New Roman"/>
          <w:b w:val="0"/>
          <w:color w:val="auto"/>
          <w:kern w:val="2"/>
          <w:sz w:val="28"/>
          <w:szCs w:val="28"/>
        </w:rPr>
        <w:t>f）耐环境设计与独立供电</w:t>
      </w:r>
    </w:p>
    <w:p w14:paraId="22C141D4">
      <w:pPr>
        <w:pStyle w:val="2"/>
        <w:widowControl/>
        <w:shd w:val="clear" w:color="auto" w:fill="FFFFFF"/>
        <w:ind w:firstLine="560" w:firstLineChars="200"/>
        <w:rPr>
          <w:rFonts w:hint="default" w:ascii="Times New Roman" w:hAnsi="Times New Roman"/>
          <w:b w:val="0"/>
          <w:color w:val="auto"/>
          <w:kern w:val="2"/>
          <w:sz w:val="28"/>
          <w:szCs w:val="28"/>
        </w:rPr>
      </w:pPr>
      <w:r>
        <w:rPr>
          <w:rFonts w:hint="default" w:ascii="Times New Roman" w:hAnsi="Times New Roman"/>
          <w:b w:val="0"/>
          <w:color w:val="auto"/>
          <w:kern w:val="2"/>
          <w:sz w:val="28"/>
          <w:szCs w:val="28"/>
        </w:rPr>
        <w:t>试验方法（第5章）：涵盖基本性能试验（流量范围、回差）、环境适应性试验（湿热、振动）、安全试验（防爆认证、绝缘强度）。</w:t>
      </w:r>
    </w:p>
    <w:p w14:paraId="1794A8DE">
      <w:pPr>
        <w:pStyle w:val="2"/>
        <w:widowControl/>
        <w:shd w:val="clear" w:color="auto" w:fill="FFFFFF"/>
        <w:ind w:firstLine="560" w:firstLineChars="200"/>
        <w:rPr>
          <w:rFonts w:hint="default" w:ascii="Times New Roman" w:hAnsi="Times New Roman"/>
          <w:b w:val="0"/>
          <w:color w:val="auto"/>
          <w:kern w:val="2"/>
          <w:sz w:val="28"/>
          <w:szCs w:val="28"/>
        </w:rPr>
      </w:pPr>
      <w:r>
        <w:rPr>
          <w:rFonts w:hint="default" w:ascii="Times New Roman" w:hAnsi="Times New Roman"/>
          <w:b w:val="0"/>
          <w:color w:val="auto"/>
          <w:kern w:val="2"/>
          <w:sz w:val="28"/>
          <w:szCs w:val="28"/>
        </w:rPr>
        <w:t>检验规则（第6章）：区分出厂检验（必检项：基本误差、耐压强度）与型式检验（全项目覆盖）。</w:t>
      </w:r>
    </w:p>
    <w:p w14:paraId="05F34116">
      <w:pPr>
        <w:numPr>
          <w:ilvl w:val="0"/>
          <w:numId w:val="1"/>
        </w:numPr>
        <w:spacing w:after="0"/>
        <w:ind w:firstLine="560" w:firstLineChars="200"/>
        <w:jc w:val="left"/>
        <w:rPr>
          <w:rFonts w:hint="eastAsia"/>
          <w:color w:val="auto"/>
          <w:sz w:val="28"/>
          <w:szCs w:val="28"/>
        </w:rPr>
      </w:pPr>
      <w:r>
        <w:rPr>
          <w:rFonts w:hint="eastAsia"/>
          <w:color w:val="auto"/>
          <w:sz w:val="28"/>
          <w:szCs w:val="28"/>
        </w:rPr>
        <w:t>技术关键</w:t>
      </w:r>
    </w:p>
    <w:p w14:paraId="32AA8540">
      <w:pPr>
        <w:numPr>
          <w:ilvl w:val="0"/>
          <w:numId w:val="0"/>
        </w:numPr>
        <w:spacing w:after="0"/>
        <w:ind w:firstLine="560" w:firstLineChars="200"/>
        <w:jc w:val="left"/>
        <w:rPr>
          <w:rFonts w:hint="default" w:ascii="Times New Roman" w:hAnsi="Times New Roman"/>
          <w:b w:val="0"/>
          <w:color w:val="auto"/>
          <w:kern w:val="2"/>
          <w:sz w:val="28"/>
          <w:szCs w:val="28"/>
        </w:rPr>
      </w:pPr>
      <w:r>
        <w:rPr>
          <w:rFonts w:hint="default" w:ascii="Times New Roman" w:hAnsi="Times New Roman"/>
          <w:b w:val="0"/>
          <w:color w:val="auto"/>
          <w:kern w:val="2"/>
          <w:sz w:val="28"/>
          <w:szCs w:val="28"/>
        </w:rPr>
        <w:t>多参数动态补偿：集成温度、压力传感器，实时修正流量值，提升复杂工况下的测量精度。</w:t>
      </w:r>
    </w:p>
    <w:p w14:paraId="73D09E9E">
      <w:pPr>
        <w:pStyle w:val="2"/>
        <w:widowControl/>
        <w:shd w:val="clear" w:color="auto" w:fill="FFFFFF"/>
        <w:ind w:firstLine="560" w:firstLineChars="200"/>
        <w:rPr>
          <w:rFonts w:hint="default" w:ascii="Times New Roman" w:hAnsi="Times New Roman"/>
          <w:b w:val="0"/>
          <w:color w:val="auto"/>
          <w:kern w:val="2"/>
          <w:sz w:val="28"/>
          <w:szCs w:val="28"/>
        </w:rPr>
      </w:pPr>
      <w:r>
        <w:rPr>
          <w:rFonts w:hint="default" w:ascii="Times New Roman" w:hAnsi="Times New Roman"/>
          <w:b w:val="0"/>
          <w:color w:val="auto"/>
          <w:kern w:val="2"/>
          <w:sz w:val="28"/>
          <w:szCs w:val="28"/>
        </w:rPr>
        <w:t>非接触磁感定位：消除机械磨损，延长使用寿命，适配含颗粒流体。</w:t>
      </w:r>
    </w:p>
    <w:p w14:paraId="34C0F73F">
      <w:pPr>
        <w:pStyle w:val="6"/>
        <w:widowControl/>
        <w:spacing w:after="0"/>
        <w:ind w:firstLine="560" w:firstLineChars="200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导流管压力平衡：防止气相物质积聚，降低堵塞风险。</w:t>
      </w:r>
    </w:p>
    <w:p w14:paraId="7C8801BA">
      <w:pPr>
        <w:spacing w:before="234" w:beforeLines="50" w:after="0"/>
        <w:jc w:val="left"/>
        <w:rPr>
          <w:b/>
          <w:bCs/>
          <w:color w:val="auto"/>
          <w:sz w:val="30"/>
          <w:szCs w:val="30"/>
        </w:rPr>
      </w:pPr>
      <w:r>
        <w:rPr>
          <w:rFonts w:hint="eastAsia"/>
          <w:b/>
          <w:bCs/>
          <w:color w:val="auto"/>
          <w:sz w:val="30"/>
          <w:szCs w:val="30"/>
        </w:rPr>
        <w:t>六、工作小结</w:t>
      </w:r>
    </w:p>
    <w:p w14:paraId="4E3E11C5">
      <w:pPr>
        <w:spacing w:after="0"/>
        <w:ind w:firstLine="560" w:firstLineChars="200"/>
        <w:jc w:val="left"/>
        <w:rPr>
          <w:color w:val="auto"/>
          <w:sz w:val="24"/>
        </w:rPr>
      </w:pPr>
      <w:r>
        <w:rPr>
          <w:rFonts w:hint="eastAsia"/>
          <w:color w:val="auto"/>
          <w:sz w:val="28"/>
          <w:szCs w:val="28"/>
        </w:rPr>
        <w:t>本标准结合石油开采行业实际需求，系统规范了冲感式浮子流量计的技术要求与试验方法，填补了国内外复杂工况流量计量标准的空白。编制过程中充分吸纳产学研用多方意见，确保标准的科学性、先进性和实用性。未来将根据技术发展动态修订标准，持续推动行业高质量发展。</w:t>
      </w:r>
    </w:p>
    <w:p w14:paraId="67C1D556">
      <w:pPr>
        <w:spacing w:after="0"/>
        <w:jc w:val="right"/>
        <w:rPr>
          <w:color w:val="auto"/>
          <w:sz w:val="24"/>
        </w:rPr>
      </w:pPr>
    </w:p>
    <w:p w14:paraId="46A8DE20">
      <w:pPr>
        <w:rPr>
          <w:color w:val="auto"/>
        </w:rPr>
      </w:pPr>
    </w:p>
    <w:sectPr>
      <w:headerReference r:id="rId4" w:type="default"/>
      <w:footerReference r:id="rId5" w:type="default"/>
      <w:pgSz w:w="11906" w:h="16838"/>
      <w:pgMar w:top="1440" w:right="1633" w:bottom="1440" w:left="1633" w:header="851" w:footer="992" w:gutter="0"/>
      <w:pgNumType w:start="1"/>
      <w:cols w:space="425" w:num="1"/>
      <w:docGrid w:type="lines" w:linePitch="46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FF67E99">
    <w:pPr>
      <w:pStyle w:val="4"/>
      <w:jc w:val="center"/>
    </w:pPr>
  </w:p>
  <w:p w14:paraId="6EA3CA9C">
    <w:pPr>
      <w:pStyle w:val="4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lang w:val="zh-CN"/>
      </w:rPr>
      <w:t>2</w:t>
    </w:r>
    <w:r>
      <w:fldChar w:fldCharType="end"/>
    </w:r>
  </w:p>
  <w:p w14:paraId="29A52792">
    <w:pPr>
      <w:pStyle w:val="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C68229A">
    <w:pPr>
      <w:pStyle w:val="5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059A7E0"/>
    <w:multiLevelType w:val="singleLevel"/>
    <w:tmpl w:val="F059A7E0"/>
    <w:lvl w:ilvl="0" w:tentative="0">
      <w:start w:val="2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documentProtection w:enforcement="0"/>
  <w:defaultTabStop w:val="420"/>
  <w:drawingGridVerticalSpacing w:val="156"/>
  <w:noPunctuationKerning w:val="1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1F0709D"/>
    <w:rsid w:val="006D620E"/>
    <w:rsid w:val="00C105A0"/>
    <w:rsid w:val="00CB60D2"/>
    <w:rsid w:val="0F8C3FF4"/>
    <w:rsid w:val="0FC84307"/>
    <w:rsid w:val="139E0B8A"/>
    <w:rsid w:val="28B13B75"/>
    <w:rsid w:val="2B257075"/>
    <w:rsid w:val="2BF45B12"/>
    <w:rsid w:val="2C9D6D6A"/>
    <w:rsid w:val="30BC485E"/>
    <w:rsid w:val="383C0378"/>
    <w:rsid w:val="3A601812"/>
    <w:rsid w:val="3C150D36"/>
    <w:rsid w:val="46734574"/>
    <w:rsid w:val="4E336980"/>
    <w:rsid w:val="50DF373F"/>
    <w:rsid w:val="517938AE"/>
    <w:rsid w:val="52732C08"/>
    <w:rsid w:val="52BB2CAF"/>
    <w:rsid w:val="62487F47"/>
    <w:rsid w:val="6AB91585"/>
    <w:rsid w:val="71F0709D"/>
    <w:rsid w:val="7A986349"/>
    <w:rsid w:val="7CEB7A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8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4"/>
    <w:basedOn w:val="1"/>
    <w:next w:val="1"/>
    <w:semiHidden/>
    <w:unhideWhenUsed/>
    <w:qFormat/>
    <w:uiPriority w:val="0"/>
    <w:pPr>
      <w:spacing w:beforeAutospacing="1" w:after="0" w:afterAutospacing="1"/>
      <w:jc w:val="left"/>
      <w:outlineLvl w:val="3"/>
    </w:pPr>
    <w:rPr>
      <w:rFonts w:hint="eastAsia" w:ascii="宋体" w:hAnsi="宋体"/>
      <w:b/>
      <w:kern w:val="0"/>
      <w:sz w:val="24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14"/>
    <w:qFormat/>
    <w:uiPriority w:val="0"/>
    <w:pPr>
      <w:jc w:val="left"/>
    </w:p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rPr>
      <w:sz w:val="24"/>
    </w:rPr>
  </w:style>
  <w:style w:type="paragraph" w:styleId="7">
    <w:name w:val="annotation subject"/>
    <w:basedOn w:val="3"/>
    <w:next w:val="3"/>
    <w:link w:val="15"/>
    <w:qFormat/>
    <w:uiPriority w:val="0"/>
    <w:rPr>
      <w:b/>
      <w:bCs/>
    </w:rPr>
  </w:style>
  <w:style w:type="table" w:styleId="9">
    <w:name w:val="Table Grid"/>
    <w:basedOn w:val="8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Strong"/>
    <w:basedOn w:val="10"/>
    <w:qFormat/>
    <w:uiPriority w:val="0"/>
    <w:rPr>
      <w:b/>
    </w:rPr>
  </w:style>
  <w:style w:type="character" w:styleId="12">
    <w:name w:val="annotation reference"/>
    <w:basedOn w:val="10"/>
    <w:qFormat/>
    <w:uiPriority w:val="0"/>
    <w:rPr>
      <w:sz w:val="21"/>
      <w:szCs w:val="21"/>
    </w:rPr>
  </w:style>
  <w:style w:type="paragraph" w:styleId="13">
    <w:name w:val="List Paragraph"/>
    <w:basedOn w:val="1"/>
    <w:qFormat/>
    <w:uiPriority w:val="99"/>
    <w:pPr>
      <w:ind w:firstLine="420" w:firstLineChars="200"/>
    </w:pPr>
  </w:style>
  <w:style w:type="character" w:customStyle="1" w:styleId="14">
    <w:name w:val="批注文字 字符"/>
    <w:basedOn w:val="10"/>
    <w:link w:val="3"/>
    <w:qFormat/>
    <w:uiPriority w:val="0"/>
    <w:rPr>
      <w:kern w:val="2"/>
      <w:sz w:val="21"/>
      <w:szCs w:val="24"/>
    </w:rPr>
  </w:style>
  <w:style w:type="character" w:customStyle="1" w:styleId="15">
    <w:name w:val="批注主题 字符"/>
    <w:basedOn w:val="14"/>
    <w:link w:val="7"/>
    <w:qFormat/>
    <w:uiPriority w:val="0"/>
    <w:rPr>
      <w:b/>
      <w:bCs/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header" Target="head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市教育局</Company>
  <Pages>4</Pages>
  <Words>1859</Words>
  <Characters>2011</Characters>
  <Lines>14</Lines>
  <Paragraphs>4</Paragraphs>
  <TotalTime>1</TotalTime>
  <ScaleCrop>false</ScaleCrop>
  <LinksUpToDate>false</LinksUpToDate>
  <CharactersWithSpaces>2048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2025-05-22T03:32:00Z</dcterms:created>
  <dc:creator>Administrator</dc:creator>
  <cp:lastModifiedBy>Administrator</cp:lastModifiedBy>
  <dcterms:modified xsi:type="dcterms:W3CDTF">2026-04-24T00:18:20Z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eyJoZGlkIjoiYjMyNjVkNjQzZjBiYzhkYWQzNzllMTgzYmZhYjM4MzYiLCJ1c2VySWQiOiI4OTM0MjQ0ODYifQ==</vt:lpwstr>
  </property>
  <property fmtid="{D5CDD505-2E9C-101B-9397-08002B2CF9AE}" pid="4" name="ICV">
    <vt:lpwstr>C4DA865A881B41A893A9ED23F0A04EAA_12</vt:lpwstr>
  </property>
</Properties>
</file>