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6A1AB1">
      <w:pPr>
        <w:pStyle w:val="100"/>
        <w:sectPr>
          <w:headerReference r:id="rId5" w:type="first"/>
          <w:headerReference r:id="rId3" w:type="default"/>
          <w:footerReference r:id="rId6" w:type="default"/>
          <w:headerReference r:id="rId4" w:type="even"/>
          <w:footerReference r:id="rId7" w:type="even"/>
          <w:pgSz w:w="11907" w:h="16839"/>
          <w:pgMar w:top="567" w:right="851" w:bottom="1361" w:left="1418" w:header="0" w:footer="0" w:gutter="0"/>
          <w:pgNumType w:start="1"/>
          <w:cols w:space="720" w:num="1"/>
          <w:titlePg/>
          <w:docGrid w:type="lines" w:linePitch="312" w:charSpace="0"/>
        </w:sectPr>
      </w:pPr>
      <w:bookmarkStart w:id="0" w:name="SectionMark0"/>
      <w: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8890000</wp:posOffset>
                </wp:positionV>
                <wp:extent cx="6121400" cy="0"/>
                <wp:effectExtent l="0" t="0" r="0" b="0"/>
                <wp:wrapNone/>
                <wp:docPr id="10" name="直线 3"/>
                <wp:cNvGraphicFramePr/>
                <a:graphic xmlns:a="http://schemas.openxmlformats.org/drawingml/2006/main">
                  <a:graphicData uri="http://schemas.microsoft.com/office/word/2010/wordprocessingShape">
                    <wps:wsp>
                      <wps:cNvCnPr/>
                      <wps:spPr>
                        <a:xfrm>
                          <a:off x="0" y="0"/>
                          <a:ext cx="6121400"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直线 3" o:spid="_x0000_s1026" o:spt="20" style="position:absolute;left:0pt;margin-left:0pt;margin-top:700pt;height:0pt;width:482pt;z-index:251668480;mso-width-relative:page;mso-height-relative:page;" filled="f" stroked="t" coordsize="21600,21600" o:gfxdata="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hsN+/tUAAAAK&#10;AQAADwAAAAAAAAABACAAAAAiAAAAZHJzL2Rvd25yZXYueG1sUEsBAhQAFAAAAAgAh07iQMGYWebm&#10;AQAA3QMAAA4AAAAAAAAAAQAgAAAAJAEAAGRycy9lMm9Eb2MueG1sUEsFBgAAAAAGAAYAWQEAAHwF&#10;AAAAAA==&#10;">
                <v:fill on="f" focussize="0,0"/>
                <v:stroke weight="1pt" color="#000000" joinstyle="round"/>
                <v:imagedata o:title=""/>
                <o:lock v:ext="edit" aspectratio="f"/>
              </v:line>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2273300</wp:posOffset>
                </wp:positionV>
                <wp:extent cx="6121400" cy="0"/>
                <wp:effectExtent l="0" t="0" r="0" b="0"/>
                <wp:wrapNone/>
                <wp:docPr id="9" name="直线 4"/>
                <wp:cNvGraphicFramePr/>
                <a:graphic xmlns:a="http://schemas.openxmlformats.org/drawingml/2006/main">
                  <a:graphicData uri="http://schemas.microsoft.com/office/word/2010/wordprocessingShape">
                    <wps:wsp>
                      <wps:cNvCnPr/>
                      <wps:spPr>
                        <a:xfrm>
                          <a:off x="0" y="0"/>
                          <a:ext cx="6121400" cy="0"/>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直线 4" o:spid="_x0000_s1026" o:spt="20" style="position:absolute;left:0pt;margin-left:0pt;margin-top:179pt;height:0pt;width:482pt;z-index:251667456;mso-width-relative:page;mso-height-relative:page;" filled="f" stroked="t" coordsize="21600,21600" o:gfxdata="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vqahW1gAA&#10;AAgBAAAPAAAAAAAAAAEAIAAAACIAAABkcnMvZG93bnJldi54bWxQSwECFAAUAAAACACHTuJAZBBM&#10;8OcBAADcAwAADgAAAAAAAAABACAAAAAlAQAAZHJzL2Uyb0RvYy54bWxQSwUGAAAAAAYABgBZAQAA&#10;fgUAAAAA&#10;">
                <v:fill on="f" focussize="0,0"/>
                <v:stroke weight="1pt" color="#000000" joinstyle="round"/>
                <v:imagedata o:title=""/>
                <o:lock v:ext="edit" aspectratio="f"/>
              </v:line>
            </w:pict>
          </mc:Fallback>
        </mc:AlternateContent>
      </w:r>
      <w:r>
        <mc:AlternateContent>
          <mc:Choice Requires="wps">
            <w:drawing>
              <wp:anchor distT="0" distB="0" distL="114300" distR="114300" simplePos="0" relativeHeight="251666432" behindDoc="0" locked="1" layoutInCell="1" allowOverlap="1">
                <wp:simplePos x="0" y="0"/>
                <wp:positionH relativeFrom="margin">
                  <wp:posOffset>0</wp:posOffset>
                </wp:positionH>
                <wp:positionV relativeFrom="margin">
                  <wp:posOffset>9108440</wp:posOffset>
                </wp:positionV>
                <wp:extent cx="6120130" cy="363220"/>
                <wp:effectExtent l="0" t="0" r="13970" b="17780"/>
                <wp:wrapNone/>
                <wp:docPr id="8" name="文本框 5"/>
                <wp:cNvGraphicFramePr/>
                <a:graphic xmlns:a="http://schemas.openxmlformats.org/drawingml/2006/main">
                  <a:graphicData uri="http://schemas.microsoft.com/office/word/2010/wordprocessingShape">
                    <wps:wsp>
                      <wps:cNvSpPr txBox="1"/>
                      <wps:spPr>
                        <a:xfrm>
                          <a:off x="0" y="0"/>
                          <a:ext cx="6120130" cy="363220"/>
                        </a:xfrm>
                        <a:prstGeom prst="rect">
                          <a:avLst/>
                        </a:prstGeom>
                        <a:solidFill>
                          <a:srgbClr val="FFFFFF"/>
                        </a:solidFill>
                        <a:ln>
                          <a:noFill/>
                        </a:ln>
                      </wps:spPr>
                      <wps:txbx>
                        <w:txbxContent>
                          <w:p w14:paraId="495C36ED">
                            <w:pPr>
                              <w:pStyle w:val="83"/>
                            </w:pPr>
                            <w:r>
                              <w:rPr>
                                <w:rFonts w:hint="eastAsia"/>
                              </w:rPr>
                              <w:t>中国计量测试学会</w:t>
                            </w:r>
                            <w:r>
                              <w:rPr>
                                <w:rStyle w:val="110"/>
                                <w:rFonts w:hint="eastAsia"/>
                              </w:rPr>
                              <w:t xml:space="preserve"> </w:t>
                            </w:r>
                            <w:r>
                              <w:rPr>
                                <w:rStyle w:val="110"/>
                              </w:rPr>
                              <w:t xml:space="preserve"> </w:t>
                            </w:r>
                            <w:r>
                              <w:rPr>
                                <w:rStyle w:val="110"/>
                                <w:rFonts w:hint="eastAsia"/>
                              </w:rPr>
                              <w:t>发布</w:t>
                            </w:r>
                          </w:p>
                        </w:txbxContent>
                      </wps:txbx>
                      <wps:bodyPr wrap="square" lIns="0" tIns="0" rIns="0" bIns="0" upright="1"/>
                    </wps:wsp>
                  </a:graphicData>
                </a:graphic>
              </wp:anchor>
            </w:drawing>
          </mc:Choice>
          <mc:Fallback>
            <w:pict>
              <v:shape id="文本框 5" o:spid="_x0000_s1026" o:spt="202" type="#_x0000_t202" style="position:absolute;left:0pt;margin-left:0pt;margin-top:717.2pt;height:28.6pt;width:481.9pt;mso-position-horizontal-relative:margin;mso-position-vertical-relative:margin;z-index:251666432;mso-width-relative:page;mso-height-relative:page;" fillcolor="#FFFFFF" filled="t" stroked="f" coordsize="21600,21600" o:gfxdata="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IlWBuvYAAAACgEAAA8AAAAAAAAA&#10;AQAgAAAAIgAAAGRycy9kb3ducmV2LnhtbFBLAQIUABQAAAAIAIdO4kDOH9fm2AEAAKkDAAAOAAAA&#10;AAAAAAEAIAAAACcBAABkcnMvZTJvRG9jLnhtbFBLBQYAAAAABgAGAFkBAABxBQAAAAA=&#10;">
                <v:fill on="t" focussize="0,0"/>
                <v:stroke on="f"/>
                <v:imagedata o:title=""/>
                <o:lock v:ext="edit" aspectratio="f"/>
                <v:textbox inset="0mm,0mm,0mm,0mm">
                  <w:txbxContent>
                    <w:p w14:paraId="495C36ED">
                      <w:pPr>
                        <w:pStyle w:val="83"/>
                      </w:pPr>
                      <w:r>
                        <w:rPr>
                          <w:rFonts w:hint="eastAsia"/>
                        </w:rPr>
                        <w:t>中国计量测试学会</w:t>
                      </w:r>
                      <w:r>
                        <w:rPr>
                          <w:rStyle w:val="110"/>
                          <w:rFonts w:hint="eastAsia"/>
                        </w:rPr>
                        <w:t xml:space="preserve"> </w:t>
                      </w:r>
                      <w:r>
                        <w:rPr>
                          <w:rStyle w:val="110"/>
                        </w:rPr>
                        <w:t xml:space="preserve"> </w:t>
                      </w:r>
                      <w:r>
                        <w:rPr>
                          <w:rStyle w:val="110"/>
                          <w:rFonts w:hint="eastAsia"/>
                        </w:rPr>
                        <w:t>发布</w:t>
                      </w:r>
                    </w:p>
                  </w:txbxContent>
                </v:textbox>
                <w10:anchorlock/>
              </v:shape>
            </w:pict>
          </mc:Fallback>
        </mc:AlternateContent>
      </w:r>
      <w:r>
        <mc:AlternateContent>
          <mc:Choice Requires="wps">
            <w:drawing>
              <wp:anchor distT="0" distB="0" distL="114300" distR="114300" simplePos="0" relativeHeight="251665408" behindDoc="0" locked="1" layoutInCell="1" allowOverlap="1">
                <wp:simplePos x="0" y="0"/>
                <wp:positionH relativeFrom="margin">
                  <wp:posOffset>4100830</wp:posOffset>
                </wp:positionH>
                <wp:positionV relativeFrom="margin">
                  <wp:posOffset>8563610</wp:posOffset>
                </wp:positionV>
                <wp:extent cx="2020570" cy="312420"/>
                <wp:effectExtent l="0" t="0" r="17780" b="11430"/>
                <wp:wrapNone/>
                <wp:docPr id="7" name="文本框 6"/>
                <wp:cNvGraphicFramePr/>
                <a:graphic xmlns:a="http://schemas.openxmlformats.org/drawingml/2006/main">
                  <a:graphicData uri="http://schemas.microsoft.com/office/word/2010/wordprocessingShape">
                    <wps:wsp>
                      <wps:cNvSpPr txBox="1"/>
                      <wps:spPr>
                        <a:xfrm>
                          <a:off x="0" y="0"/>
                          <a:ext cx="2020570" cy="312420"/>
                        </a:xfrm>
                        <a:prstGeom prst="rect">
                          <a:avLst/>
                        </a:prstGeom>
                        <a:solidFill>
                          <a:srgbClr val="FFFFFF"/>
                        </a:solidFill>
                        <a:ln>
                          <a:noFill/>
                        </a:ln>
                      </wps:spPr>
                      <wps:txbx>
                        <w:txbxContent>
                          <w:p w14:paraId="3763FF0D">
                            <w:pPr>
                              <w:pStyle w:val="86"/>
                            </w:pPr>
                            <w:bookmarkStart w:id="93" w:name="SY"/>
                            <w:r>
                              <w:rPr>
                                <w:color w:val="000000"/>
                              </w:rPr>
                              <w:fldChar w:fldCharType="begin">
                                <w:ffData>
                                  <w:enabled/>
                                  <w:calcOnExit w:val="0"/>
                                  <w:textInput/>
                                </w:ffData>
                              </w:fldChar>
                            </w:r>
                            <w:r>
                              <w:rPr>
                                <w:color w:val="000000"/>
                              </w:rPr>
                              <w:instrText xml:space="preserve"> FORMTEXT </w:instrText>
                            </w:r>
                            <w:r>
                              <w:rPr>
                                <w:color w:val="000000"/>
                              </w:rPr>
                              <w:fldChar w:fldCharType="separate"/>
                            </w:r>
                            <w:r>
                              <w:rPr>
                                <w:color w:val="000000"/>
                              </w:rPr>
                              <w:t>XXXX</w:t>
                            </w:r>
                            <w:r>
                              <w:rPr>
                                <w:color w:val="000000"/>
                              </w:rPr>
                              <w:fldChar w:fldCharType="end"/>
                            </w:r>
                            <w:bookmarkEnd w:id="93"/>
                            <w:r>
                              <w:rPr>
                                <w:color w:val="000000"/>
                              </w:rPr>
                              <w:t xml:space="preserve"> - </w:t>
                            </w:r>
                            <w:bookmarkStart w:id="94" w:name="SM"/>
                            <w:r>
                              <w:rPr>
                                <w:color w:val="000000"/>
                              </w:rPr>
                              <w:fldChar w:fldCharType="begin">
                                <w:ffData>
                                  <w:enabled/>
                                  <w:calcOnExit w:val="0"/>
                                  <w:textInput/>
                                </w:ffData>
                              </w:fldChar>
                            </w:r>
                            <w:r>
                              <w:rPr>
                                <w:color w:val="000000"/>
                              </w:rPr>
                              <w:instrText xml:space="preserve"> FORMTEXT </w:instrText>
                            </w:r>
                            <w:r>
                              <w:rPr>
                                <w:color w:val="000000"/>
                              </w:rPr>
                              <w:fldChar w:fldCharType="separate"/>
                            </w:r>
                            <w:r>
                              <w:rPr>
                                <w:color w:val="000000"/>
                              </w:rPr>
                              <w:t>XX</w:t>
                            </w:r>
                            <w:r>
                              <w:rPr>
                                <w:color w:val="000000"/>
                              </w:rPr>
                              <w:fldChar w:fldCharType="end"/>
                            </w:r>
                            <w:bookmarkEnd w:id="94"/>
                            <w:r>
                              <w:rPr>
                                <w:color w:val="000000"/>
                              </w:rPr>
                              <w:t xml:space="preserve"> - </w:t>
                            </w:r>
                            <w:bookmarkStart w:id="95" w:name="SD"/>
                            <w:r>
                              <w:rPr>
                                <w:color w:val="000000"/>
                              </w:rPr>
                              <w:fldChar w:fldCharType="begin">
                                <w:ffData>
                                  <w:enabled/>
                                  <w:calcOnExit w:val="0"/>
                                  <w:textInput/>
                                </w:ffData>
                              </w:fldChar>
                            </w:r>
                            <w:r>
                              <w:rPr>
                                <w:color w:val="000000"/>
                              </w:rPr>
                              <w:instrText xml:space="preserve"> FORMTEXT </w:instrText>
                            </w:r>
                            <w:r>
                              <w:rPr>
                                <w:color w:val="000000"/>
                              </w:rPr>
                              <w:fldChar w:fldCharType="separate"/>
                            </w:r>
                            <w:r>
                              <w:rPr>
                                <w:color w:val="000000"/>
                              </w:rPr>
                              <w:t>XX</w:t>
                            </w:r>
                            <w:r>
                              <w:rPr>
                                <w:color w:val="000000"/>
                              </w:rPr>
                              <w:fldChar w:fldCharType="end"/>
                            </w:r>
                            <w:bookmarkEnd w:id="95"/>
                            <w:r>
                              <w:rPr>
                                <w:rFonts w:hint="eastAsia"/>
                                <w:color w:val="000000"/>
                              </w:rPr>
                              <w:t>实施</w:t>
                            </w:r>
                          </w:p>
                        </w:txbxContent>
                      </wps:txbx>
                      <wps:bodyPr wrap="square" lIns="0" tIns="0" rIns="0" bIns="0" upright="1"/>
                    </wps:wsp>
                  </a:graphicData>
                </a:graphic>
              </wp:anchor>
            </w:drawing>
          </mc:Choice>
          <mc:Fallback>
            <w:pict>
              <v:shape id="文本框 6" o:spid="_x0000_s1026" o:spt="202" type="#_x0000_t202" style="position:absolute;left:0pt;margin-left:322.9pt;margin-top:674.3pt;height:24.6pt;width:159.1pt;mso-position-horizontal-relative:margin;mso-position-vertical-relative:margin;z-index:251665408;mso-width-relative:page;mso-height-relative:page;" fillcolor="#FFFFFF" filled="t" stroked="f" coordsize="21600,21600" o:gfxdata="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2JFUzNsAAAANAQAADwAA&#10;AAAAAAABACAAAAAiAAAAZHJzL2Rvd25yZXYueG1sUEsBAhQAFAAAAAgAh07iQKDo3YnaAQAAqQMA&#10;AA4AAAAAAAAAAQAgAAAAKgEAAGRycy9lMm9Eb2MueG1sUEsFBgAAAAAGAAYAWQEAAHYFAAAAAA==&#10;">
                <v:fill on="t" focussize="0,0"/>
                <v:stroke on="f"/>
                <v:imagedata o:title=""/>
                <o:lock v:ext="edit" aspectratio="f"/>
                <v:textbox inset="0mm,0mm,0mm,0mm">
                  <w:txbxContent>
                    <w:p w14:paraId="3763FF0D">
                      <w:pPr>
                        <w:pStyle w:val="86"/>
                      </w:pPr>
                      <w:bookmarkStart w:id="93" w:name="SY"/>
                      <w:r>
                        <w:rPr>
                          <w:color w:val="000000"/>
                        </w:rPr>
                        <w:fldChar w:fldCharType="begin">
                          <w:ffData>
                            <w:enabled/>
                            <w:calcOnExit w:val="0"/>
                            <w:textInput/>
                          </w:ffData>
                        </w:fldChar>
                      </w:r>
                      <w:r>
                        <w:rPr>
                          <w:color w:val="000000"/>
                        </w:rPr>
                        <w:instrText xml:space="preserve"> FORMTEXT </w:instrText>
                      </w:r>
                      <w:r>
                        <w:rPr>
                          <w:color w:val="000000"/>
                        </w:rPr>
                        <w:fldChar w:fldCharType="separate"/>
                      </w:r>
                      <w:r>
                        <w:rPr>
                          <w:color w:val="000000"/>
                        </w:rPr>
                        <w:t>XXXX</w:t>
                      </w:r>
                      <w:r>
                        <w:rPr>
                          <w:color w:val="000000"/>
                        </w:rPr>
                        <w:fldChar w:fldCharType="end"/>
                      </w:r>
                      <w:bookmarkEnd w:id="93"/>
                      <w:r>
                        <w:rPr>
                          <w:color w:val="000000"/>
                        </w:rPr>
                        <w:t xml:space="preserve"> - </w:t>
                      </w:r>
                      <w:bookmarkStart w:id="94" w:name="SM"/>
                      <w:r>
                        <w:rPr>
                          <w:color w:val="000000"/>
                        </w:rPr>
                        <w:fldChar w:fldCharType="begin">
                          <w:ffData>
                            <w:enabled/>
                            <w:calcOnExit w:val="0"/>
                            <w:textInput/>
                          </w:ffData>
                        </w:fldChar>
                      </w:r>
                      <w:r>
                        <w:rPr>
                          <w:color w:val="000000"/>
                        </w:rPr>
                        <w:instrText xml:space="preserve"> FORMTEXT </w:instrText>
                      </w:r>
                      <w:r>
                        <w:rPr>
                          <w:color w:val="000000"/>
                        </w:rPr>
                        <w:fldChar w:fldCharType="separate"/>
                      </w:r>
                      <w:r>
                        <w:rPr>
                          <w:color w:val="000000"/>
                        </w:rPr>
                        <w:t>XX</w:t>
                      </w:r>
                      <w:r>
                        <w:rPr>
                          <w:color w:val="000000"/>
                        </w:rPr>
                        <w:fldChar w:fldCharType="end"/>
                      </w:r>
                      <w:bookmarkEnd w:id="94"/>
                      <w:r>
                        <w:rPr>
                          <w:color w:val="000000"/>
                        </w:rPr>
                        <w:t xml:space="preserve"> - </w:t>
                      </w:r>
                      <w:bookmarkStart w:id="95" w:name="SD"/>
                      <w:r>
                        <w:rPr>
                          <w:color w:val="000000"/>
                        </w:rPr>
                        <w:fldChar w:fldCharType="begin">
                          <w:ffData>
                            <w:enabled/>
                            <w:calcOnExit w:val="0"/>
                            <w:textInput/>
                          </w:ffData>
                        </w:fldChar>
                      </w:r>
                      <w:r>
                        <w:rPr>
                          <w:color w:val="000000"/>
                        </w:rPr>
                        <w:instrText xml:space="preserve"> FORMTEXT </w:instrText>
                      </w:r>
                      <w:r>
                        <w:rPr>
                          <w:color w:val="000000"/>
                        </w:rPr>
                        <w:fldChar w:fldCharType="separate"/>
                      </w:r>
                      <w:r>
                        <w:rPr>
                          <w:color w:val="000000"/>
                        </w:rPr>
                        <w:t>XX</w:t>
                      </w:r>
                      <w:r>
                        <w:rPr>
                          <w:color w:val="000000"/>
                        </w:rPr>
                        <w:fldChar w:fldCharType="end"/>
                      </w:r>
                      <w:bookmarkEnd w:id="95"/>
                      <w:r>
                        <w:rPr>
                          <w:rFonts w:hint="eastAsia"/>
                          <w:color w:val="000000"/>
                        </w:rPr>
                        <w:t>实施</w:t>
                      </w:r>
                    </w:p>
                  </w:txbxContent>
                </v:textbox>
                <w10:anchorlock/>
              </v:shape>
            </w:pict>
          </mc:Fallback>
        </mc:AlternateContent>
      </w:r>
      <w:r>
        <mc:AlternateContent>
          <mc:Choice Requires="wps">
            <w:drawing>
              <wp:anchor distT="0" distB="0" distL="114300" distR="114300" simplePos="0" relativeHeight="251664384" behindDoc="0" locked="1" layoutInCell="1" allowOverlap="1">
                <wp:simplePos x="0" y="0"/>
                <wp:positionH relativeFrom="margin">
                  <wp:posOffset>0</wp:posOffset>
                </wp:positionH>
                <wp:positionV relativeFrom="margin">
                  <wp:posOffset>8563610</wp:posOffset>
                </wp:positionV>
                <wp:extent cx="2019300" cy="312420"/>
                <wp:effectExtent l="0" t="0" r="0" b="11430"/>
                <wp:wrapNone/>
                <wp:docPr id="6" name="文本框 7"/>
                <wp:cNvGraphicFramePr/>
                <a:graphic xmlns:a="http://schemas.openxmlformats.org/drawingml/2006/main">
                  <a:graphicData uri="http://schemas.microsoft.com/office/word/2010/wordprocessingShape">
                    <wps:wsp>
                      <wps:cNvSpPr txBox="1"/>
                      <wps:spPr>
                        <a:xfrm>
                          <a:off x="0" y="0"/>
                          <a:ext cx="2019300" cy="312420"/>
                        </a:xfrm>
                        <a:prstGeom prst="rect">
                          <a:avLst/>
                        </a:prstGeom>
                        <a:solidFill>
                          <a:srgbClr val="FFFFFF"/>
                        </a:solidFill>
                        <a:ln>
                          <a:noFill/>
                        </a:ln>
                      </wps:spPr>
                      <wps:txbx>
                        <w:txbxContent>
                          <w:p w14:paraId="63905602">
                            <w:bookmarkStart w:id="96" w:name="FY"/>
                            <w:r>
                              <w:rPr>
                                <w:rFonts w:hint="default" w:ascii="Times New Roman" w:hAnsi="Times New Roman" w:eastAsia="黑体" w:cs="Times New Roman"/>
                                <w:color w:val="000000"/>
                                <w:sz w:val="28"/>
                                <w:szCs w:val="28"/>
                              </w:rPr>
                              <w:fldChar w:fldCharType="begin">
                                <w:ffData>
                                  <w:enabled/>
                                  <w:calcOnExit w:val="0"/>
                                  <w:textInput/>
                                </w:ffData>
                              </w:fldChar>
                            </w:r>
                            <w:r>
                              <w:rPr>
                                <w:rFonts w:hint="default" w:ascii="Times New Roman" w:hAnsi="Times New Roman" w:eastAsia="黑体" w:cs="Times New Roman"/>
                                <w:color w:val="000000"/>
                                <w:sz w:val="28"/>
                                <w:szCs w:val="28"/>
                              </w:rPr>
                              <w:instrText xml:space="preserve"> FORMTEXT </w:instrText>
                            </w:r>
                            <w:r>
                              <w:rPr>
                                <w:rFonts w:hint="default" w:ascii="Times New Roman" w:hAnsi="Times New Roman" w:eastAsia="黑体" w:cs="Times New Roman"/>
                                <w:color w:val="000000"/>
                                <w:sz w:val="28"/>
                                <w:szCs w:val="28"/>
                              </w:rPr>
                              <w:fldChar w:fldCharType="separate"/>
                            </w:r>
                            <w:r>
                              <w:rPr>
                                <w:rFonts w:hint="default" w:ascii="Times New Roman" w:hAnsi="Times New Roman" w:eastAsia="黑体" w:cs="Times New Roman"/>
                                <w:color w:val="000000"/>
                                <w:sz w:val="28"/>
                                <w:szCs w:val="28"/>
                              </w:rPr>
                              <w:t>XXXX</w:t>
                            </w:r>
                            <w:r>
                              <w:rPr>
                                <w:rFonts w:hint="default" w:ascii="Times New Roman" w:hAnsi="Times New Roman" w:eastAsia="黑体" w:cs="Times New Roman"/>
                                <w:color w:val="000000"/>
                                <w:sz w:val="28"/>
                                <w:szCs w:val="28"/>
                              </w:rPr>
                              <w:fldChar w:fldCharType="end"/>
                            </w:r>
                            <w:bookmarkEnd w:id="96"/>
                            <w:r>
                              <w:rPr>
                                <w:rFonts w:hint="default" w:ascii="Times New Roman" w:hAnsi="Times New Roman" w:eastAsia="黑体" w:cs="Times New Roman"/>
                                <w:color w:val="000000"/>
                                <w:sz w:val="28"/>
                                <w:szCs w:val="28"/>
                              </w:rPr>
                              <w:t xml:space="preserve"> - </w:t>
                            </w:r>
                            <w:r>
                              <w:rPr>
                                <w:rFonts w:hint="default" w:ascii="Times New Roman" w:hAnsi="Times New Roman" w:eastAsia="黑体" w:cs="Times New Roman"/>
                                <w:color w:val="000000"/>
                                <w:sz w:val="28"/>
                                <w:szCs w:val="28"/>
                              </w:rPr>
                              <w:fldChar w:fldCharType="begin">
                                <w:ffData>
                                  <w:enabled/>
                                  <w:calcOnExit w:val="0"/>
                                  <w:textInput/>
                                </w:ffData>
                              </w:fldChar>
                            </w:r>
                            <w:r>
                              <w:rPr>
                                <w:rFonts w:hint="default" w:ascii="Times New Roman" w:hAnsi="Times New Roman" w:eastAsia="黑体" w:cs="Times New Roman"/>
                                <w:color w:val="000000"/>
                                <w:sz w:val="28"/>
                                <w:szCs w:val="28"/>
                              </w:rPr>
                              <w:instrText xml:space="preserve"> FORMTEXT </w:instrText>
                            </w:r>
                            <w:r>
                              <w:rPr>
                                <w:rFonts w:hint="default" w:ascii="Times New Roman" w:hAnsi="Times New Roman" w:eastAsia="黑体" w:cs="Times New Roman"/>
                                <w:color w:val="000000"/>
                                <w:sz w:val="28"/>
                                <w:szCs w:val="28"/>
                              </w:rPr>
                              <w:fldChar w:fldCharType="separate"/>
                            </w:r>
                            <w:r>
                              <w:rPr>
                                <w:rFonts w:hint="default" w:ascii="Times New Roman" w:hAnsi="Times New Roman" w:eastAsia="黑体" w:cs="Times New Roman"/>
                                <w:color w:val="000000"/>
                                <w:sz w:val="28"/>
                                <w:szCs w:val="28"/>
                              </w:rPr>
                              <w:t>XX</w:t>
                            </w:r>
                            <w:r>
                              <w:rPr>
                                <w:rFonts w:hint="default" w:ascii="Times New Roman" w:hAnsi="Times New Roman" w:eastAsia="黑体" w:cs="Times New Roman"/>
                                <w:color w:val="000000"/>
                                <w:sz w:val="28"/>
                                <w:szCs w:val="28"/>
                              </w:rPr>
                              <w:fldChar w:fldCharType="end"/>
                            </w:r>
                            <w:r>
                              <w:rPr>
                                <w:rFonts w:hint="default" w:ascii="Times New Roman" w:hAnsi="Times New Roman" w:eastAsia="黑体" w:cs="Times New Roman"/>
                                <w:color w:val="000000"/>
                                <w:sz w:val="28"/>
                                <w:szCs w:val="28"/>
                              </w:rPr>
                              <w:t xml:space="preserve"> - </w:t>
                            </w:r>
                            <w:bookmarkStart w:id="97" w:name="FD"/>
                            <w:r>
                              <w:rPr>
                                <w:rFonts w:hint="default" w:ascii="Times New Roman" w:hAnsi="Times New Roman" w:eastAsia="黑体" w:cs="Times New Roman"/>
                                <w:color w:val="000000"/>
                                <w:sz w:val="28"/>
                                <w:szCs w:val="28"/>
                              </w:rPr>
                              <w:fldChar w:fldCharType="begin">
                                <w:ffData>
                                  <w:enabled/>
                                  <w:calcOnExit w:val="0"/>
                                  <w:textInput/>
                                </w:ffData>
                              </w:fldChar>
                            </w:r>
                            <w:r>
                              <w:rPr>
                                <w:rFonts w:hint="default" w:ascii="Times New Roman" w:hAnsi="Times New Roman" w:eastAsia="黑体" w:cs="Times New Roman"/>
                                <w:color w:val="000000"/>
                                <w:sz w:val="28"/>
                                <w:szCs w:val="28"/>
                              </w:rPr>
                              <w:instrText xml:space="preserve"> FORMTEXT </w:instrText>
                            </w:r>
                            <w:r>
                              <w:rPr>
                                <w:rFonts w:hint="default" w:ascii="Times New Roman" w:hAnsi="Times New Roman" w:eastAsia="黑体" w:cs="Times New Roman"/>
                                <w:color w:val="000000"/>
                                <w:sz w:val="28"/>
                                <w:szCs w:val="28"/>
                              </w:rPr>
                              <w:fldChar w:fldCharType="separate"/>
                            </w:r>
                            <w:r>
                              <w:rPr>
                                <w:rFonts w:hint="default" w:ascii="Times New Roman" w:hAnsi="Times New Roman" w:eastAsia="黑体" w:cs="Times New Roman"/>
                                <w:color w:val="000000"/>
                                <w:sz w:val="28"/>
                                <w:szCs w:val="28"/>
                              </w:rPr>
                              <w:t>XX</w:t>
                            </w:r>
                            <w:r>
                              <w:rPr>
                                <w:rFonts w:hint="default" w:ascii="Times New Roman" w:hAnsi="Times New Roman" w:eastAsia="黑体" w:cs="Times New Roman"/>
                                <w:color w:val="000000"/>
                                <w:sz w:val="28"/>
                                <w:szCs w:val="28"/>
                              </w:rPr>
                              <w:fldChar w:fldCharType="end"/>
                            </w:r>
                            <w:bookmarkEnd w:id="97"/>
                            <w:r>
                              <w:rPr>
                                <w:rFonts w:hint="default" w:ascii="Times New Roman" w:hAnsi="Times New Roman" w:eastAsia="黑体" w:cs="Times New Roman"/>
                                <w:color w:val="000000"/>
                                <w:sz w:val="28"/>
                                <w:szCs w:val="28"/>
                              </w:rPr>
                              <w:t>发布</w:t>
                            </w:r>
                          </w:p>
                        </w:txbxContent>
                      </wps:txbx>
                      <wps:bodyPr wrap="square" lIns="0" tIns="0" rIns="0" bIns="0" upright="1"/>
                    </wps:wsp>
                  </a:graphicData>
                </a:graphic>
              </wp:anchor>
            </w:drawing>
          </mc:Choice>
          <mc:Fallback>
            <w:pict>
              <v:shape id="文本框 7" o:spid="_x0000_s1026" o:spt="202" type="#_x0000_t202" style="position:absolute;left:0pt;margin-left:0pt;margin-top:674.3pt;height:24.6pt;width:159pt;mso-position-horizontal-relative:margin;mso-position-vertical-relative:margin;z-index:251664384;mso-width-relative:page;mso-height-relative:page;" fillcolor="#FFFFFF" filled="t" stroked="f" coordsize="21600,21600" o:gfxdata="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fNsqI2AAAAAoBAAAPAAAAAAAA&#10;AAEAIAAAACIAAABkcnMvZG93bnJldi54bWxQSwECFAAUAAAACACHTuJApel7KtkBAACpAwAADgAA&#10;AAAAAAABACAAAAAnAQAAZHJzL2Uyb0RvYy54bWxQSwUGAAAAAAYABgBZAQAAcgUAAAAA&#10;">
                <v:fill on="t" focussize="0,0"/>
                <v:stroke on="f"/>
                <v:imagedata o:title=""/>
                <o:lock v:ext="edit" aspectratio="f"/>
                <v:textbox inset="0mm,0mm,0mm,0mm">
                  <w:txbxContent>
                    <w:p w14:paraId="63905602">
                      <w:bookmarkStart w:id="96" w:name="FY"/>
                      <w:r>
                        <w:rPr>
                          <w:rFonts w:hint="default" w:ascii="Times New Roman" w:hAnsi="Times New Roman" w:eastAsia="黑体" w:cs="Times New Roman"/>
                          <w:color w:val="000000"/>
                          <w:sz w:val="28"/>
                          <w:szCs w:val="28"/>
                        </w:rPr>
                        <w:fldChar w:fldCharType="begin">
                          <w:ffData>
                            <w:enabled/>
                            <w:calcOnExit w:val="0"/>
                            <w:textInput/>
                          </w:ffData>
                        </w:fldChar>
                      </w:r>
                      <w:r>
                        <w:rPr>
                          <w:rFonts w:hint="default" w:ascii="Times New Roman" w:hAnsi="Times New Roman" w:eastAsia="黑体" w:cs="Times New Roman"/>
                          <w:color w:val="000000"/>
                          <w:sz w:val="28"/>
                          <w:szCs w:val="28"/>
                        </w:rPr>
                        <w:instrText xml:space="preserve"> FORMTEXT </w:instrText>
                      </w:r>
                      <w:r>
                        <w:rPr>
                          <w:rFonts w:hint="default" w:ascii="Times New Roman" w:hAnsi="Times New Roman" w:eastAsia="黑体" w:cs="Times New Roman"/>
                          <w:color w:val="000000"/>
                          <w:sz w:val="28"/>
                          <w:szCs w:val="28"/>
                        </w:rPr>
                        <w:fldChar w:fldCharType="separate"/>
                      </w:r>
                      <w:r>
                        <w:rPr>
                          <w:rFonts w:hint="default" w:ascii="Times New Roman" w:hAnsi="Times New Roman" w:eastAsia="黑体" w:cs="Times New Roman"/>
                          <w:color w:val="000000"/>
                          <w:sz w:val="28"/>
                          <w:szCs w:val="28"/>
                        </w:rPr>
                        <w:t>XXXX</w:t>
                      </w:r>
                      <w:r>
                        <w:rPr>
                          <w:rFonts w:hint="default" w:ascii="Times New Roman" w:hAnsi="Times New Roman" w:eastAsia="黑体" w:cs="Times New Roman"/>
                          <w:color w:val="000000"/>
                          <w:sz w:val="28"/>
                          <w:szCs w:val="28"/>
                        </w:rPr>
                        <w:fldChar w:fldCharType="end"/>
                      </w:r>
                      <w:bookmarkEnd w:id="96"/>
                      <w:r>
                        <w:rPr>
                          <w:rFonts w:hint="default" w:ascii="Times New Roman" w:hAnsi="Times New Roman" w:eastAsia="黑体" w:cs="Times New Roman"/>
                          <w:color w:val="000000"/>
                          <w:sz w:val="28"/>
                          <w:szCs w:val="28"/>
                        </w:rPr>
                        <w:t xml:space="preserve"> - </w:t>
                      </w:r>
                      <w:r>
                        <w:rPr>
                          <w:rFonts w:hint="default" w:ascii="Times New Roman" w:hAnsi="Times New Roman" w:eastAsia="黑体" w:cs="Times New Roman"/>
                          <w:color w:val="000000"/>
                          <w:sz w:val="28"/>
                          <w:szCs w:val="28"/>
                        </w:rPr>
                        <w:fldChar w:fldCharType="begin">
                          <w:ffData>
                            <w:enabled/>
                            <w:calcOnExit w:val="0"/>
                            <w:textInput/>
                          </w:ffData>
                        </w:fldChar>
                      </w:r>
                      <w:r>
                        <w:rPr>
                          <w:rFonts w:hint="default" w:ascii="Times New Roman" w:hAnsi="Times New Roman" w:eastAsia="黑体" w:cs="Times New Roman"/>
                          <w:color w:val="000000"/>
                          <w:sz w:val="28"/>
                          <w:szCs w:val="28"/>
                        </w:rPr>
                        <w:instrText xml:space="preserve"> FORMTEXT </w:instrText>
                      </w:r>
                      <w:r>
                        <w:rPr>
                          <w:rFonts w:hint="default" w:ascii="Times New Roman" w:hAnsi="Times New Roman" w:eastAsia="黑体" w:cs="Times New Roman"/>
                          <w:color w:val="000000"/>
                          <w:sz w:val="28"/>
                          <w:szCs w:val="28"/>
                        </w:rPr>
                        <w:fldChar w:fldCharType="separate"/>
                      </w:r>
                      <w:r>
                        <w:rPr>
                          <w:rFonts w:hint="default" w:ascii="Times New Roman" w:hAnsi="Times New Roman" w:eastAsia="黑体" w:cs="Times New Roman"/>
                          <w:color w:val="000000"/>
                          <w:sz w:val="28"/>
                          <w:szCs w:val="28"/>
                        </w:rPr>
                        <w:t>XX</w:t>
                      </w:r>
                      <w:r>
                        <w:rPr>
                          <w:rFonts w:hint="default" w:ascii="Times New Roman" w:hAnsi="Times New Roman" w:eastAsia="黑体" w:cs="Times New Roman"/>
                          <w:color w:val="000000"/>
                          <w:sz w:val="28"/>
                          <w:szCs w:val="28"/>
                        </w:rPr>
                        <w:fldChar w:fldCharType="end"/>
                      </w:r>
                      <w:r>
                        <w:rPr>
                          <w:rFonts w:hint="default" w:ascii="Times New Roman" w:hAnsi="Times New Roman" w:eastAsia="黑体" w:cs="Times New Roman"/>
                          <w:color w:val="000000"/>
                          <w:sz w:val="28"/>
                          <w:szCs w:val="28"/>
                        </w:rPr>
                        <w:t xml:space="preserve"> - </w:t>
                      </w:r>
                      <w:bookmarkStart w:id="97" w:name="FD"/>
                      <w:r>
                        <w:rPr>
                          <w:rFonts w:hint="default" w:ascii="Times New Roman" w:hAnsi="Times New Roman" w:eastAsia="黑体" w:cs="Times New Roman"/>
                          <w:color w:val="000000"/>
                          <w:sz w:val="28"/>
                          <w:szCs w:val="28"/>
                        </w:rPr>
                        <w:fldChar w:fldCharType="begin">
                          <w:ffData>
                            <w:enabled/>
                            <w:calcOnExit w:val="0"/>
                            <w:textInput/>
                          </w:ffData>
                        </w:fldChar>
                      </w:r>
                      <w:r>
                        <w:rPr>
                          <w:rFonts w:hint="default" w:ascii="Times New Roman" w:hAnsi="Times New Roman" w:eastAsia="黑体" w:cs="Times New Roman"/>
                          <w:color w:val="000000"/>
                          <w:sz w:val="28"/>
                          <w:szCs w:val="28"/>
                        </w:rPr>
                        <w:instrText xml:space="preserve"> FORMTEXT </w:instrText>
                      </w:r>
                      <w:r>
                        <w:rPr>
                          <w:rFonts w:hint="default" w:ascii="Times New Roman" w:hAnsi="Times New Roman" w:eastAsia="黑体" w:cs="Times New Roman"/>
                          <w:color w:val="000000"/>
                          <w:sz w:val="28"/>
                          <w:szCs w:val="28"/>
                        </w:rPr>
                        <w:fldChar w:fldCharType="separate"/>
                      </w:r>
                      <w:r>
                        <w:rPr>
                          <w:rFonts w:hint="default" w:ascii="Times New Roman" w:hAnsi="Times New Roman" w:eastAsia="黑体" w:cs="Times New Roman"/>
                          <w:color w:val="000000"/>
                          <w:sz w:val="28"/>
                          <w:szCs w:val="28"/>
                        </w:rPr>
                        <w:t>XX</w:t>
                      </w:r>
                      <w:r>
                        <w:rPr>
                          <w:rFonts w:hint="default" w:ascii="Times New Roman" w:hAnsi="Times New Roman" w:eastAsia="黑体" w:cs="Times New Roman"/>
                          <w:color w:val="000000"/>
                          <w:sz w:val="28"/>
                          <w:szCs w:val="28"/>
                        </w:rPr>
                        <w:fldChar w:fldCharType="end"/>
                      </w:r>
                      <w:bookmarkEnd w:id="97"/>
                      <w:r>
                        <w:rPr>
                          <w:rFonts w:hint="default" w:ascii="Times New Roman" w:hAnsi="Times New Roman" w:eastAsia="黑体" w:cs="Times New Roman"/>
                          <w:color w:val="000000"/>
                          <w:sz w:val="28"/>
                          <w:szCs w:val="28"/>
                        </w:rPr>
                        <w:t>发布</w:t>
                      </w:r>
                    </w:p>
                  </w:txbxContent>
                </v:textbox>
                <w10:anchorlock/>
              </v:shape>
            </w:pict>
          </mc:Fallback>
        </mc:AlternateContent>
      </w:r>
      <w:r>
        <mc:AlternateContent>
          <mc:Choice Requires="wps">
            <w:drawing>
              <wp:anchor distT="0" distB="0" distL="114300" distR="114300" simplePos="0" relativeHeight="251663360" behindDoc="0" locked="1" layoutInCell="1" allowOverlap="1">
                <wp:simplePos x="0" y="0"/>
                <wp:positionH relativeFrom="margin">
                  <wp:posOffset>151130</wp:posOffset>
                </wp:positionH>
                <wp:positionV relativeFrom="margin">
                  <wp:posOffset>3630295</wp:posOffset>
                </wp:positionV>
                <wp:extent cx="5969000" cy="3454400"/>
                <wp:effectExtent l="0" t="0" r="12700" b="12700"/>
                <wp:wrapNone/>
                <wp:docPr id="5" name="文本框 8"/>
                <wp:cNvGraphicFramePr/>
                <a:graphic xmlns:a="http://schemas.openxmlformats.org/drawingml/2006/main">
                  <a:graphicData uri="http://schemas.microsoft.com/office/word/2010/wordprocessingShape">
                    <wps:wsp>
                      <wps:cNvSpPr txBox="1"/>
                      <wps:spPr>
                        <a:xfrm>
                          <a:off x="0" y="0"/>
                          <a:ext cx="5969000" cy="3454400"/>
                        </a:xfrm>
                        <a:prstGeom prst="rect">
                          <a:avLst/>
                        </a:prstGeom>
                        <a:solidFill>
                          <a:srgbClr val="FFFFFF"/>
                        </a:solidFill>
                        <a:ln>
                          <a:noFill/>
                        </a:ln>
                      </wps:spPr>
                      <wps:txbx>
                        <w:txbxContent>
                          <w:p w14:paraId="72FEAEE8">
                            <w:pPr>
                              <w:pStyle w:val="75"/>
                              <w:rPr>
                                <w:rFonts w:hint="default" w:ascii="Times New Roman" w:eastAsia="黑体"/>
                                <w:color w:val="000000"/>
                                <w:lang w:val="en-US" w:eastAsia="zh-CN"/>
                              </w:rPr>
                            </w:pPr>
                            <w:r>
                              <w:rPr>
                                <w:rFonts w:hint="eastAsia" w:hAnsi="黑体" w:cs="黑体"/>
                                <w:color w:val="000000"/>
                                <w:w w:val="95"/>
                                <w:szCs w:val="52"/>
                                <w:lang w:eastAsia="zh-CN"/>
                              </w:rPr>
                              <w:t>冲感式浮子流量计</w:t>
                            </w:r>
                          </w:p>
                          <w:p w14:paraId="2E6B6797">
                            <w:pPr>
                              <w:jc w:val="center"/>
                              <w:rPr>
                                <w:rFonts w:hint="eastAsia" w:eastAsia="宋体"/>
                                <w:color w:val="000000"/>
                                <w:sz w:val="30"/>
                                <w:szCs w:val="30"/>
                                <w:lang w:eastAsia="zh-CN"/>
                              </w:rPr>
                            </w:pPr>
                            <w:r>
                              <w:rPr>
                                <w:rFonts w:hint="eastAsia"/>
                                <w:color w:val="000000"/>
                                <w:sz w:val="30"/>
                                <w:szCs w:val="30"/>
                                <w:lang w:val="en-US" w:eastAsia="zh-CN"/>
                              </w:rPr>
                              <w:t>Impulse-Inductive Float Flow Meter</w:t>
                            </w:r>
                          </w:p>
                          <w:p w14:paraId="120D5F80">
                            <w:pPr>
                              <w:pStyle w:val="80"/>
                            </w:pPr>
                            <w:r>
                              <w:rPr>
                                <w:rFonts w:hint="eastAsia"/>
                              </w:rPr>
                              <w:t>（</w:t>
                            </w:r>
                            <w:r>
                              <w:rPr>
                                <w:rFonts w:hint="eastAsia"/>
                                <w:lang w:val="en-US" w:eastAsia="zh-CN"/>
                              </w:rPr>
                              <w:t>征求意见稿</w:t>
                            </w:r>
                            <w:r>
                              <w:rPr>
                                <w:rFonts w:hint="eastAsia"/>
                              </w:rPr>
                              <w:t>）</w:t>
                            </w:r>
                          </w:p>
                          <w:p w14:paraId="6ED3D288">
                            <w:pPr>
                              <w:pStyle w:val="72"/>
                            </w:pPr>
                          </w:p>
                          <w:p w14:paraId="067F2306">
                            <w:pPr>
                              <w:pStyle w:val="76"/>
                            </w:pPr>
                          </w:p>
                        </w:txbxContent>
                      </wps:txbx>
                      <wps:bodyPr wrap="square" lIns="0" tIns="0" rIns="0" bIns="0" upright="1"/>
                    </wps:wsp>
                  </a:graphicData>
                </a:graphic>
              </wp:anchor>
            </w:drawing>
          </mc:Choice>
          <mc:Fallback>
            <w:pict>
              <v:shape id="文本框 8" o:spid="_x0000_s1026" o:spt="202" type="#_x0000_t202" style="position:absolute;left:0pt;margin-left:11.9pt;margin-top:285.85pt;height:272pt;width:470pt;mso-position-horizontal-relative:margin;mso-position-vertical-relative:margin;z-index:251663360;mso-width-relative:page;mso-height-relative:page;" fillcolor="#FFFFFF" filled="t" stroked="f" coordsize="21600,21600" o:gfxdata="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9SXZX2QAAAAsBAAAPAAAAAAAA&#10;AAEAIAAAACIAAABkcnMvZG93bnJldi54bWxQSwECFAAUAAAACACHTuJAL1IagdgBAACqAwAADgAA&#10;AAAAAAABACAAAAAoAQAAZHJzL2Uyb0RvYy54bWxQSwUGAAAAAAYABgBZAQAAcgUAAAAA&#10;">
                <v:fill on="t" focussize="0,0"/>
                <v:stroke on="f"/>
                <v:imagedata o:title=""/>
                <o:lock v:ext="edit" aspectratio="f"/>
                <v:textbox inset="0mm,0mm,0mm,0mm">
                  <w:txbxContent>
                    <w:p w14:paraId="72FEAEE8">
                      <w:pPr>
                        <w:pStyle w:val="75"/>
                        <w:rPr>
                          <w:rFonts w:hint="default" w:ascii="Times New Roman" w:eastAsia="黑体"/>
                          <w:color w:val="000000"/>
                          <w:lang w:val="en-US" w:eastAsia="zh-CN"/>
                        </w:rPr>
                      </w:pPr>
                      <w:r>
                        <w:rPr>
                          <w:rFonts w:hint="eastAsia" w:hAnsi="黑体" w:cs="黑体"/>
                          <w:color w:val="000000"/>
                          <w:w w:val="95"/>
                          <w:szCs w:val="52"/>
                          <w:lang w:eastAsia="zh-CN"/>
                        </w:rPr>
                        <w:t>冲感式浮子流量计</w:t>
                      </w:r>
                    </w:p>
                    <w:p w14:paraId="2E6B6797">
                      <w:pPr>
                        <w:jc w:val="center"/>
                        <w:rPr>
                          <w:rFonts w:hint="eastAsia" w:eastAsia="宋体"/>
                          <w:color w:val="000000"/>
                          <w:sz w:val="30"/>
                          <w:szCs w:val="30"/>
                          <w:lang w:eastAsia="zh-CN"/>
                        </w:rPr>
                      </w:pPr>
                      <w:r>
                        <w:rPr>
                          <w:rFonts w:hint="eastAsia"/>
                          <w:color w:val="000000"/>
                          <w:sz w:val="30"/>
                          <w:szCs w:val="30"/>
                          <w:lang w:val="en-US" w:eastAsia="zh-CN"/>
                        </w:rPr>
                        <w:t>Impulse-Inductive Float Flow Meter</w:t>
                      </w:r>
                    </w:p>
                    <w:p w14:paraId="120D5F80">
                      <w:pPr>
                        <w:pStyle w:val="80"/>
                      </w:pPr>
                      <w:r>
                        <w:rPr>
                          <w:rFonts w:hint="eastAsia"/>
                        </w:rPr>
                        <w:t>（</w:t>
                      </w:r>
                      <w:r>
                        <w:rPr>
                          <w:rFonts w:hint="eastAsia"/>
                          <w:lang w:val="en-US" w:eastAsia="zh-CN"/>
                        </w:rPr>
                        <w:t>征求意见稿</w:t>
                      </w:r>
                      <w:r>
                        <w:rPr>
                          <w:rFonts w:hint="eastAsia"/>
                        </w:rPr>
                        <w:t>）</w:t>
                      </w:r>
                    </w:p>
                    <w:p w14:paraId="6ED3D288">
                      <w:pPr>
                        <w:pStyle w:val="72"/>
                      </w:pPr>
                    </w:p>
                    <w:p w14:paraId="067F2306">
                      <w:pPr>
                        <w:pStyle w:val="76"/>
                      </w:pPr>
                    </w:p>
                  </w:txbxContent>
                </v:textbox>
                <w10:anchorlock/>
              </v:shape>
            </w:pict>
          </mc:Fallback>
        </mc:AlternateContent>
      </w:r>
      <w:r>
        <mc:AlternateContent>
          <mc:Choice Requires="wps">
            <w:drawing>
              <wp:anchor distT="0" distB="0" distL="114300" distR="114300" simplePos="0" relativeHeight="251662336" behindDoc="0" locked="1" layoutInCell="1" allowOverlap="1">
                <wp:simplePos x="0" y="0"/>
                <wp:positionH relativeFrom="margin">
                  <wp:posOffset>0</wp:posOffset>
                </wp:positionH>
                <wp:positionV relativeFrom="margin">
                  <wp:posOffset>1468755</wp:posOffset>
                </wp:positionV>
                <wp:extent cx="5802630" cy="692785"/>
                <wp:effectExtent l="0" t="0" r="7620" b="12065"/>
                <wp:wrapNone/>
                <wp:docPr id="4" name="文本框 9"/>
                <wp:cNvGraphicFramePr/>
                <a:graphic xmlns:a="http://schemas.openxmlformats.org/drawingml/2006/main">
                  <a:graphicData uri="http://schemas.microsoft.com/office/word/2010/wordprocessingShape">
                    <wps:wsp>
                      <wps:cNvSpPr txBox="1"/>
                      <wps:spPr>
                        <a:xfrm>
                          <a:off x="0" y="0"/>
                          <a:ext cx="5802630" cy="692785"/>
                        </a:xfrm>
                        <a:prstGeom prst="rect">
                          <a:avLst/>
                        </a:prstGeom>
                        <a:solidFill>
                          <a:srgbClr val="FFFFFF"/>
                        </a:solidFill>
                        <a:ln>
                          <a:noFill/>
                        </a:ln>
                      </wps:spPr>
                      <wps:txbx>
                        <w:txbxContent>
                          <w:p w14:paraId="04AECAB6">
                            <w:pPr>
                              <w:pStyle w:val="56"/>
                              <w:wordWrap w:val="0"/>
                              <w:rPr>
                                <w:rFonts w:hint="eastAsia" w:eastAsia="宋体"/>
                                <w:lang w:eastAsia="zh-CN"/>
                              </w:rPr>
                            </w:pPr>
                            <w:r>
                              <w:rPr>
                                <w:rFonts w:hint="eastAsia"/>
                              </w:rPr>
                              <w:t>T</w:t>
                            </w:r>
                            <w:r>
                              <w:t>/CSMT</w:t>
                            </w:r>
                            <w:r>
                              <w:rPr>
                                <w:rFonts w:hint="eastAsia"/>
                                <w:lang w:val="en-US" w:eastAsia="zh-CN"/>
                              </w:rPr>
                              <w:t>-00*</w:t>
                            </w:r>
                            <w:r>
                              <w:t>—20</w:t>
                            </w:r>
                            <w:r>
                              <w:rPr>
                                <w:rFonts w:hint="eastAsia"/>
                                <w:lang w:val="en-US" w:eastAsia="zh-CN"/>
                              </w:rPr>
                              <w:t>xx</w:t>
                            </w:r>
                          </w:p>
                          <w:p w14:paraId="341652EA">
                            <w:pPr>
                              <w:pStyle w:val="69"/>
                              <w:wordWrap w:val="0"/>
                              <w:rPr>
                                <w:rFonts w:hint="eastAsia"/>
                              </w:rPr>
                            </w:pPr>
                          </w:p>
                          <w:p w14:paraId="2815B1C1">
                            <w:pPr>
                              <w:rPr>
                                <w:rFonts w:hint="eastAsia"/>
                              </w:rPr>
                            </w:pPr>
                          </w:p>
                          <w:p w14:paraId="69D39719"/>
                        </w:txbxContent>
                      </wps:txbx>
                      <wps:bodyPr wrap="square" lIns="0" tIns="0" rIns="0" bIns="0" upright="1"/>
                    </wps:wsp>
                  </a:graphicData>
                </a:graphic>
              </wp:anchor>
            </w:drawing>
          </mc:Choice>
          <mc:Fallback>
            <w:pict>
              <v:shape id="文本框 9" o:spid="_x0000_s1026" o:spt="202" type="#_x0000_t202" style="position:absolute;left:0pt;margin-left:0pt;margin-top:115.65pt;height:54.55pt;width:456.9pt;mso-position-horizontal-relative:margin;mso-position-vertical-relative:margin;z-index:251662336;mso-width-relative:page;mso-height-relative:page;" fillcolor="#FFFFFF" filled="t" stroked="f" coordsize="21600,21600" o:gfxdata="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Km009DYAAAACAEAAA8AAAAAAAAA&#10;AQAgAAAAIgAAAGRycy9kb3ducmV2LnhtbFBLAQIUABQAAAAIAIdO4kBBDNt12AEAAKkDAAAOAAAA&#10;AAAAAAEAIAAAACcBAABkcnMvZTJvRG9jLnhtbFBLBQYAAAAABgAGAFkBAABxBQAAAAA=&#10;">
                <v:fill on="t" focussize="0,0"/>
                <v:stroke on="f"/>
                <v:imagedata o:title=""/>
                <o:lock v:ext="edit" aspectratio="f"/>
                <v:textbox inset="0mm,0mm,0mm,0mm">
                  <w:txbxContent>
                    <w:p w14:paraId="04AECAB6">
                      <w:pPr>
                        <w:pStyle w:val="56"/>
                        <w:wordWrap w:val="0"/>
                        <w:rPr>
                          <w:rFonts w:hint="eastAsia" w:eastAsia="宋体"/>
                          <w:lang w:eastAsia="zh-CN"/>
                        </w:rPr>
                      </w:pPr>
                      <w:r>
                        <w:rPr>
                          <w:rFonts w:hint="eastAsia"/>
                        </w:rPr>
                        <w:t>T</w:t>
                      </w:r>
                      <w:r>
                        <w:t>/CSMT</w:t>
                      </w:r>
                      <w:r>
                        <w:rPr>
                          <w:rFonts w:hint="eastAsia"/>
                          <w:lang w:val="en-US" w:eastAsia="zh-CN"/>
                        </w:rPr>
                        <w:t>-00*</w:t>
                      </w:r>
                      <w:r>
                        <w:t>—20</w:t>
                      </w:r>
                      <w:r>
                        <w:rPr>
                          <w:rFonts w:hint="eastAsia"/>
                          <w:lang w:val="en-US" w:eastAsia="zh-CN"/>
                        </w:rPr>
                        <w:t>xx</w:t>
                      </w:r>
                    </w:p>
                    <w:p w14:paraId="341652EA">
                      <w:pPr>
                        <w:pStyle w:val="69"/>
                        <w:wordWrap w:val="0"/>
                        <w:rPr>
                          <w:rFonts w:hint="eastAsia"/>
                        </w:rPr>
                      </w:pPr>
                    </w:p>
                    <w:p w14:paraId="2815B1C1">
                      <w:pPr>
                        <w:rPr>
                          <w:rFonts w:hint="eastAsia"/>
                        </w:rPr>
                      </w:pPr>
                    </w:p>
                    <w:p w14:paraId="69D39719"/>
                  </w:txbxContent>
                </v:textbox>
                <w10:anchorlock/>
              </v:shape>
            </w:pict>
          </mc:Fallback>
        </mc:AlternateContent>
      </w:r>
      <w:r>
        <mc:AlternateContent>
          <mc:Choice Requires="wps">
            <w:drawing>
              <wp:anchor distT="0" distB="0" distL="114300" distR="114300" simplePos="0" relativeHeight="251661312" behindDoc="0" locked="1" layoutInCell="1" allowOverlap="1">
                <wp:simplePos x="0" y="0"/>
                <wp:positionH relativeFrom="margin">
                  <wp:posOffset>2549525</wp:posOffset>
                </wp:positionH>
                <wp:positionV relativeFrom="margin">
                  <wp:posOffset>107315</wp:posOffset>
                </wp:positionV>
                <wp:extent cx="3175000" cy="720090"/>
                <wp:effectExtent l="0" t="0" r="6350" b="3810"/>
                <wp:wrapNone/>
                <wp:docPr id="3" name="文本框 10"/>
                <wp:cNvGraphicFramePr/>
                <a:graphic xmlns:a="http://schemas.openxmlformats.org/drawingml/2006/main">
                  <a:graphicData uri="http://schemas.microsoft.com/office/word/2010/wordprocessingShape">
                    <wps:wsp>
                      <wps:cNvSpPr txBox="1"/>
                      <wps:spPr>
                        <a:xfrm>
                          <a:off x="0" y="0"/>
                          <a:ext cx="3175000" cy="720090"/>
                        </a:xfrm>
                        <a:prstGeom prst="rect">
                          <a:avLst/>
                        </a:prstGeom>
                        <a:solidFill>
                          <a:srgbClr val="FFFFFF"/>
                        </a:solidFill>
                        <a:ln>
                          <a:noFill/>
                        </a:ln>
                      </wps:spPr>
                      <wps:txbx>
                        <w:txbxContent>
                          <w:p w14:paraId="7384F6AF">
                            <w:pPr>
                              <w:pStyle w:val="66"/>
                              <w:rPr>
                                <w:rFonts w:ascii="Times New Roman" w:hAnsi="Times New Roman"/>
                              </w:rPr>
                            </w:pPr>
                            <w:r>
                              <w:rPr>
                                <w:rFonts w:ascii="Times New Roman" w:hAnsi="Times New Roman"/>
                              </w:rPr>
                              <w:t>T/CSMT</w:t>
                            </w:r>
                          </w:p>
                          <w:p w14:paraId="2E350C43">
                            <w:pPr>
                              <w:pStyle w:val="66"/>
                            </w:pPr>
                          </w:p>
                        </w:txbxContent>
                      </wps:txbx>
                      <wps:bodyPr wrap="square" lIns="0" tIns="0" rIns="0" bIns="0" upright="1"/>
                    </wps:wsp>
                  </a:graphicData>
                </a:graphic>
              </wp:anchor>
            </w:drawing>
          </mc:Choice>
          <mc:Fallback>
            <w:pict>
              <v:shape id="文本框 10" o:spid="_x0000_s1026" o:spt="202" type="#_x0000_t202" style="position:absolute;left:0pt;margin-left:200.75pt;margin-top:8.45pt;height:56.7pt;width:250pt;mso-position-horizontal-relative:margin;mso-position-vertical-relative:margin;z-index:251661312;mso-width-relative:page;mso-height-relative:page;" fillcolor="#FFFFFF" filled="t" stroked="f" coordsize="21600,21600" o:gfxdata="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ElZOzzYAAAACgEAAA8AAAAAAAAA&#10;AQAgAAAAIgAAAGRycy9kb3ducmV2LnhtbFBLAQIUABQAAAAIAIdO4kCH8Fe+2AEAAKoDAAAOAAAA&#10;AAAAAAEAIAAAACcBAABkcnMvZTJvRG9jLnhtbFBLBQYAAAAABgAGAFkBAABxBQAAAAA=&#10;">
                <v:fill on="t" focussize="0,0"/>
                <v:stroke on="f"/>
                <v:imagedata o:title=""/>
                <o:lock v:ext="edit" aspectratio="f"/>
                <v:textbox inset="0mm,0mm,0mm,0mm">
                  <w:txbxContent>
                    <w:p w14:paraId="7384F6AF">
                      <w:pPr>
                        <w:pStyle w:val="66"/>
                        <w:rPr>
                          <w:rFonts w:ascii="Times New Roman" w:hAnsi="Times New Roman"/>
                        </w:rPr>
                      </w:pPr>
                      <w:r>
                        <w:rPr>
                          <w:rFonts w:ascii="Times New Roman" w:hAnsi="Times New Roman"/>
                        </w:rPr>
                        <w:t>T/CSMT</w:t>
                      </w:r>
                    </w:p>
                    <w:p w14:paraId="2E350C43">
                      <w:pPr>
                        <w:pStyle w:val="66"/>
                      </w:pPr>
                    </w:p>
                  </w:txbxContent>
                </v:textbox>
                <w10:anchorlock/>
              </v:shape>
            </w:pict>
          </mc:Fallback>
        </mc:AlternateContent>
      </w:r>
      <w:r>
        <mc:AlternateContent>
          <mc:Choice Requires="wps">
            <w:drawing>
              <wp:anchor distT="0" distB="0" distL="114300" distR="114300" simplePos="0" relativeHeight="251660288" behindDoc="0" locked="1" layoutInCell="1" allowOverlap="1">
                <wp:simplePos x="0" y="0"/>
                <wp:positionH relativeFrom="margin">
                  <wp:posOffset>0</wp:posOffset>
                </wp:positionH>
                <wp:positionV relativeFrom="margin">
                  <wp:posOffset>1010920</wp:posOffset>
                </wp:positionV>
                <wp:extent cx="6120130" cy="457835"/>
                <wp:effectExtent l="0" t="0" r="13970" b="18415"/>
                <wp:wrapNone/>
                <wp:docPr id="2" name="文本框 11"/>
                <wp:cNvGraphicFramePr/>
                <a:graphic xmlns:a="http://schemas.openxmlformats.org/drawingml/2006/main">
                  <a:graphicData uri="http://schemas.microsoft.com/office/word/2010/wordprocessingShape">
                    <wps:wsp>
                      <wps:cNvSpPr txBox="1"/>
                      <wps:spPr>
                        <a:xfrm>
                          <a:off x="0" y="0"/>
                          <a:ext cx="6120130" cy="457835"/>
                        </a:xfrm>
                        <a:prstGeom prst="rect">
                          <a:avLst/>
                        </a:prstGeom>
                        <a:solidFill>
                          <a:srgbClr val="FFFFFF"/>
                        </a:solidFill>
                        <a:ln>
                          <a:noFill/>
                        </a:ln>
                      </wps:spPr>
                      <wps:txbx>
                        <w:txbxContent>
                          <w:p w14:paraId="37D08159">
                            <w:pPr>
                              <w:pStyle w:val="94"/>
                              <w:rPr>
                                <w:szCs w:val="52"/>
                              </w:rPr>
                            </w:pPr>
                            <w:r>
                              <w:rPr>
                                <w:rFonts w:hint="eastAsia"/>
                                <w:szCs w:val="52"/>
                              </w:rPr>
                              <w:t>团体</w:t>
                            </w:r>
                            <w:r>
                              <w:rPr>
                                <w:szCs w:val="52"/>
                              </w:rPr>
                              <w:t>标准</w:t>
                            </w:r>
                          </w:p>
                        </w:txbxContent>
                      </wps:txbx>
                      <wps:bodyPr wrap="square" lIns="0" tIns="0" rIns="0" bIns="0" upright="1"/>
                    </wps:wsp>
                  </a:graphicData>
                </a:graphic>
              </wp:anchor>
            </w:drawing>
          </mc:Choice>
          <mc:Fallback>
            <w:pict>
              <v:shape id="文本框 11" o:spid="_x0000_s1026" o:spt="202" type="#_x0000_t202" style="position:absolute;left:0pt;margin-left:0pt;margin-top:79.6pt;height:36.05pt;width:481.9pt;mso-position-horizontal-relative:margin;mso-position-vertical-relative:margin;z-index:251660288;mso-width-relative:page;mso-height-relative:page;" fillcolor="#FFFFFF" filled="t" stroked="f" coordsize="21600,21600" o:gfxdata="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si0NVdcAAAAIAQAADwAAAAAAAAAB&#10;ACAAAAAiAAAAZHJzL2Rvd25yZXYueG1sUEsBAhQAFAAAAAgAh07iQE08F0fYAQAAqgMAAA4AAAAA&#10;AAAAAQAgAAAAJgEAAGRycy9lMm9Eb2MueG1sUEsFBgAAAAAGAAYAWQEAAHAFAAAAAA==&#10;">
                <v:fill on="t" focussize="0,0"/>
                <v:stroke on="f"/>
                <v:imagedata o:title=""/>
                <o:lock v:ext="edit" aspectratio="f"/>
                <v:textbox inset="0mm,0mm,0mm,0mm">
                  <w:txbxContent>
                    <w:p w14:paraId="37D08159">
                      <w:pPr>
                        <w:pStyle w:val="94"/>
                        <w:rPr>
                          <w:szCs w:val="52"/>
                        </w:rPr>
                      </w:pPr>
                      <w:r>
                        <w:rPr>
                          <w:rFonts w:hint="eastAsia"/>
                          <w:szCs w:val="52"/>
                        </w:rPr>
                        <w:t>团体</w:t>
                      </w:r>
                      <w:r>
                        <w:rPr>
                          <w:szCs w:val="52"/>
                        </w:rPr>
                        <w:t>标准</w:t>
                      </w:r>
                    </w:p>
                  </w:txbxContent>
                </v:textbox>
                <w10:anchorlock/>
              </v:shape>
            </w:pict>
          </mc:Fallback>
        </mc:AlternateContent>
      </w:r>
      <w:r>
        <mc:AlternateContent>
          <mc:Choice Requires="wps">
            <w:drawing>
              <wp:anchor distT="0" distB="0" distL="114300" distR="114300" simplePos="0" relativeHeight="251659264" behindDoc="0" locked="1" layoutInCell="1" allowOverlap="1">
                <wp:simplePos x="0" y="0"/>
                <wp:positionH relativeFrom="margin">
                  <wp:posOffset>19050</wp:posOffset>
                </wp:positionH>
                <wp:positionV relativeFrom="margin">
                  <wp:posOffset>190500</wp:posOffset>
                </wp:positionV>
                <wp:extent cx="2540000" cy="657860"/>
                <wp:effectExtent l="0" t="0" r="12700" b="8890"/>
                <wp:wrapNone/>
                <wp:docPr id="1" name="文本框 12"/>
                <wp:cNvGraphicFramePr/>
                <a:graphic xmlns:a="http://schemas.openxmlformats.org/drawingml/2006/main">
                  <a:graphicData uri="http://schemas.microsoft.com/office/word/2010/wordprocessingShape">
                    <wps:wsp>
                      <wps:cNvSpPr txBox="1"/>
                      <wps:spPr>
                        <a:xfrm>
                          <a:off x="0" y="0"/>
                          <a:ext cx="2540000" cy="657860"/>
                        </a:xfrm>
                        <a:prstGeom prst="rect">
                          <a:avLst/>
                        </a:prstGeom>
                        <a:solidFill>
                          <a:srgbClr val="FFFFFF"/>
                        </a:solidFill>
                        <a:ln>
                          <a:noFill/>
                        </a:ln>
                      </wps:spPr>
                      <wps:txbx>
                        <w:txbxContent>
                          <w:p w14:paraId="11464924">
                            <w:pPr>
                              <w:pStyle w:val="89"/>
                              <w:rPr>
                                <w:rFonts w:ascii="黑体" w:hAnsi="黑体"/>
                                <w:szCs w:val="21"/>
                              </w:rPr>
                            </w:pPr>
                            <w:r>
                              <w:rPr>
                                <w:rFonts w:hint="eastAsia"/>
                                <w:lang w:val="en-US" w:eastAsia="zh-CN"/>
                              </w:rPr>
                              <w:t>I</w:t>
                            </w:r>
                            <w:r>
                              <w:t>CS</w:t>
                            </w:r>
                            <w:r>
                              <w:rPr>
                                <w:rFonts w:hint="eastAsia"/>
                              </w:rPr>
                              <w:t>：</w:t>
                            </w:r>
                            <w:r>
                              <w:rPr>
                                <w:rFonts w:ascii="黑体" w:hAnsi="黑体"/>
                                <w:szCs w:val="21"/>
                              </w:rPr>
                              <w:t>点击此处添加ICS号</w:t>
                            </w:r>
                          </w:p>
                          <w:p w14:paraId="79498846">
                            <w:pPr>
                              <w:pStyle w:val="89"/>
                              <w:rPr>
                                <w:rFonts w:ascii="黑体" w:hAnsi="黑体"/>
                                <w:szCs w:val="21"/>
                              </w:rPr>
                            </w:pPr>
                            <w:r>
                              <w:rPr>
                                <w:rFonts w:hint="eastAsia" w:ascii="黑体" w:hAnsi="黑体"/>
                                <w:szCs w:val="21"/>
                              </w:rPr>
                              <w:t>CCS：</w:t>
                            </w:r>
                            <w:r>
                              <w:rPr>
                                <w:rFonts w:ascii="黑体" w:hAnsi="黑体"/>
                                <w:szCs w:val="21"/>
                              </w:rPr>
                              <w:t>点击此处添加CCS号</w:t>
                            </w:r>
                          </w:p>
                          <w:p w14:paraId="64D9A468">
                            <w:pPr>
                              <w:rPr>
                                <w:rFonts w:hint="default"/>
                                <w:lang w:val="en-US" w:eastAsia="zh-CN"/>
                              </w:rPr>
                            </w:pPr>
                          </w:p>
                        </w:txbxContent>
                      </wps:txbx>
                      <wps:bodyPr wrap="square" lIns="0" tIns="0" rIns="0" bIns="0" upright="1"/>
                    </wps:wsp>
                  </a:graphicData>
                </a:graphic>
              </wp:anchor>
            </w:drawing>
          </mc:Choice>
          <mc:Fallback>
            <w:pict>
              <v:shape id="文本框 12" o:spid="_x0000_s1026" o:spt="202" type="#_x0000_t202" style="position:absolute;left:0pt;margin-left:1.5pt;margin-top:15pt;height:51.8pt;width:200pt;mso-position-horizontal-relative:margin;mso-position-vertical-relative:margin;z-index:251659264;mso-width-relative:page;mso-height-relative:page;" fillcolor="#FFFFFF" filled="t" stroked="f" coordsize="21600,21600" o:gfxdata="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8U7Kj1AAAAAgBAAAPAAAAAAAAAAEA&#10;IAAAACIAAABkcnMvZG93bnJldi54bWxQSwECFAAUAAAACACHTuJAmMi3FNoBAACqAwAADgAAAAAA&#10;AAABACAAAAAjAQAAZHJzL2Uyb0RvYy54bWxQSwUGAAAAAAYABgBZAQAAbwUAAAAA&#10;">
                <v:fill on="t" focussize="0,0"/>
                <v:stroke on="f"/>
                <v:imagedata o:title=""/>
                <o:lock v:ext="edit" aspectratio="f"/>
                <v:textbox inset="0mm,0mm,0mm,0mm">
                  <w:txbxContent>
                    <w:p w14:paraId="11464924">
                      <w:pPr>
                        <w:pStyle w:val="89"/>
                        <w:rPr>
                          <w:rFonts w:ascii="黑体" w:hAnsi="黑体"/>
                          <w:szCs w:val="21"/>
                        </w:rPr>
                      </w:pPr>
                      <w:r>
                        <w:rPr>
                          <w:rFonts w:hint="eastAsia"/>
                          <w:lang w:val="en-US" w:eastAsia="zh-CN"/>
                        </w:rPr>
                        <w:t>I</w:t>
                      </w:r>
                      <w:r>
                        <w:t>CS</w:t>
                      </w:r>
                      <w:r>
                        <w:rPr>
                          <w:rFonts w:hint="eastAsia"/>
                        </w:rPr>
                        <w:t>：</w:t>
                      </w:r>
                      <w:r>
                        <w:rPr>
                          <w:rFonts w:ascii="黑体" w:hAnsi="黑体"/>
                          <w:szCs w:val="21"/>
                        </w:rPr>
                        <w:t>点击此处添加ICS号</w:t>
                      </w:r>
                    </w:p>
                    <w:p w14:paraId="79498846">
                      <w:pPr>
                        <w:pStyle w:val="89"/>
                        <w:rPr>
                          <w:rFonts w:ascii="黑体" w:hAnsi="黑体"/>
                          <w:szCs w:val="21"/>
                        </w:rPr>
                      </w:pPr>
                      <w:r>
                        <w:rPr>
                          <w:rFonts w:hint="eastAsia" w:ascii="黑体" w:hAnsi="黑体"/>
                          <w:szCs w:val="21"/>
                        </w:rPr>
                        <w:t>CCS：</w:t>
                      </w:r>
                      <w:r>
                        <w:rPr>
                          <w:rFonts w:ascii="黑体" w:hAnsi="黑体"/>
                          <w:szCs w:val="21"/>
                        </w:rPr>
                        <w:t>点击此处添加CCS号</w:t>
                      </w:r>
                    </w:p>
                    <w:p w14:paraId="64D9A468">
                      <w:pPr>
                        <w:rPr>
                          <w:rFonts w:hint="default"/>
                          <w:lang w:val="en-US" w:eastAsia="zh-CN"/>
                        </w:rPr>
                      </w:pPr>
                    </w:p>
                  </w:txbxContent>
                </v:textbox>
                <w10:anchorlock/>
              </v:shape>
            </w:pict>
          </mc:Fallback>
        </mc:AlternateContent>
      </w:r>
      <w:r>
        <w:rPr>
          <w:rFonts w:hint="eastAsia"/>
        </w:rPr>
        <w:t xml:space="preserve"> </w:t>
      </w:r>
    </w:p>
    <w:bookmarkEnd w:id="0"/>
    <w:p w14:paraId="53CF2CA6">
      <w:pPr>
        <w:pStyle w:val="61"/>
        <w:spacing w:before="50" w:after="50"/>
        <w:ind w:firstLine="0" w:firstLineChars="0"/>
        <w:rPr>
          <w:rFonts w:hint="eastAsia"/>
          <w:sz w:val="18"/>
          <w:szCs w:val="18"/>
        </w:rPr>
      </w:pPr>
      <w:bookmarkStart w:id="1" w:name="SectionMark4"/>
    </w:p>
    <w:p w14:paraId="5477C7E6">
      <w:pPr>
        <w:pStyle w:val="19"/>
        <w:spacing w:before="312" w:beforeLines="100" w:after="312" w:afterLines="100" w:line="360" w:lineRule="auto"/>
        <w:ind w:firstLine="640"/>
        <w:jc w:val="center"/>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color w:val="auto"/>
          <w:sz w:val="32"/>
          <w:szCs w:val="32"/>
          <w:highlight w:val="none"/>
          <w:lang w:eastAsia="zh-CN"/>
        </w:rPr>
        <w:t>前    言</w:t>
      </w:r>
    </w:p>
    <w:p w14:paraId="0678E81D">
      <w:pPr>
        <w:pStyle w:val="45"/>
        <w:ind w:firstLine="420"/>
        <w:rPr>
          <w:rFonts w:hint="eastAsia" w:hAnsi="宋体" w:cs="宋体"/>
          <w:color w:val="auto"/>
          <w:szCs w:val="22"/>
          <w:lang w:val="en-US" w:eastAsia="zh-CN"/>
        </w:rPr>
      </w:pPr>
      <w:r>
        <w:rPr>
          <w:rFonts w:hint="eastAsia" w:hAnsi="宋体" w:cs="宋体"/>
          <w:color w:val="auto"/>
          <w:szCs w:val="22"/>
          <w:lang w:val="en-US" w:eastAsia="zh-CN"/>
        </w:rPr>
        <w:t>本文件按照GB/T 1.1—2020《标准化工作导则  第1部分：标准化文件的结构和起草规则》的规定起草。</w:t>
      </w:r>
    </w:p>
    <w:p w14:paraId="509FAE16">
      <w:pPr>
        <w:pStyle w:val="45"/>
        <w:ind w:firstLine="420"/>
        <w:rPr>
          <w:rFonts w:hint="eastAsia" w:hAnsi="宋体" w:cs="宋体"/>
          <w:color w:val="auto"/>
          <w:szCs w:val="22"/>
          <w:lang w:val="en-US" w:eastAsia="zh-CN"/>
        </w:rPr>
      </w:pPr>
      <w:r>
        <w:rPr>
          <w:rFonts w:hint="eastAsia" w:hAnsi="宋体" w:cs="宋体"/>
          <w:color w:val="auto"/>
          <w:szCs w:val="22"/>
          <w:lang w:val="en-US" w:eastAsia="zh-CN"/>
        </w:rPr>
        <w:t>请注意本文件的某些内容可能涉及专利。本文件的发布机构不承担识别专利的责任。</w:t>
      </w:r>
    </w:p>
    <w:p w14:paraId="2C5F908C">
      <w:pPr>
        <w:pStyle w:val="45"/>
        <w:ind w:firstLine="420"/>
        <w:rPr>
          <w:rFonts w:hint="eastAsia" w:ascii="宋体" w:hAnsi="宋体" w:eastAsia="宋体" w:cs="宋体"/>
          <w:color w:val="auto"/>
        </w:rPr>
      </w:pPr>
      <w:r>
        <w:rPr>
          <w:rFonts w:hint="eastAsia" w:hAnsi="宋体" w:cs="宋体"/>
          <w:color w:val="auto"/>
          <w:szCs w:val="22"/>
          <w:lang w:val="en-US" w:eastAsia="zh-CN"/>
        </w:rPr>
        <w:t>本文件由中国计量</w:t>
      </w:r>
      <w:r>
        <w:rPr>
          <w:rFonts w:hint="eastAsia" w:ascii="宋体" w:hAnsi="宋体" w:eastAsia="宋体" w:cs="宋体"/>
          <w:color w:val="auto"/>
          <w:lang w:val="en-US" w:eastAsia="zh-CN"/>
        </w:rPr>
        <w:t>测试学会</w:t>
      </w:r>
      <w:r>
        <w:rPr>
          <w:rFonts w:hint="eastAsia" w:ascii="宋体" w:hAnsi="宋体" w:eastAsia="宋体" w:cs="宋体"/>
          <w:color w:val="auto"/>
        </w:rPr>
        <w:t>提出并归囗。</w:t>
      </w:r>
    </w:p>
    <w:p w14:paraId="1A484907">
      <w:pPr>
        <w:pStyle w:val="45"/>
        <w:ind w:firstLine="420"/>
        <w:rPr>
          <w:rFonts w:hint="eastAsia" w:hAnsi="宋体" w:cs="宋体"/>
          <w:color w:val="auto"/>
          <w:lang w:val="en-US" w:eastAsia="zh-CN"/>
        </w:rPr>
      </w:pPr>
      <w:r>
        <w:rPr>
          <w:rFonts w:hint="eastAsia" w:hAnsi="宋体" w:cs="宋体"/>
          <w:color w:val="auto"/>
          <w:lang w:val="en-US" w:eastAsia="zh-CN"/>
        </w:rPr>
        <w:t>本文件主要起草单位：山东天工石油装备有限公司</w:t>
      </w:r>
    </w:p>
    <w:p w14:paraId="6E09F7EF">
      <w:pPr>
        <w:pStyle w:val="45"/>
        <w:ind w:firstLine="420"/>
        <w:rPr>
          <w:rFonts w:hint="default" w:hAnsi="宋体" w:cs="宋体"/>
          <w:color w:val="auto"/>
          <w:lang w:val="en-US" w:eastAsia="zh-CN"/>
        </w:rPr>
      </w:pPr>
      <w:r>
        <w:rPr>
          <w:rFonts w:hint="eastAsia" w:hAnsi="宋体" w:cs="宋体"/>
          <w:color w:val="auto"/>
          <w:lang w:val="en-US" w:eastAsia="zh-CN"/>
        </w:rPr>
        <w:t>本文件参与单位：中国石油化工股份有限公司胜利油田分公司、山东省计量科学研究院、中国石油大学（华东）、曲阜师范大学、胜利油田东强机电设备制造有限公司、沈阳中科奥维科技股份有限公司</w:t>
      </w:r>
    </w:p>
    <w:p w14:paraId="034CC229">
      <w:pPr>
        <w:pStyle w:val="45"/>
        <w:ind w:firstLine="420"/>
        <w:rPr>
          <w:rFonts w:hint="default" w:ascii="宋体" w:hAnsi="宋体" w:eastAsia="宋体" w:cs="宋体"/>
          <w:color w:val="auto"/>
          <w:lang w:val="en-US" w:eastAsia="zh-CN"/>
        </w:rPr>
      </w:pPr>
      <w:r>
        <w:rPr>
          <w:rFonts w:hint="eastAsia" w:hAnsi="宋体" w:cs="宋体"/>
          <w:color w:val="auto"/>
          <w:lang w:val="en-US" w:eastAsia="zh-CN"/>
        </w:rPr>
        <w:t>本文件主要起草人：田海峰、李剑、吴晓东、陈德春、王煦、许瑞祥、李新华、王立民、王宏亮、王建林、孔海林、许国华</w:t>
      </w:r>
    </w:p>
    <w:p w14:paraId="43DEB291">
      <w:pPr>
        <w:pStyle w:val="45"/>
        <w:ind w:firstLine="420"/>
        <w:rPr>
          <w:rFonts w:hint="eastAsia" w:ascii="宋体" w:hAnsi="宋体" w:eastAsia="宋体" w:cs="宋体"/>
          <w:color w:val="auto"/>
        </w:rPr>
      </w:pPr>
    </w:p>
    <w:p w14:paraId="0DDF52BB">
      <w:pPr>
        <w:pStyle w:val="45"/>
        <w:ind w:firstLine="420"/>
        <w:rPr>
          <w:rFonts w:hint="eastAsia" w:ascii="宋体" w:hAnsi="宋体" w:eastAsia="宋体" w:cs="宋体"/>
          <w:color w:val="auto"/>
        </w:rPr>
      </w:pPr>
    </w:p>
    <w:p w14:paraId="04ED2952">
      <w:pPr>
        <w:pStyle w:val="45"/>
        <w:ind w:firstLine="420"/>
        <w:rPr>
          <w:rFonts w:hint="eastAsia" w:ascii="宋体" w:hAnsi="宋体" w:eastAsia="宋体" w:cs="宋体"/>
          <w:color w:val="auto"/>
        </w:rPr>
      </w:pPr>
    </w:p>
    <w:p w14:paraId="76A26457">
      <w:pPr>
        <w:pStyle w:val="45"/>
        <w:ind w:firstLine="420"/>
        <w:rPr>
          <w:rFonts w:hint="eastAsia" w:ascii="宋体" w:hAnsi="宋体" w:eastAsia="宋体" w:cs="宋体"/>
          <w:color w:val="auto"/>
        </w:rPr>
      </w:pPr>
    </w:p>
    <w:p w14:paraId="70F19CE2">
      <w:pPr>
        <w:pStyle w:val="45"/>
        <w:ind w:firstLine="420"/>
        <w:rPr>
          <w:rFonts w:hint="eastAsia" w:ascii="宋体" w:hAnsi="宋体" w:eastAsia="宋体" w:cs="宋体"/>
          <w:color w:val="auto"/>
        </w:rPr>
      </w:pPr>
    </w:p>
    <w:p w14:paraId="7C5E5E52">
      <w:pPr>
        <w:pStyle w:val="45"/>
        <w:ind w:firstLine="420"/>
        <w:rPr>
          <w:rFonts w:hint="eastAsia" w:ascii="宋体" w:hAnsi="宋体" w:eastAsia="宋体" w:cs="宋体"/>
          <w:color w:val="auto"/>
        </w:rPr>
      </w:pPr>
    </w:p>
    <w:p w14:paraId="6982B209">
      <w:pPr>
        <w:pStyle w:val="45"/>
        <w:ind w:firstLine="420"/>
        <w:rPr>
          <w:rFonts w:hint="eastAsia" w:ascii="宋体" w:hAnsi="宋体" w:eastAsia="宋体" w:cs="宋体"/>
          <w:color w:val="auto"/>
        </w:rPr>
      </w:pPr>
    </w:p>
    <w:p w14:paraId="4748A90F">
      <w:pPr>
        <w:pStyle w:val="45"/>
        <w:ind w:firstLine="420"/>
        <w:rPr>
          <w:rFonts w:hint="eastAsia" w:ascii="宋体" w:hAnsi="宋体" w:eastAsia="宋体" w:cs="宋体"/>
          <w:color w:val="auto"/>
        </w:rPr>
      </w:pPr>
    </w:p>
    <w:p w14:paraId="3EC5FCBD">
      <w:pPr>
        <w:pStyle w:val="45"/>
        <w:ind w:firstLine="420"/>
        <w:rPr>
          <w:rFonts w:hint="eastAsia" w:ascii="宋体" w:hAnsi="宋体" w:eastAsia="宋体" w:cs="宋体"/>
          <w:color w:val="auto"/>
        </w:rPr>
      </w:pPr>
    </w:p>
    <w:p w14:paraId="16713725">
      <w:pPr>
        <w:pStyle w:val="45"/>
        <w:ind w:firstLine="420"/>
        <w:rPr>
          <w:rFonts w:hint="eastAsia" w:ascii="宋体" w:hAnsi="宋体" w:eastAsia="宋体" w:cs="宋体"/>
          <w:color w:val="auto"/>
        </w:rPr>
      </w:pPr>
    </w:p>
    <w:p w14:paraId="33923E0F">
      <w:pPr>
        <w:pStyle w:val="45"/>
        <w:ind w:firstLine="420"/>
        <w:rPr>
          <w:rFonts w:hint="eastAsia" w:ascii="宋体" w:hAnsi="宋体" w:eastAsia="宋体" w:cs="宋体"/>
          <w:color w:val="auto"/>
        </w:rPr>
      </w:pPr>
    </w:p>
    <w:p w14:paraId="11E650FD">
      <w:pPr>
        <w:pStyle w:val="45"/>
        <w:ind w:firstLine="420"/>
        <w:rPr>
          <w:rFonts w:hint="eastAsia" w:ascii="宋体" w:hAnsi="宋体" w:eastAsia="宋体" w:cs="宋体"/>
          <w:color w:val="auto"/>
        </w:rPr>
      </w:pPr>
    </w:p>
    <w:p w14:paraId="0197B0D6">
      <w:pPr>
        <w:pStyle w:val="45"/>
        <w:ind w:firstLine="420"/>
        <w:rPr>
          <w:rFonts w:hint="eastAsia" w:ascii="宋体" w:hAnsi="宋体" w:eastAsia="宋体" w:cs="宋体"/>
          <w:color w:val="auto"/>
        </w:rPr>
      </w:pPr>
    </w:p>
    <w:p w14:paraId="099D5E13">
      <w:pPr>
        <w:pStyle w:val="45"/>
        <w:ind w:firstLine="420"/>
        <w:rPr>
          <w:rFonts w:hint="eastAsia" w:ascii="宋体" w:hAnsi="宋体" w:eastAsia="宋体" w:cs="宋体"/>
          <w:color w:val="auto"/>
        </w:rPr>
      </w:pPr>
    </w:p>
    <w:p w14:paraId="272C8324">
      <w:pPr>
        <w:pStyle w:val="45"/>
        <w:ind w:firstLine="420"/>
        <w:rPr>
          <w:rFonts w:hint="eastAsia" w:ascii="宋体" w:hAnsi="宋体" w:eastAsia="宋体" w:cs="宋体"/>
          <w:color w:val="auto"/>
        </w:rPr>
      </w:pPr>
    </w:p>
    <w:p w14:paraId="0E1C5B5C">
      <w:pPr>
        <w:pStyle w:val="45"/>
        <w:ind w:firstLine="420"/>
        <w:rPr>
          <w:rFonts w:hint="eastAsia" w:ascii="宋体" w:hAnsi="宋体" w:eastAsia="宋体" w:cs="宋体"/>
          <w:color w:val="auto"/>
        </w:rPr>
      </w:pPr>
    </w:p>
    <w:p w14:paraId="34CB4C91">
      <w:pPr>
        <w:pStyle w:val="45"/>
        <w:ind w:firstLine="420"/>
        <w:rPr>
          <w:rFonts w:hint="eastAsia" w:ascii="宋体" w:hAnsi="宋体" w:eastAsia="宋体" w:cs="宋体"/>
          <w:color w:val="auto"/>
        </w:rPr>
      </w:pPr>
    </w:p>
    <w:p w14:paraId="777F1316">
      <w:pPr>
        <w:pStyle w:val="45"/>
        <w:ind w:firstLine="420"/>
        <w:rPr>
          <w:rFonts w:hint="eastAsia" w:ascii="宋体" w:hAnsi="宋体" w:eastAsia="宋体" w:cs="宋体"/>
          <w:color w:val="auto"/>
        </w:rPr>
      </w:pPr>
    </w:p>
    <w:p w14:paraId="53ECDB39">
      <w:pPr>
        <w:pStyle w:val="45"/>
        <w:ind w:firstLine="420"/>
        <w:rPr>
          <w:rFonts w:hint="eastAsia" w:ascii="宋体" w:hAnsi="宋体" w:eastAsia="宋体" w:cs="宋体"/>
          <w:color w:val="auto"/>
        </w:rPr>
      </w:pPr>
    </w:p>
    <w:p w14:paraId="48AADE0D">
      <w:pPr>
        <w:pStyle w:val="45"/>
        <w:ind w:firstLine="420"/>
        <w:rPr>
          <w:rFonts w:hint="eastAsia" w:ascii="宋体" w:hAnsi="宋体" w:eastAsia="宋体" w:cs="宋体"/>
          <w:color w:val="auto"/>
        </w:rPr>
      </w:pPr>
    </w:p>
    <w:p w14:paraId="77BC4D22">
      <w:pPr>
        <w:pStyle w:val="45"/>
        <w:ind w:firstLine="420"/>
        <w:rPr>
          <w:rFonts w:hint="eastAsia" w:ascii="宋体" w:hAnsi="宋体" w:eastAsia="宋体" w:cs="宋体"/>
          <w:color w:val="auto"/>
        </w:rPr>
      </w:pPr>
    </w:p>
    <w:p w14:paraId="3F252A52">
      <w:pPr>
        <w:pStyle w:val="45"/>
        <w:ind w:firstLine="420"/>
        <w:rPr>
          <w:rFonts w:hint="eastAsia" w:ascii="宋体" w:hAnsi="宋体" w:eastAsia="宋体" w:cs="宋体"/>
          <w:color w:val="auto"/>
        </w:rPr>
      </w:pPr>
    </w:p>
    <w:p w14:paraId="076D37E8">
      <w:pPr>
        <w:pStyle w:val="45"/>
        <w:ind w:firstLine="420"/>
        <w:rPr>
          <w:rFonts w:hint="eastAsia" w:ascii="宋体" w:hAnsi="宋体" w:eastAsia="宋体" w:cs="宋体"/>
          <w:color w:val="auto"/>
        </w:rPr>
      </w:pPr>
    </w:p>
    <w:p w14:paraId="058D6FDA">
      <w:pPr>
        <w:pStyle w:val="45"/>
        <w:ind w:firstLine="420"/>
        <w:rPr>
          <w:rFonts w:hint="eastAsia" w:ascii="宋体" w:hAnsi="宋体" w:eastAsia="宋体" w:cs="宋体"/>
          <w:color w:val="auto"/>
        </w:rPr>
      </w:pPr>
    </w:p>
    <w:p w14:paraId="0FE35F8C">
      <w:pPr>
        <w:pStyle w:val="45"/>
        <w:ind w:firstLine="420"/>
        <w:rPr>
          <w:rFonts w:hint="eastAsia" w:ascii="宋体" w:hAnsi="宋体" w:eastAsia="宋体" w:cs="宋体"/>
          <w:color w:val="auto"/>
        </w:rPr>
      </w:pPr>
    </w:p>
    <w:p w14:paraId="79F62627">
      <w:pPr>
        <w:pStyle w:val="45"/>
        <w:ind w:firstLine="420"/>
        <w:rPr>
          <w:rFonts w:hint="eastAsia" w:ascii="宋体" w:hAnsi="宋体" w:eastAsia="宋体" w:cs="宋体"/>
          <w:color w:val="auto"/>
        </w:rPr>
      </w:pPr>
    </w:p>
    <w:p w14:paraId="53B082F8">
      <w:pPr>
        <w:pStyle w:val="45"/>
        <w:ind w:firstLine="420"/>
        <w:rPr>
          <w:rFonts w:hint="eastAsia" w:ascii="宋体" w:hAnsi="宋体" w:eastAsia="宋体" w:cs="宋体"/>
          <w:color w:val="auto"/>
        </w:rPr>
      </w:pPr>
    </w:p>
    <w:p w14:paraId="567432B0">
      <w:pPr>
        <w:pStyle w:val="45"/>
        <w:ind w:firstLine="420"/>
        <w:rPr>
          <w:rFonts w:hint="eastAsia" w:ascii="宋体" w:hAnsi="宋体" w:eastAsia="宋体" w:cs="宋体"/>
          <w:color w:val="auto"/>
        </w:rPr>
      </w:pPr>
    </w:p>
    <w:p w14:paraId="58081889">
      <w:pPr>
        <w:pStyle w:val="45"/>
        <w:ind w:firstLine="420"/>
        <w:rPr>
          <w:rFonts w:hint="eastAsia" w:ascii="宋体" w:hAnsi="宋体" w:eastAsia="宋体" w:cs="宋体"/>
          <w:color w:val="auto"/>
        </w:rPr>
      </w:pPr>
    </w:p>
    <w:p w14:paraId="7C8E44E1">
      <w:pPr>
        <w:pStyle w:val="45"/>
        <w:ind w:firstLine="420"/>
        <w:rPr>
          <w:rFonts w:hint="eastAsia" w:ascii="宋体" w:hAnsi="宋体" w:eastAsia="宋体" w:cs="宋体"/>
          <w:color w:val="auto"/>
        </w:rPr>
      </w:pPr>
    </w:p>
    <w:p w14:paraId="70EA76EB">
      <w:pPr>
        <w:widowControl/>
        <w:jc w:val="center"/>
        <w:rPr>
          <w:rFonts w:hint="eastAsia" w:ascii="Times New Roman" w:hAnsi="Times New Roman"/>
          <w:b/>
          <w:bCs/>
          <w:color w:val="auto"/>
          <w:sz w:val="32"/>
          <w:szCs w:val="32"/>
          <w:highlight w:val="none"/>
        </w:rPr>
      </w:pPr>
      <w:bookmarkStart w:id="2" w:name="_Toc32211_WPSOffice_Level1"/>
      <w:bookmarkStart w:id="3" w:name="_Toc25122_WPSOffice_Level1"/>
      <w:r>
        <w:rPr>
          <w:rFonts w:hint="eastAsia" w:ascii="Times New Roman" w:hAnsi="Times New Roman"/>
          <w:b/>
          <w:bCs/>
          <w:color w:val="auto"/>
          <w:sz w:val="32"/>
          <w:szCs w:val="32"/>
          <w:highlight w:val="none"/>
        </w:rPr>
        <w:t>冲感式</w:t>
      </w:r>
      <w:bookmarkStart w:id="4" w:name="_Hlk198991959"/>
      <w:r>
        <w:rPr>
          <w:rFonts w:hint="eastAsia" w:ascii="Times New Roman" w:hAnsi="Times New Roman"/>
          <w:b/>
          <w:bCs/>
          <w:color w:val="auto"/>
          <w:sz w:val="32"/>
          <w:szCs w:val="32"/>
          <w:highlight w:val="none"/>
        </w:rPr>
        <w:t>浮子</w:t>
      </w:r>
      <w:bookmarkEnd w:id="4"/>
      <w:r>
        <w:rPr>
          <w:rFonts w:hint="eastAsia" w:ascii="Times New Roman" w:hAnsi="Times New Roman"/>
          <w:b/>
          <w:bCs/>
          <w:color w:val="auto"/>
          <w:sz w:val="32"/>
          <w:szCs w:val="32"/>
          <w:highlight w:val="none"/>
        </w:rPr>
        <w:t>流量计</w:t>
      </w:r>
      <w:bookmarkEnd w:id="2"/>
      <w:bookmarkEnd w:id="3"/>
    </w:p>
    <w:p w14:paraId="4029CF4B">
      <w:pPr>
        <w:widowControl/>
        <w:jc w:val="left"/>
        <w:outlineLvl w:val="0"/>
        <w:rPr>
          <w:rFonts w:hint="default" w:ascii="Times New Roman" w:hAnsi="Times New Roman" w:eastAsia="宋体"/>
          <w:b w:val="0"/>
          <w:bCs w:val="0"/>
          <w:color w:val="auto"/>
          <w:kern w:val="0"/>
          <w:sz w:val="21"/>
          <w:szCs w:val="20"/>
          <w:highlight w:val="none"/>
          <w:lang w:eastAsia="zh-CN"/>
        </w:rPr>
      </w:pPr>
      <w:r>
        <w:rPr>
          <w:rFonts w:hint="default" w:ascii="Times New Roman" w:hAnsi="Times New Roman" w:eastAsia="黑体"/>
          <w:b/>
          <w:bCs/>
          <w:color w:val="auto"/>
          <w:sz w:val="21"/>
          <w:szCs w:val="22"/>
          <w:highlight w:val="none"/>
          <w:lang w:eastAsia="zh-CN"/>
        </w:rPr>
        <w:t>名词解释：</w:t>
      </w:r>
      <w:r>
        <w:rPr>
          <w:rFonts w:hint="eastAsia" w:ascii="Times New Roman" w:hAnsi="Times New Roman"/>
          <w:color w:val="auto"/>
          <w:kern w:val="0"/>
          <w:szCs w:val="20"/>
          <w:highlight w:val="none"/>
          <w:lang w:eastAsia="zh-CN"/>
        </w:rPr>
        <w:t>冲感式浮子流量计是基于流体冲击浮子来改变流体的流通面积使浮子保持上下的差压恒定，并通过非接触方式感应浮子高度，利用浮子高度数据进而分析计算流体流量的一款浮子流量计。</w:t>
      </w:r>
    </w:p>
    <w:p w14:paraId="63864CF9">
      <w:pPr>
        <w:outlineLvl w:val="0"/>
        <w:rPr>
          <w:rFonts w:ascii="Times New Roman" w:hAnsi="Times New Roman" w:eastAsia="黑体"/>
          <w:b/>
          <w:bCs/>
          <w:color w:val="auto"/>
          <w:highlight w:val="none"/>
        </w:rPr>
      </w:pPr>
      <w:bookmarkStart w:id="5" w:name="_Toc15610"/>
      <w:r>
        <w:rPr>
          <w:rFonts w:ascii="Times New Roman" w:hAnsi="Times New Roman" w:eastAsia="黑体"/>
          <w:b/>
          <w:bCs/>
          <w:color w:val="auto"/>
          <w:highlight w:val="none"/>
        </w:rPr>
        <w:t>1 范围</w:t>
      </w:r>
      <w:bookmarkEnd w:id="5"/>
    </w:p>
    <w:p w14:paraId="7A36E322">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本标准规定了冲感式浮子流量计的产品分类和基本参数、技术要求、试验方法、检验规则、标志、</w:t>
      </w:r>
    </w:p>
    <w:p w14:paraId="2D58F9BC">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包装和贮存。</w:t>
      </w:r>
    </w:p>
    <w:p w14:paraId="57CBF3F8">
      <w:pPr>
        <w:spacing w:line="276" w:lineRule="auto"/>
        <w:ind w:firstLine="420" w:firstLineChars="200"/>
        <w:rPr>
          <w:rFonts w:ascii="Times New Roman" w:hAnsi="Times New Roman"/>
          <w:color w:val="auto"/>
          <w:highlight w:val="none"/>
        </w:rPr>
      </w:pPr>
      <w:r>
        <w:rPr>
          <w:rFonts w:hint="eastAsia" w:ascii="Times New Roman" w:hAnsi="Times New Roman"/>
          <w:color w:val="auto"/>
          <w:kern w:val="0"/>
          <w:szCs w:val="20"/>
          <w:highlight w:val="none"/>
        </w:rPr>
        <w:t>本标准适用于测量封闭管道中液体、气体流量的冲感式浮子流量计（以下简称流量计)。</w:t>
      </w:r>
    </w:p>
    <w:p w14:paraId="7BBB96DA">
      <w:pPr>
        <w:spacing w:line="276" w:lineRule="auto"/>
        <w:outlineLvl w:val="0"/>
        <w:rPr>
          <w:rFonts w:ascii="Times New Roman" w:hAnsi="Times New Roman"/>
          <w:b/>
          <w:bCs/>
          <w:color w:val="auto"/>
          <w:highlight w:val="none"/>
        </w:rPr>
      </w:pPr>
      <w:bookmarkStart w:id="6" w:name="_Toc5438"/>
      <w:r>
        <w:rPr>
          <w:rFonts w:ascii="Times New Roman" w:hAnsi="Times New Roman"/>
          <w:b/>
          <w:bCs/>
          <w:color w:val="auto"/>
          <w:highlight w:val="none"/>
        </w:rPr>
        <w:t>2 规范性引用文件</w:t>
      </w:r>
      <w:bookmarkEnd w:id="6"/>
    </w:p>
    <w:p w14:paraId="1DB20FBA">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下列文件对于本文件的应用是必不可少的。凡是注日期的引用文件,仅注日期的版本适用于本文件。</w:t>
      </w:r>
    </w:p>
    <w:p w14:paraId="3C9F967A">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凡是不注日期的引用文件，其最新版本（包括所有的修改单）适用于本文件。</w:t>
      </w:r>
    </w:p>
    <w:p w14:paraId="44A4BCB1">
      <w:pPr>
        <w:spacing w:line="276" w:lineRule="auto"/>
        <w:ind w:firstLine="420" w:firstLineChars="200"/>
        <w:rPr>
          <w:rFonts w:ascii="Times New Roman" w:hAnsi="Times New Roman"/>
          <w:color w:val="auto"/>
          <w:kern w:val="0"/>
          <w:szCs w:val="20"/>
          <w:highlight w:val="none"/>
        </w:rPr>
      </w:pPr>
      <w:bookmarkStart w:id="7" w:name="OLE_LINK1"/>
      <w:r>
        <w:rPr>
          <w:rFonts w:hint="eastAsia" w:ascii="Times New Roman" w:hAnsi="Times New Roman"/>
          <w:color w:val="auto"/>
          <w:kern w:val="0"/>
          <w:szCs w:val="20"/>
          <w:highlight w:val="none"/>
        </w:rPr>
        <w:t>GB/T 191—</w:t>
      </w:r>
      <w:r>
        <w:rPr>
          <w:rFonts w:hint="eastAsia" w:ascii="Times New Roman" w:hAnsi="Times New Roman"/>
          <w:color w:val="auto"/>
          <w:kern w:val="0"/>
          <w:szCs w:val="20"/>
          <w:highlight w:val="none"/>
          <w:lang w:val="en-US" w:eastAsia="zh-CN"/>
        </w:rPr>
        <w:t>2025</w:t>
      </w:r>
      <w:r>
        <w:rPr>
          <w:rFonts w:hint="eastAsia" w:ascii="Times New Roman" w:hAnsi="Times New Roman"/>
          <w:color w:val="auto"/>
          <w:kern w:val="0"/>
          <w:szCs w:val="20"/>
          <w:highlight w:val="none"/>
        </w:rPr>
        <w:t xml:space="preserve"> 包装储运图形符号标志</w:t>
      </w:r>
    </w:p>
    <w:p w14:paraId="6A77F9D3">
      <w:pPr>
        <w:spacing w:line="276" w:lineRule="auto"/>
        <w:ind w:firstLine="420" w:firstLineChars="200"/>
        <w:rPr>
          <w:rFonts w:hint="eastAsia" w:ascii="Times New Roman" w:hAnsi="Times New Roman" w:eastAsia="宋体"/>
          <w:color w:val="auto"/>
          <w:kern w:val="0"/>
          <w:szCs w:val="20"/>
          <w:highlight w:val="none"/>
          <w:lang w:eastAsia="zh-CN"/>
        </w:rPr>
      </w:pPr>
      <w:r>
        <w:rPr>
          <w:rFonts w:hint="eastAsia" w:ascii="Times New Roman" w:hAnsi="Times New Roman"/>
          <w:color w:val="auto"/>
          <w:kern w:val="0"/>
          <w:szCs w:val="20"/>
          <w:highlight w:val="none"/>
        </w:rPr>
        <w:t>GB</w:t>
      </w:r>
      <w:r>
        <w:rPr>
          <w:rFonts w:hint="eastAsia" w:ascii="Times New Roman" w:hAnsi="Times New Roman"/>
          <w:color w:val="auto"/>
          <w:kern w:val="0"/>
          <w:szCs w:val="20"/>
          <w:highlight w:val="none"/>
          <w:lang w:val="en-US" w:eastAsia="zh-CN"/>
        </w:rPr>
        <w:t xml:space="preserve">/T </w:t>
      </w:r>
      <w:r>
        <w:rPr>
          <w:rFonts w:hint="eastAsia" w:ascii="Times New Roman" w:hAnsi="Times New Roman"/>
          <w:color w:val="auto"/>
          <w:kern w:val="0"/>
          <w:szCs w:val="20"/>
          <w:highlight w:val="none"/>
        </w:rPr>
        <w:t>3836.1</w:t>
      </w:r>
      <w:r>
        <w:rPr>
          <w:rFonts w:hint="eastAsia" w:ascii="Times New Roman" w:hAnsi="Times New Roman"/>
          <w:color w:val="auto"/>
          <w:kern w:val="0"/>
          <w:szCs w:val="20"/>
          <w:highlight w:val="none"/>
          <w:lang w:val="en-US" w:eastAsia="zh-CN"/>
        </w:rPr>
        <w:t>-2021</w:t>
      </w:r>
      <w:r>
        <w:rPr>
          <w:rFonts w:hint="eastAsia" w:ascii="Times New Roman" w:hAnsi="Times New Roman"/>
          <w:color w:val="auto"/>
          <w:kern w:val="0"/>
          <w:szCs w:val="20"/>
          <w:highlight w:val="none"/>
        </w:rPr>
        <w:t xml:space="preserve"> 爆炸性环境第1 部分：设备通用要求</w:t>
      </w:r>
    </w:p>
    <w:p w14:paraId="1F3627C6">
      <w:pPr>
        <w:spacing w:line="276" w:lineRule="auto"/>
        <w:ind w:firstLine="420" w:firstLineChars="200"/>
        <w:rPr>
          <w:rFonts w:hint="eastAsia" w:ascii="Times New Roman" w:hAnsi="Times New Roman" w:eastAsia="宋体"/>
          <w:color w:val="auto"/>
          <w:kern w:val="0"/>
          <w:szCs w:val="20"/>
          <w:highlight w:val="none"/>
          <w:lang w:eastAsia="zh-CN"/>
        </w:rPr>
      </w:pPr>
      <w:r>
        <w:rPr>
          <w:rFonts w:hint="eastAsia" w:ascii="Times New Roman" w:hAnsi="Times New Roman"/>
          <w:color w:val="auto"/>
          <w:kern w:val="0"/>
          <w:szCs w:val="20"/>
          <w:highlight w:val="none"/>
        </w:rPr>
        <w:t>GB</w:t>
      </w:r>
      <w:r>
        <w:rPr>
          <w:rFonts w:hint="eastAsia" w:ascii="Times New Roman" w:hAnsi="Times New Roman"/>
          <w:color w:val="auto"/>
          <w:kern w:val="0"/>
          <w:szCs w:val="20"/>
          <w:highlight w:val="none"/>
          <w:lang w:val="en-US" w:eastAsia="zh-CN"/>
        </w:rPr>
        <w:t>/T</w:t>
      </w:r>
      <w:r>
        <w:rPr>
          <w:rFonts w:hint="eastAsia" w:ascii="Times New Roman" w:hAnsi="Times New Roman"/>
          <w:color w:val="auto"/>
          <w:kern w:val="0"/>
          <w:szCs w:val="20"/>
          <w:highlight w:val="none"/>
        </w:rPr>
        <w:t xml:space="preserve"> 3836.2</w:t>
      </w:r>
      <w:r>
        <w:rPr>
          <w:rFonts w:hint="eastAsia" w:ascii="Times New Roman" w:hAnsi="Times New Roman"/>
          <w:color w:val="auto"/>
          <w:kern w:val="0"/>
          <w:szCs w:val="20"/>
          <w:highlight w:val="none"/>
          <w:lang w:val="en-US" w:eastAsia="zh-CN"/>
        </w:rPr>
        <w:t>-2021</w:t>
      </w:r>
      <w:r>
        <w:rPr>
          <w:rFonts w:hint="eastAsia" w:ascii="Times New Roman" w:hAnsi="Times New Roman"/>
          <w:color w:val="auto"/>
          <w:kern w:val="0"/>
          <w:szCs w:val="20"/>
          <w:highlight w:val="none"/>
        </w:rPr>
        <w:t xml:space="preserve"> 爆炸性环境第 2 部分：由隔爆外壳“d”保护的设备</w:t>
      </w:r>
    </w:p>
    <w:p w14:paraId="2CD75F36">
      <w:pPr>
        <w:spacing w:line="276" w:lineRule="auto"/>
        <w:ind w:firstLine="420" w:firstLineChars="200"/>
        <w:rPr>
          <w:rFonts w:hint="eastAsia" w:ascii="Times New Roman" w:hAnsi="Times New Roman" w:eastAsia="宋体"/>
          <w:color w:val="auto"/>
          <w:kern w:val="0"/>
          <w:szCs w:val="20"/>
          <w:highlight w:val="none"/>
          <w:lang w:eastAsia="zh-CN"/>
        </w:rPr>
      </w:pPr>
      <w:r>
        <w:rPr>
          <w:rFonts w:hint="eastAsia" w:ascii="Times New Roman" w:hAnsi="Times New Roman"/>
          <w:color w:val="auto"/>
          <w:kern w:val="0"/>
          <w:szCs w:val="20"/>
          <w:highlight w:val="none"/>
        </w:rPr>
        <w:t>GB</w:t>
      </w:r>
      <w:r>
        <w:rPr>
          <w:rFonts w:hint="eastAsia" w:ascii="Times New Roman" w:hAnsi="Times New Roman"/>
          <w:color w:val="auto"/>
          <w:kern w:val="0"/>
          <w:szCs w:val="20"/>
          <w:highlight w:val="none"/>
          <w:lang w:val="en-US" w:eastAsia="zh-CN"/>
        </w:rPr>
        <w:t xml:space="preserve">/T </w:t>
      </w:r>
      <w:r>
        <w:rPr>
          <w:rFonts w:hint="eastAsia" w:ascii="Times New Roman" w:hAnsi="Times New Roman"/>
          <w:color w:val="auto"/>
          <w:kern w:val="0"/>
          <w:szCs w:val="20"/>
          <w:highlight w:val="none"/>
        </w:rPr>
        <w:t>3836.4</w:t>
      </w:r>
      <w:r>
        <w:rPr>
          <w:rFonts w:hint="eastAsia" w:ascii="Times New Roman" w:hAnsi="Times New Roman"/>
          <w:color w:val="auto"/>
          <w:kern w:val="0"/>
          <w:szCs w:val="20"/>
          <w:highlight w:val="none"/>
          <w:lang w:val="en-US" w:eastAsia="zh-CN"/>
        </w:rPr>
        <w:t>-2021</w:t>
      </w:r>
      <w:r>
        <w:rPr>
          <w:rFonts w:hint="eastAsia" w:ascii="Times New Roman" w:hAnsi="Times New Roman"/>
          <w:color w:val="auto"/>
          <w:kern w:val="0"/>
          <w:szCs w:val="20"/>
          <w:highlight w:val="none"/>
        </w:rPr>
        <w:t xml:space="preserve"> 爆炸性环境第4 部分：由本质安全型“i”保护的设备</w:t>
      </w:r>
    </w:p>
    <w:p w14:paraId="7DDB3B1E">
      <w:pPr>
        <w:spacing w:line="276" w:lineRule="auto"/>
        <w:ind w:firstLine="420" w:firstLineChars="200"/>
        <w:rPr>
          <w:rFonts w:hint="eastAsia" w:ascii="Times New Roman" w:hAnsi="Times New Roman" w:eastAsia="宋体"/>
          <w:color w:val="auto"/>
          <w:kern w:val="0"/>
          <w:szCs w:val="20"/>
          <w:highlight w:val="none"/>
          <w:lang w:eastAsia="zh-CN"/>
        </w:rPr>
      </w:pPr>
      <w:r>
        <w:rPr>
          <w:rFonts w:hint="eastAsia" w:ascii="Times New Roman" w:hAnsi="Times New Roman"/>
          <w:color w:val="auto"/>
          <w:kern w:val="0"/>
          <w:szCs w:val="20"/>
          <w:highlight w:val="none"/>
        </w:rPr>
        <w:t>GB</w:t>
      </w:r>
      <w:r>
        <w:rPr>
          <w:rFonts w:hint="eastAsia" w:ascii="Times New Roman" w:hAnsi="Times New Roman"/>
          <w:color w:val="auto"/>
          <w:kern w:val="0"/>
          <w:szCs w:val="20"/>
          <w:highlight w:val="none"/>
          <w:lang w:val="en-US" w:eastAsia="zh-CN"/>
        </w:rPr>
        <w:t>/T</w:t>
      </w:r>
      <w:r>
        <w:rPr>
          <w:rFonts w:hint="eastAsia" w:ascii="Times New Roman" w:hAnsi="Times New Roman"/>
          <w:color w:val="auto"/>
          <w:kern w:val="0"/>
          <w:szCs w:val="20"/>
          <w:highlight w:val="none"/>
        </w:rPr>
        <w:t xml:space="preserve"> 4208</w:t>
      </w:r>
      <w:r>
        <w:rPr>
          <w:rFonts w:hint="eastAsia" w:ascii="Times New Roman" w:hAnsi="Times New Roman"/>
          <w:color w:val="auto"/>
          <w:kern w:val="0"/>
          <w:szCs w:val="20"/>
          <w:highlight w:val="none"/>
          <w:lang w:val="en-US" w:eastAsia="zh-CN"/>
        </w:rPr>
        <w:t>-2017</w:t>
      </w:r>
      <w:r>
        <w:rPr>
          <w:rFonts w:hint="eastAsia" w:ascii="Times New Roman" w:hAnsi="Times New Roman"/>
          <w:color w:val="auto"/>
          <w:kern w:val="0"/>
          <w:szCs w:val="20"/>
          <w:highlight w:val="none"/>
        </w:rPr>
        <w:t xml:space="preserve"> 外壳防护等级（IP 代码）</w:t>
      </w:r>
    </w:p>
    <w:p w14:paraId="28778BA1">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GB</w:t>
      </w:r>
      <w:bookmarkStart w:id="8" w:name="OLE_LINK7"/>
      <w:r>
        <w:rPr>
          <w:rFonts w:hint="eastAsia" w:ascii="Times New Roman" w:hAnsi="Times New Roman"/>
          <w:color w:val="auto"/>
          <w:kern w:val="0"/>
          <w:szCs w:val="20"/>
          <w:highlight w:val="none"/>
        </w:rPr>
        <w:t>6388</w:t>
      </w:r>
      <w:bookmarkEnd w:id="8"/>
      <w:r>
        <w:rPr>
          <w:rFonts w:hint="eastAsia" w:ascii="Times New Roman" w:hAnsi="Times New Roman"/>
          <w:color w:val="auto"/>
          <w:kern w:val="0"/>
          <w:szCs w:val="20"/>
          <w:highlight w:val="none"/>
        </w:rPr>
        <w:t>—1986 运输包装收发货标志</w:t>
      </w:r>
    </w:p>
    <w:p w14:paraId="3AF9E66C">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 xml:space="preserve">GB/T </w:t>
      </w:r>
      <w:bookmarkStart w:id="9" w:name="OLE_LINK8"/>
      <w:r>
        <w:rPr>
          <w:rFonts w:hint="eastAsia" w:ascii="Times New Roman" w:hAnsi="Times New Roman"/>
          <w:color w:val="auto"/>
          <w:kern w:val="0"/>
          <w:szCs w:val="20"/>
          <w:highlight w:val="none"/>
        </w:rPr>
        <w:t>13384</w:t>
      </w:r>
      <w:bookmarkEnd w:id="9"/>
      <w:r>
        <w:rPr>
          <w:rFonts w:hint="eastAsia" w:ascii="Times New Roman" w:hAnsi="Times New Roman"/>
          <w:color w:val="auto"/>
          <w:kern w:val="0"/>
          <w:szCs w:val="20"/>
          <w:highlight w:val="none"/>
        </w:rPr>
        <w:t>—2008 机电产品包装通用技术条件</w:t>
      </w:r>
    </w:p>
    <w:p w14:paraId="2F5F819E">
      <w:pPr>
        <w:spacing w:line="276" w:lineRule="auto"/>
        <w:ind w:firstLine="420" w:firstLineChars="200"/>
        <w:rPr>
          <w:rFonts w:hint="eastAsia" w:ascii="Times New Roman" w:hAnsi="Times New Roman" w:eastAsia="宋体"/>
          <w:color w:val="auto"/>
          <w:kern w:val="0"/>
          <w:szCs w:val="20"/>
          <w:highlight w:val="none"/>
          <w:lang w:eastAsia="zh-CN"/>
        </w:rPr>
      </w:pPr>
      <w:r>
        <w:rPr>
          <w:rFonts w:hint="eastAsia" w:ascii="Times New Roman" w:hAnsi="Times New Roman"/>
          <w:color w:val="auto"/>
          <w:kern w:val="0"/>
          <w:szCs w:val="20"/>
          <w:highlight w:val="none"/>
        </w:rPr>
        <w:t>GB/T 17626.2</w:t>
      </w:r>
      <w:r>
        <w:rPr>
          <w:rFonts w:hint="eastAsia" w:ascii="Times New Roman" w:hAnsi="Times New Roman"/>
          <w:color w:val="auto"/>
          <w:kern w:val="0"/>
          <w:szCs w:val="20"/>
          <w:highlight w:val="none"/>
          <w:lang w:val="en-US" w:eastAsia="zh-CN"/>
        </w:rPr>
        <w:t>-2018</w:t>
      </w:r>
      <w:r>
        <w:rPr>
          <w:rFonts w:hint="eastAsia" w:ascii="Times New Roman" w:hAnsi="Times New Roman"/>
          <w:color w:val="auto"/>
          <w:kern w:val="0"/>
          <w:szCs w:val="20"/>
          <w:highlight w:val="none"/>
        </w:rPr>
        <w:t xml:space="preserve"> 电磁兼容试验和测量技术静电放电抗扰度试验</w:t>
      </w:r>
    </w:p>
    <w:p w14:paraId="6E4D8C39">
      <w:pPr>
        <w:spacing w:line="276" w:lineRule="auto"/>
        <w:ind w:firstLine="420" w:firstLineChars="200"/>
        <w:rPr>
          <w:rFonts w:hint="eastAsia" w:ascii="Times New Roman" w:hAnsi="Times New Roman"/>
          <w:color w:val="auto"/>
          <w:kern w:val="0"/>
          <w:szCs w:val="20"/>
          <w:highlight w:val="none"/>
        </w:rPr>
      </w:pPr>
      <w:r>
        <w:rPr>
          <w:rFonts w:hint="eastAsia" w:ascii="Times New Roman" w:hAnsi="Times New Roman"/>
          <w:color w:val="auto"/>
          <w:kern w:val="0"/>
          <w:szCs w:val="20"/>
          <w:highlight w:val="none"/>
        </w:rPr>
        <w:t>GB/T 17626.3</w:t>
      </w:r>
      <w:r>
        <w:rPr>
          <w:rFonts w:hint="eastAsia" w:ascii="Times New Roman" w:hAnsi="Times New Roman"/>
          <w:color w:val="auto"/>
          <w:kern w:val="0"/>
          <w:szCs w:val="20"/>
          <w:highlight w:val="none"/>
          <w:lang w:val="en-US" w:eastAsia="zh-CN"/>
        </w:rPr>
        <w:t>-2023</w:t>
      </w:r>
      <w:r>
        <w:rPr>
          <w:rFonts w:hint="eastAsia" w:ascii="Times New Roman" w:hAnsi="Times New Roman"/>
          <w:color w:val="auto"/>
          <w:kern w:val="0"/>
          <w:szCs w:val="20"/>
          <w:highlight w:val="none"/>
        </w:rPr>
        <w:t xml:space="preserve"> 电磁兼容 试验和测量技术 第3部分：射频电磁场辐射抗扰度试验</w:t>
      </w:r>
    </w:p>
    <w:p w14:paraId="3B5D1269">
      <w:pPr>
        <w:spacing w:line="276" w:lineRule="auto"/>
        <w:ind w:firstLine="420" w:firstLineChars="200"/>
        <w:rPr>
          <w:rFonts w:hint="eastAsia" w:ascii="Times New Roman" w:hAnsi="Times New Roman"/>
          <w:color w:val="auto"/>
          <w:kern w:val="0"/>
          <w:szCs w:val="20"/>
          <w:highlight w:val="none"/>
        </w:rPr>
      </w:pPr>
      <w:r>
        <w:rPr>
          <w:rFonts w:hint="eastAsia" w:ascii="Times New Roman" w:hAnsi="Times New Roman"/>
          <w:color w:val="auto"/>
          <w:kern w:val="0"/>
          <w:szCs w:val="20"/>
          <w:highlight w:val="none"/>
        </w:rPr>
        <w:t>GB/T 17626.11</w:t>
      </w:r>
      <w:r>
        <w:rPr>
          <w:rFonts w:hint="eastAsia" w:ascii="Times New Roman" w:hAnsi="Times New Roman"/>
          <w:color w:val="auto"/>
          <w:kern w:val="0"/>
          <w:szCs w:val="20"/>
          <w:highlight w:val="none"/>
          <w:lang w:val="en-US" w:eastAsia="zh-CN"/>
        </w:rPr>
        <w:t>-2023</w:t>
      </w:r>
      <w:r>
        <w:rPr>
          <w:rFonts w:hint="eastAsia" w:ascii="Times New Roman" w:hAnsi="Times New Roman"/>
          <w:color w:val="auto"/>
          <w:kern w:val="0"/>
          <w:szCs w:val="20"/>
          <w:highlight w:val="none"/>
        </w:rPr>
        <w:t xml:space="preserve"> 电磁兼容 试验和测量技术 第11部分：对每相输入电流小于或等于16 A设备的电压暂降、短时中断和电压变化抗扰度试验</w:t>
      </w:r>
    </w:p>
    <w:p w14:paraId="6025760D">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rPr>
        <w:t xml:space="preserve">GB/T 18271.3 </w:t>
      </w:r>
      <w:r>
        <w:rPr>
          <w:rFonts w:hint="eastAsia" w:ascii="Times New Roman" w:hAnsi="Times New Roman"/>
          <w:color w:val="auto"/>
          <w:kern w:val="0"/>
          <w:szCs w:val="20"/>
          <w:highlight w:val="none"/>
          <w:lang w:val="en-US" w:eastAsia="zh-CN"/>
        </w:rPr>
        <w:t>-2017过程测量和控制装置 通用性能评定方法和程序 第3部分：影响量影响的试验</w:t>
      </w:r>
    </w:p>
    <w:p w14:paraId="5ED2FC33">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GB/T 25480—2010 仪器仪表运输、贮存基本环境条件及试验方法</w:t>
      </w:r>
    </w:p>
    <w:p w14:paraId="748CA766">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JB/T 6844-2015 金属管浮子流量计</w:t>
      </w:r>
    </w:p>
    <w:bookmarkEnd w:id="7"/>
    <w:p w14:paraId="2868DC82">
      <w:pPr>
        <w:spacing w:line="276" w:lineRule="auto"/>
        <w:outlineLvl w:val="0"/>
        <w:rPr>
          <w:rFonts w:ascii="Times New Roman" w:hAnsi="Times New Roman"/>
          <w:b/>
          <w:bCs/>
          <w:color w:val="auto"/>
          <w:kern w:val="0"/>
          <w:szCs w:val="20"/>
          <w:highlight w:val="none"/>
        </w:rPr>
      </w:pPr>
      <w:bookmarkStart w:id="10" w:name="_Toc18215"/>
      <w:r>
        <w:rPr>
          <w:rFonts w:hint="eastAsia" w:ascii="Times New Roman" w:hAnsi="Times New Roman"/>
          <w:b/>
          <w:bCs/>
          <w:color w:val="auto"/>
          <w:kern w:val="0"/>
          <w:szCs w:val="20"/>
          <w:highlight w:val="none"/>
        </w:rPr>
        <w:t>3 产品分类和基本参数</w:t>
      </w:r>
      <w:bookmarkEnd w:id="10"/>
    </w:p>
    <w:p w14:paraId="0F201452">
      <w:pPr>
        <w:spacing w:line="276" w:lineRule="auto"/>
        <w:outlineLvl w:val="1"/>
        <w:rPr>
          <w:rFonts w:ascii="Times New Roman" w:hAnsi="Times New Roman"/>
          <w:b/>
          <w:bCs/>
          <w:color w:val="auto"/>
          <w:kern w:val="0"/>
          <w:szCs w:val="20"/>
          <w:highlight w:val="none"/>
        </w:rPr>
      </w:pPr>
      <w:bookmarkStart w:id="11" w:name="_Toc14841"/>
      <w:bookmarkStart w:id="12" w:name="_Toc28324_WPSOffice_Level1"/>
      <w:bookmarkStart w:id="13" w:name="_Toc28120_WPSOffice_Level1"/>
      <w:r>
        <w:rPr>
          <w:rFonts w:hint="eastAsia" w:ascii="Times New Roman" w:hAnsi="Times New Roman"/>
          <w:b/>
          <w:bCs/>
          <w:color w:val="auto"/>
          <w:kern w:val="0"/>
          <w:szCs w:val="20"/>
          <w:highlight w:val="none"/>
        </w:rPr>
        <w:t>3.1 产品定义</w:t>
      </w:r>
      <w:bookmarkEnd w:id="11"/>
      <w:bookmarkEnd w:id="12"/>
      <w:bookmarkEnd w:id="13"/>
    </w:p>
    <w:p w14:paraId="112FE083">
      <w:pPr>
        <w:spacing w:line="276" w:lineRule="auto"/>
        <w:ind w:firstLine="420" w:firstLineChars="200"/>
        <w:rPr>
          <w:rFonts w:hint="eastAsia" w:ascii="Times New Roman" w:hAnsi="Times New Roman"/>
          <w:color w:val="auto"/>
          <w:highlight w:val="none"/>
        </w:rPr>
      </w:pPr>
      <w:r>
        <w:rPr>
          <w:rFonts w:hint="eastAsia" w:ascii="Times New Roman" w:hAnsi="Times New Roman"/>
          <w:color w:val="auto"/>
          <w:highlight w:val="none"/>
        </w:rPr>
        <w:t>冲感式浮子流量计是基于流体冲击浮子改变流体的流通面积来保持浮子上下的差压恒定，并通过非接触方式感应浮子高度的一款浮子流量计。在产品工作过程中，内部的感应浮子被流体冲</w:t>
      </w:r>
      <w:r>
        <w:rPr>
          <w:rFonts w:hint="eastAsia" w:ascii="Times New Roman" w:hAnsi="Times New Roman"/>
          <w:color w:val="auto"/>
          <w:highlight w:val="none"/>
          <w:lang w:eastAsia="zh-CN"/>
        </w:rPr>
        <w:t>高后，</w:t>
      </w:r>
      <w:r>
        <w:rPr>
          <w:rFonts w:hint="eastAsia" w:ascii="Times New Roman" w:hAnsi="Times New Roman"/>
          <w:color w:val="auto"/>
          <w:highlight w:val="none"/>
        </w:rPr>
        <w:t>通过非接触方式感应浮子高度</w:t>
      </w:r>
      <w:r>
        <w:rPr>
          <w:rFonts w:hint="eastAsia" w:ascii="Times New Roman" w:hAnsi="Times New Roman"/>
          <w:color w:val="auto"/>
          <w:highlight w:val="none"/>
          <w:lang w:eastAsia="zh-CN"/>
        </w:rPr>
        <w:t>，进而利用浮子高度变化分析计算流体流量</w:t>
      </w:r>
      <w:r>
        <w:rPr>
          <w:rFonts w:hint="eastAsia" w:ascii="Times New Roman" w:hAnsi="Times New Roman"/>
          <w:color w:val="auto"/>
          <w:highlight w:val="none"/>
        </w:rPr>
        <w:t>。</w:t>
      </w:r>
    </w:p>
    <w:p w14:paraId="21581D50">
      <w:pPr>
        <w:spacing w:line="276" w:lineRule="auto"/>
        <w:outlineLvl w:val="1"/>
        <w:rPr>
          <w:rFonts w:ascii="Times New Roman" w:hAnsi="Times New Roman"/>
          <w:b/>
          <w:bCs/>
          <w:color w:val="auto"/>
          <w:kern w:val="0"/>
          <w:szCs w:val="20"/>
          <w:highlight w:val="none"/>
        </w:rPr>
      </w:pPr>
      <w:bookmarkStart w:id="14" w:name="_Toc24013"/>
      <w:bookmarkStart w:id="15" w:name="_Toc22606_WPSOffice_Level1"/>
      <w:bookmarkStart w:id="16" w:name="_Toc27711_WPSOffice_Level1"/>
      <w:r>
        <w:rPr>
          <w:rFonts w:hint="eastAsia" w:ascii="Times New Roman" w:hAnsi="Times New Roman"/>
          <w:b/>
          <w:bCs/>
          <w:color w:val="auto"/>
          <w:kern w:val="0"/>
          <w:szCs w:val="20"/>
          <w:highlight w:val="none"/>
        </w:rPr>
        <w:t>3.2 产品结构原理及分类</w:t>
      </w:r>
      <w:bookmarkEnd w:id="14"/>
      <w:bookmarkEnd w:id="15"/>
      <w:bookmarkEnd w:id="16"/>
    </w:p>
    <w:p w14:paraId="5D5CD7B8">
      <w:pPr>
        <w:spacing w:line="276" w:lineRule="auto"/>
        <w:rPr>
          <w:rFonts w:ascii="Times New Roman" w:hAnsi="Times New Roman"/>
          <w:b/>
          <w:bCs/>
          <w:color w:val="auto"/>
          <w:kern w:val="0"/>
          <w:szCs w:val="20"/>
          <w:highlight w:val="none"/>
        </w:rPr>
      </w:pPr>
      <w:bookmarkStart w:id="17" w:name="_Toc32211_WPSOffice_Level2"/>
      <w:r>
        <w:rPr>
          <w:rFonts w:hint="eastAsia" w:ascii="Times New Roman" w:hAnsi="Times New Roman"/>
          <w:b/>
          <w:bCs/>
          <w:color w:val="auto"/>
          <w:kern w:val="0"/>
          <w:szCs w:val="20"/>
          <w:highlight w:val="none"/>
        </w:rPr>
        <w:t>3.2.1产品结构原理</w:t>
      </w:r>
      <w:bookmarkEnd w:id="17"/>
    </w:p>
    <w:p w14:paraId="43A55345">
      <w:pPr>
        <w:numPr>
          <w:ilvl w:val="0"/>
          <w:numId w:val="12"/>
        </w:numPr>
        <w:spacing w:line="276" w:lineRule="auto"/>
        <w:rPr>
          <w:rFonts w:hint="default"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rPr>
        <w:t>产品结构图</w:t>
      </w:r>
    </w:p>
    <w:p w14:paraId="3E8EA6D7">
      <w:pPr>
        <w:spacing w:line="276" w:lineRule="auto"/>
        <w:rPr>
          <w:rFonts w:hint="eastAsia" w:ascii="Times New Roman" w:hAnsi="Times New Roman" w:eastAsia="宋体"/>
          <w:color w:val="auto"/>
          <w:kern w:val="0"/>
          <w:szCs w:val="20"/>
          <w:highlight w:val="none"/>
          <w:lang w:eastAsia="zh-CN"/>
        </w:rPr>
      </w:pPr>
    </w:p>
    <w:p w14:paraId="68182898">
      <w:pPr>
        <w:spacing w:line="276" w:lineRule="auto"/>
        <w:rPr>
          <w:rFonts w:hint="eastAsia" w:ascii="Times New Roman" w:hAnsi="Times New Roman" w:eastAsia="宋体"/>
          <w:color w:val="auto"/>
          <w:kern w:val="0"/>
          <w:szCs w:val="20"/>
          <w:highlight w:val="none"/>
          <w:lang w:eastAsia="zh-CN"/>
        </w:rPr>
      </w:pPr>
    </w:p>
    <w:p w14:paraId="64D8B74E">
      <w:pPr>
        <w:spacing w:line="276" w:lineRule="auto"/>
        <w:rPr>
          <w:rFonts w:hint="eastAsia" w:ascii="Times New Roman" w:hAnsi="Times New Roman" w:eastAsia="宋体"/>
          <w:color w:val="auto"/>
          <w:kern w:val="0"/>
          <w:szCs w:val="20"/>
          <w:highlight w:val="none"/>
          <w:lang w:eastAsia="zh-CN"/>
        </w:rPr>
      </w:pPr>
    </w:p>
    <w:p w14:paraId="3C229B02">
      <w:pPr>
        <w:spacing w:line="276" w:lineRule="auto"/>
        <w:rPr>
          <w:rFonts w:hint="eastAsia" w:ascii="Times New Roman" w:hAnsi="Times New Roman" w:eastAsia="宋体"/>
          <w:color w:val="auto"/>
          <w:kern w:val="0"/>
          <w:szCs w:val="20"/>
          <w:highlight w:val="none"/>
          <w:lang w:eastAsia="zh-CN"/>
        </w:rPr>
      </w:pPr>
    </w:p>
    <w:p w14:paraId="1D65CEB2">
      <w:pPr>
        <w:spacing w:line="276" w:lineRule="auto"/>
        <w:rPr>
          <w:rFonts w:hint="eastAsia" w:ascii="Times New Roman" w:hAnsi="Times New Roman" w:eastAsia="宋体"/>
          <w:color w:val="auto"/>
          <w:kern w:val="0"/>
          <w:szCs w:val="20"/>
          <w:highlight w:val="none"/>
          <w:lang w:eastAsia="zh-CN"/>
        </w:rPr>
      </w:pPr>
    </w:p>
    <w:p w14:paraId="18D8C65F">
      <w:pPr>
        <w:spacing w:line="276" w:lineRule="auto"/>
        <w:rPr>
          <w:rFonts w:hint="eastAsia" w:ascii="Times New Roman" w:hAnsi="Times New Roman" w:eastAsia="宋体"/>
          <w:color w:val="auto"/>
          <w:kern w:val="0"/>
          <w:szCs w:val="20"/>
          <w:highlight w:val="none"/>
          <w:lang w:eastAsia="zh-CN"/>
        </w:rPr>
      </w:pPr>
    </w:p>
    <w:p w14:paraId="3B1C0FDA">
      <w:pPr>
        <w:spacing w:line="276" w:lineRule="auto"/>
        <w:rPr>
          <w:rFonts w:hint="eastAsia" w:ascii="Times New Roman" w:hAnsi="Times New Roman" w:eastAsia="宋体"/>
          <w:color w:val="auto"/>
          <w:kern w:val="0"/>
          <w:szCs w:val="20"/>
          <w:highlight w:val="none"/>
          <w:lang w:eastAsia="zh-CN"/>
        </w:rPr>
      </w:pPr>
      <w:r>
        <w:rPr>
          <w:rFonts w:hint="eastAsia" w:ascii="Times New Roman" w:hAnsi="Times New Roman" w:eastAsia="宋体"/>
          <w:color w:val="auto"/>
          <w:kern w:val="0"/>
          <w:szCs w:val="20"/>
          <w:highlight w:val="none"/>
          <w:lang w:eastAsia="zh-CN"/>
        </w:rPr>
        <w:drawing>
          <wp:anchor distT="0" distB="0" distL="114300" distR="114300" simplePos="0" relativeHeight="251671552" behindDoc="0" locked="0" layoutInCell="1" allowOverlap="1">
            <wp:simplePos x="0" y="0"/>
            <wp:positionH relativeFrom="column">
              <wp:posOffset>3117850</wp:posOffset>
            </wp:positionH>
            <wp:positionV relativeFrom="paragraph">
              <wp:posOffset>28575</wp:posOffset>
            </wp:positionV>
            <wp:extent cx="3041015" cy="3041015"/>
            <wp:effectExtent l="0" t="0" r="6985" b="6985"/>
            <wp:wrapNone/>
            <wp:docPr id="18" name="图片 18" descr="剖视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剖视图"/>
                    <pic:cNvPicPr>
                      <a:picLocks noChangeAspect="1"/>
                    </pic:cNvPicPr>
                  </pic:nvPicPr>
                  <pic:blipFill>
                    <a:blip r:embed="rId11"/>
                    <a:stretch>
                      <a:fillRect/>
                    </a:stretch>
                  </pic:blipFill>
                  <pic:spPr>
                    <a:xfrm>
                      <a:off x="0" y="0"/>
                      <a:ext cx="3041015" cy="3041015"/>
                    </a:xfrm>
                    <a:prstGeom prst="rect">
                      <a:avLst/>
                    </a:prstGeom>
                  </pic:spPr>
                </pic:pic>
              </a:graphicData>
            </a:graphic>
          </wp:anchor>
        </w:drawing>
      </w:r>
      <w:r>
        <w:rPr>
          <w:rFonts w:ascii="Times New Roman" w:hAnsi="Times New Roman"/>
          <w:color w:val="auto"/>
          <w:kern w:val="0"/>
          <w:szCs w:val="20"/>
          <w:highlight w:val="none"/>
        </w:rPr>
        <w:drawing>
          <wp:anchor distT="0" distB="0" distL="114300" distR="114300" simplePos="0" relativeHeight="251670528" behindDoc="0" locked="0" layoutInCell="1" allowOverlap="1">
            <wp:simplePos x="0" y="0"/>
            <wp:positionH relativeFrom="column">
              <wp:posOffset>-8890</wp:posOffset>
            </wp:positionH>
            <wp:positionV relativeFrom="paragraph">
              <wp:posOffset>28575</wp:posOffset>
            </wp:positionV>
            <wp:extent cx="3058160" cy="3058160"/>
            <wp:effectExtent l="0" t="0" r="8890" b="8890"/>
            <wp:wrapNone/>
            <wp:docPr id="16" name="图片 16" descr="主视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主视图"/>
                    <pic:cNvPicPr>
                      <a:picLocks noChangeAspect="1"/>
                    </pic:cNvPicPr>
                  </pic:nvPicPr>
                  <pic:blipFill>
                    <a:blip r:embed="rId12"/>
                    <a:stretch>
                      <a:fillRect/>
                    </a:stretch>
                  </pic:blipFill>
                  <pic:spPr>
                    <a:xfrm>
                      <a:off x="0" y="0"/>
                      <a:ext cx="3058160" cy="3058160"/>
                    </a:xfrm>
                    <a:prstGeom prst="rect">
                      <a:avLst/>
                    </a:prstGeom>
                  </pic:spPr>
                </pic:pic>
              </a:graphicData>
            </a:graphic>
          </wp:anchor>
        </w:drawing>
      </w:r>
    </w:p>
    <w:p w14:paraId="5D75EA88">
      <w:pPr>
        <w:spacing w:line="276" w:lineRule="auto"/>
        <w:rPr>
          <w:rFonts w:hint="eastAsia" w:ascii="Times New Roman" w:hAnsi="Times New Roman" w:eastAsia="宋体"/>
          <w:color w:val="auto"/>
          <w:kern w:val="0"/>
          <w:szCs w:val="20"/>
          <w:highlight w:val="none"/>
          <w:lang w:eastAsia="zh-CN"/>
        </w:rPr>
      </w:pPr>
    </w:p>
    <w:p w14:paraId="7E3E386E">
      <w:pPr>
        <w:spacing w:line="276" w:lineRule="auto"/>
        <w:rPr>
          <w:rFonts w:hint="eastAsia" w:ascii="Times New Roman" w:hAnsi="Times New Roman" w:eastAsia="宋体"/>
          <w:color w:val="auto"/>
          <w:kern w:val="0"/>
          <w:szCs w:val="20"/>
          <w:highlight w:val="none"/>
          <w:lang w:eastAsia="zh-CN"/>
        </w:rPr>
      </w:pPr>
    </w:p>
    <w:p w14:paraId="545316AF">
      <w:pPr>
        <w:spacing w:line="276" w:lineRule="auto"/>
        <w:rPr>
          <w:rFonts w:hint="eastAsia" w:ascii="Times New Roman" w:hAnsi="Times New Roman" w:eastAsia="宋体"/>
          <w:color w:val="auto"/>
          <w:kern w:val="0"/>
          <w:szCs w:val="20"/>
          <w:highlight w:val="none"/>
          <w:lang w:eastAsia="zh-CN"/>
        </w:rPr>
      </w:pPr>
    </w:p>
    <w:p w14:paraId="099240CD">
      <w:pPr>
        <w:spacing w:line="276" w:lineRule="auto"/>
        <w:rPr>
          <w:rFonts w:hint="eastAsia" w:ascii="Times New Roman" w:hAnsi="Times New Roman" w:eastAsia="宋体"/>
          <w:color w:val="auto"/>
          <w:kern w:val="0"/>
          <w:szCs w:val="20"/>
          <w:highlight w:val="none"/>
          <w:lang w:eastAsia="zh-CN"/>
        </w:rPr>
      </w:pPr>
    </w:p>
    <w:p w14:paraId="52E5887E">
      <w:pPr>
        <w:spacing w:line="276" w:lineRule="auto"/>
        <w:rPr>
          <w:rFonts w:hint="eastAsia" w:ascii="Times New Roman" w:hAnsi="Times New Roman" w:eastAsia="宋体"/>
          <w:color w:val="auto"/>
          <w:kern w:val="0"/>
          <w:szCs w:val="20"/>
          <w:highlight w:val="none"/>
          <w:lang w:eastAsia="zh-CN"/>
        </w:rPr>
      </w:pPr>
    </w:p>
    <w:p w14:paraId="77888783">
      <w:pPr>
        <w:spacing w:line="276" w:lineRule="auto"/>
        <w:rPr>
          <w:rFonts w:hint="eastAsia" w:ascii="Times New Roman" w:hAnsi="Times New Roman" w:eastAsia="宋体"/>
          <w:color w:val="auto"/>
          <w:kern w:val="0"/>
          <w:szCs w:val="20"/>
          <w:highlight w:val="none"/>
          <w:lang w:eastAsia="zh-CN"/>
        </w:rPr>
      </w:pPr>
    </w:p>
    <w:p w14:paraId="0BEF38D0">
      <w:pPr>
        <w:spacing w:line="276" w:lineRule="auto"/>
        <w:rPr>
          <w:rFonts w:hint="eastAsia" w:ascii="Times New Roman" w:hAnsi="Times New Roman" w:eastAsia="宋体"/>
          <w:color w:val="auto"/>
          <w:kern w:val="0"/>
          <w:szCs w:val="20"/>
          <w:highlight w:val="none"/>
          <w:lang w:eastAsia="zh-CN"/>
        </w:rPr>
      </w:pPr>
    </w:p>
    <w:p w14:paraId="0CB80308">
      <w:pPr>
        <w:spacing w:line="276" w:lineRule="auto"/>
        <w:rPr>
          <w:rFonts w:hint="eastAsia" w:ascii="Times New Roman" w:hAnsi="Times New Roman" w:eastAsia="宋体"/>
          <w:color w:val="auto"/>
          <w:kern w:val="0"/>
          <w:szCs w:val="20"/>
          <w:highlight w:val="none"/>
          <w:lang w:eastAsia="zh-CN"/>
        </w:rPr>
      </w:pPr>
    </w:p>
    <w:p w14:paraId="252C491E">
      <w:pPr>
        <w:spacing w:line="276" w:lineRule="auto"/>
        <w:rPr>
          <w:rFonts w:hint="eastAsia" w:ascii="Times New Roman" w:hAnsi="Times New Roman" w:eastAsia="宋体"/>
          <w:color w:val="auto"/>
          <w:kern w:val="0"/>
          <w:szCs w:val="20"/>
          <w:highlight w:val="none"/>
          <w:lang w:eastAsia="zh-CN"/>
        </w:rPr>
      </w:pPr>
    </w:p>
    <w:p w14:paraId="30FB1B2D">
      <w:pPr>
        <w:spacing w:line="276" w:lineRule="auto"/>
        <w:rPr>
          <w:rFonts w:hint="eastAsia" w:ascii="Times New Roman" w:hAnsi="Times New Roman" w:eastAsia="宋体"/>
          <w:color w:val="auto"/>
          <w:kern w:val="0"/>
          <w:szCs w:val="20"/>
          <w:highlight w:val="none"/>
          <w:lang w:eastAsia="zh-CN"/>
        </w:rPr>
      </w:pPr>
    </w:p>
    <w:p w14:paraId="0CA2E712">
      <w:pPr>
        <w:spacing w:line="276" w:lineRule="auto"/>
        <w:rPr>
          <w:rFonts w:hint="eastAsia" w:ascii="Times New Roman" w:hAnsi="Times New Roman" w:eastAsia="宋体"/>
          <w:color w:val="auto"/>
          <w:kern w:val="0"/>
          <w:szCs w:val="20"/>
          <w:highlight w:val="none"/>
          <w:lang w:eastAsia="zh-CN"/>
        </w:rPr>
      </w:pPr>
    </w:p>
    <w:p w14:paraId="1A8A3603">
      <w:pPr>
        <w:spacing w:line="276" w:lineRule="auto"/>
        <w:rPr>
          <w:rFonts w:hint="eastAsia" w:ascii="Times New Roman" w:hAnsi="Times New Roman" w:eastAsia="宋体"/>
          <w:color w:val="auto"/>
          <w:kern w:val="0"/>
          <w:szCs w:val="20"/>
          <w:highlight w:val="none"/>
          <w:lang w:eastAsia="zh-CN"/>
        </w:rPr>
      </w:pPr>
    </w:p>
    <w:p w14:paraId="4333AF1C">
      <w:pPr>
        <w:spacing w:line="276" w:lineRule="auto"/>
        <w:rPr>
          <w:rFonts w:hint="eastAsia" w:ascii="Times New Roman" w:hAnsi="Times New Roman" w:eastAsia="宋体"/>
          <w:color w:val="auto"/>
          <w:kern w:val="0"/>
          <w:szCs w:val="20"/>
          <w:highlight w:val="none"/>
          <w:lang w:eastAsia="zh-CN"/>
        </w:rPr>
      </w:pPr>
    </w:p>
    <w:p w14:paraId="58748929">
      <w:pPr>
        <w:spacing w:line="276" w:lineRule="auto"/>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rPr>
        <w:t xml:space="preserve">              </w:t>
      </w:r>
      <w:r>
        <w:rPr>
          <w:rFonts w:hint="eastAsia" w:ascii="Times New Roman" w:hAnsi="Times New Roman"/>
          <w:color w:val="auto"/>
          <w:kern w:val="0"/>
          <w:szCs w:val="20"/>
          <w:highlight w:val="none"/>
          <w:lang w:eastAsia="zh-CN"/>
        </w:rPr>
        <w:t>图</w:t>
      </w:r>
      <w:r>
        <w:rPr>
          <w:rFonts w:hint="eastAsia" w:ascii="Times New Roman" w:hAnsi="Times New Roman"/>
          <w:color w:val="auto"/>
          <w:kern w:val="0"/>
          <w:szCs w:val="20"/>
          <w:highlight w:val="none"/>
          <w:lang w:val="en-US" w:eastAsia="zh-CN"/>
        </w:rPr>
        <w:t>1款式A主视图</w:t>
      </w:r>
      <w:r>
        <w:rPr>
          <w:rFonts w:hint="eastAsia" w:ascii="Times New Roman" w:hAnsi="Times New Roman"/>
          <w:color w:val="auto"/>
          <w:kern w:val="0"/>
          <w:szCs w:val="20"/>
          <w:highlight w:val="none"/>
        </w:rPr>
        <w:t xml:space="preserve">                            图</w:t>
      </w:r>
      <w:r>
        <w:rPr>
          <w:rFonts w:hint="eastAsia" w:ascii="Times New Roman" w:hAnsi="Times New Roman"/>
          <w:color w:val="auto"/>
          <w:kern w:val="0"/>
          <w:szCs w:val="20"/>
          <w:highlight w:val="none"/>
          <w:lang w:val="en-US" w:eastAsia="zh-CN"/>
        </w:rPr>
        <w:t>2款式A剖视图</w:t>
      </w:r>
    </w:p>
    <w:p w14:paraId="35ACCEA3">
      <w:pPr>
        <w:spacing w:line="276" w:lineRule="auto"/>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drawing>
          <wp:anchor distT="0" distB="0" distL="114300" distR="114300" simplePos="0" relativeHeight="251673600" behindDoc="0" locked="0" layoutInCell="1" allowOverlap="1">
            <wp:simplePos x="0" y="0"/>
            <wp:positionH relativeFrom="column">
              <wp:posOffset>0</wp:posOffset>
            </wp:positionH>
            <wp:positionV relativeFrom="paragraph">
              <wp:posOffset>78740</wp:posOffset>
            </wp:positionV>
            <wp:extent cx="3050540" cy="3050540"/>
            <wp:effectExtent l="0" t="0" r="16510" b="16510"/>
            <wp:wrapNone/>
            <wp:docPr id="20" name="图片 20" descr="主视图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主视图B"/>
                    <pic:cNvPicPr>
                      <a:picLocks noChangeAspect="1"/>
                    </pic:cNvPicPr>
                  </pic:nvPicPr>
                  <pic:blipFill>
                    <a:blip r:embed="rId13"/>
                    <a:stretch>
                      <a:fillRect/>
                    </a:stretch>
                  </pic:blipFill>
                  <pic:spPr>
                    <a:xfrm>
                      <a:off x="0" y="0"/>
                      <a:ext cx="3050540" cy="3050540"/>
                    </a:xfrm>
                    <a:prstGeom prst="rect">
                      <a:avLst/>
                    </a:prstGeom>
                  </pic:spPr>
                </pic:pic>
              </a:graphicData>
            </a:graphic>
          </wp:anchor>
        </w:drawing>
      </w:r>
      <w:r>
        <w:rPr>
          <w:rFonts w:hint="eastAsia" w:ascii="Times New Roman" w:hAnsi="Times New Roman"/>
          <w:color w:val="auto"/>
          <w:kern w:val="0"/>
          <w:szCs w:val="20"/>
          <w:highlight w:val="none"/>
          <w:lang w:val="en-US" w:eastAsia="zh-CN"/>
        </w:rPr>
        <w:drawing>
          <wp:anchor distT="0" distB="0" distL="114300" distR="114300" simplePos="0" relativeHeight="251672576" behindDoc="0" locked="0" layoutInCell="1" allowOverlap="1">
            <wp:simplePos x="0" y="0"/>
            <wp:positionH relativeFrom="column">
              <wp:posOffset>2997200</wp:posOffset>
            </wp:positionH>
            <wp:positionV relativeFrom="paragraph">
              <wp:posOffset>78740</wp:posOffset>
            </wp:positionV>
            <wp:extent cx="3103880" cy="3103880"/>
            <wp:effectExtent l="0" t="0" r="1270" b="1270"/>
            <wp:wrapNone/>
            <wp:docPr id="19" name="图片 19" descr="剖视图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剖视图B"/>
                    <pic:cNvPicPr>
                      <a:picLocks noChangeAspect="1"/>
                    </pic:cNvPicPr>
                  </pic:nvPicPr>
                  <pic:blipFill>
                    <a:blip r:embed="rId14"/>
                    <a:stretch>
                      <a:fillRect/>
                    </a:stretch>
                  </pic:blipFill>
                  <pic:spPr>
                    <a:xfrm>
                      <a:off x="0" y="0"/>
                      <a:ext cx="3103880" cy="3103880"/>
                    </a:xfrm>
                    <a:prstGeom prst="rect">
                      <a:avLst/>
                    </a:prstGeom>
                  </pic:spPr>
                </pic:pic>
              </a:graphicData>
            </a:graphic>
          </wp:anchor>
        </w:drawing>
      </w:r>
    </w:p>
    <w:p w14:paraId="29680C71">
      <w:pPr>
        <w:spacing w:line="276" w:lineRule="auto"/>
        <w:rPr>
          <w:rFonts w:hint="eastAsia" w:ascii="Times New Roman" w:hAnsi="Times New Roman"/>
          <w:color w:val="auto"/>
          <w:kern w:val="0"/>
          <w:szCs w:val="20"/>
          <w:highlight w:val="none"/>
          <w:lang w:val="en-US" w:eastAsia="zh-CN"/>
        </w:rPr>
      </w:pPr>
    </w:p>
    <w:p w14:paraId="56A8143D">
      <w:pPr>
        <w:spacing w:line="276" w:lineRule="auto"/>
        <w:rPr>
          <w:rFonts w:hint="eastAsia" w:ascii="Times New Roman" w:hAnsi="Times New Roman"/>
          <w:color w:val="auto"/>
          <w:kern w:val="0"/>
          <w:szCs w:val="20"/>
          <w:highlight w:val="none"/>
          <w:lang w:val="en-US" w:eastAsia="zh-CN"/>
        </w:rPr>
      </w:pPr>
    </w:p>
    <w:p w14:paraId="6973F88E">
      <w:pPr>
        <w:spacing w:line="276" w:lineRule="auto"/>
        <w:rPr>
          <w:rFonts w:hint="eastAsia" w:ascii="Times New Roman" w:hAnsi="Times New Roman"/>
          <w:color w:val="auto"/>
          <w:kern w:val="0"/>
          <w:szCs w:val="20"/>
          <w:highlight w:val="none"/>
          <w:lang w:val="en-US" w:eastAsia="zh-CN"/>
        </w:rPr>
      </w:pPr>
    </w:p>
    <w:p w14:paraId="4FEA0F44">
      <w:pPr>
        <w:spacing w:line="276" w:lineRule="auto"/>
        <w:rPr>
          <w:rFonts w:hint="eastAsia" w:ascii="Times New Roman" w:hAnsi="Times New Roman"/>
          <w:color w:val="auto"/>
          <w:kern w:val="0"/>
          <w:szCs w:val="20"/>
          <w:highlight w:val="none"/>
          <w:lang w:val="en-US" w:eastAsia="zh-CN"/>
        </w:rPr>
      </w:pPr>
    </w:p>
    <w:p w14:paraId="691B67DE">
      <w:pPr>
        <w:spacing w:line="276" w:lineRule="auto"/>
        <w:rPr>
          <w:rFonts w:hint="eastAsia" w:ascii="Times New Roman" w:hAnsi="Times New Roman"/>
          <w:color w:val="auto"/>
          <w:kern w:val="0"/>
          <w:szCs w:val="20"/>
          <w:highlight w:val="none"/>
          <w:lang w:val="en-US" w:eastAsia="zh-CN"/>
        </w:rPr>
      </w:pPr>
    </w:p>
    <w:p w14:paraId="3F89052D">
      <w:pPr>
        <w:spacing w:line="276" w:lineRule="auto"/>
        <w:rPr>
          <w:rFonts w:hint="eastAsia" w:ascii="Times New Roman" w:hAnsi="Times New Roman"/>
          <w:color w:val="auto"/>
          <w:kern w:val="0"/>
          <w:szCs w:val="20"/>
          <w:highlight w:val="none"/>
          <w:lang w:val="en-US" w:eastAsia="zh-CN"/>
        </w:rPr>
      </w:pPr>
    </w:p>
    <w:p w14:paraId="0AC2490C">
      <w:pPr>
        <w:spacing w:line="276" w:lineRule="auto"/>
        <w:rPr>
          <w:rFonts w:hint="eastAsia" w:ascii="Times New Roman" w:hAnsi="Times New Roman"/>
          <w:color w:val="auto"/>
          <w:kern w:val="0"/>
          <w:szCs w:val="20"/>
          <w:highlight w:val="none"/>
          <w:lang w:val="en-US" w:eastAsia="zh-CN"/>
        </w:rPr>
      </w:pPr>
    </w:p>
    <w:p w14:paraId="25237E6A">
      <w:pPr>
        <w:spacing w:line="276" w:lineRule="auto"/>
        <w:rPr>
          <w:rFonts w:hint="eastAsia" w:ascii="Times New Roman" w:hAnsi="Times New Roman"/>
          <w:color w:val="auto"/>
          <w:kern w:val="0"/>
          <w:szCs w:val="20"/>
          <w:highlight w:val="none"/>
          <w:lang w:val="en-US" w:eastAsia="zh-CN"/>
        </w:rPr>
      </w:pPr>
    </w:p>
    <w:p w14:paraId="03BF8E0E">
      <w:pPr>
        <w:spacing w:line="276" w:lineRule="auto"/>
        <w:rPr>
          <w:rFonts w:hint="eastAsia" w:ascii="Times New Roman" w:hAnsi="Times New Roman"/>
          <w:color w:val="auto"/>
          <w:kern w:val="0"/>
          <w:szCs w:val="20"/>
          <w:highlight w:val="none"/>
          <w:lang w:val="en-US" w:eastAsia="zh-CN"/>
        </w:rPr>
      </w:pPr>
    </w:p>
    <w:p w14:paraId="3E0F41C3">
      <w:pPr>
        <w:spacing w:line="276" w:lineRule="auto"/>
        <w:rPr>
          <w:rFonts w:hint="eastAsia" w:ascii="Times New Roman" w:hAnsi="Times New Roman"/>
          <w:color w:val="auto"/>
          <w:kern w:val="0"/>
          <w:szCs w:val="20"/>
          <w:highlight w:val="none"/>
          <w:lang w:val="en-US" w:eastAsia="zh-CN"/>
        </w:rPr>
      </w:pPr>
    </w:p>
    <w:p w14:paraId="434675A1">
      <w:pPr>
        <w:spacing w:line="276" w:lineRule="auto"/>
        <w:rPr>
          <w:rFonts w:hint="eastAsia" w:ascii="Times New Roman" w:hAnsi="Times New Roman"/>
          <w:color w:val="auto"/>
          <w:kern w:val="0"/>
          <w:szCs w:val="20"/>
          <w:highlight w:val="none"/>
          <w:lang w:val="en-US" w:eastAsia="zh-CN"/>
        </w:rPr>
      </w:pPr>
    </w:p>
    <w:p w14:paraId="490F3F9B">
      <w:pPr>
        <w:spacing w:line="276" w:lineRule="auto"/>
        <w:rPr>
          <w:rFonts w:hint="eastAsia" w:ascii="Times New Roman" w:hAnsi="Times New Roman"/>
          <w:color w:val="auto"/>
          <w:kern w:val="0"/>
          <w:szCs w:val="20"/>
          <w:highlight w:val="none"/>
          <w:lang w:val="en-US" w:eastAsia="zh-CN"/>
        </w:rPr>
      </w:pPr>
    </w:p>
    <w:p w14:paraId="00DED1B6">
      <w:pPr>
        <w:spacing w:line="276" w:lineRule="auto"/>
        <w:rPr>
          <w:rFonts w:hint="eastAsia" w:ascii="Times New Roman" w:hAnsi="Times New Roman"/>
          <w:color w:val="auto"/>
          <w:kern w:val="0"/>
          <w:szCs w:val="20"/>
          <w:highlight w:val="none"/>
          <w:lang w:val="en-US" w:eastAsia="zh-CN"/>
        </w:rPr>
      </w:pPr>
    </w:p>
    <w:p w14:paraId="7BAB713E">
      <w:pPr>
        <w:spacing w:line="276" w:lineRule="auto"/>
        <w:rPr>
          <w:rFonts w:hint="eastAsia" w:ascii="Times New Roman" w:hAnsi="Times New Roman"/>
          <w:color w:val="auto"/>
          <w:kern w:val="0"/>
          <w:szCs w:val="20"/>
          <w:highlight w:val="none"/>
          <w:lang w:val="en-US" w:eastAsia="zh-CN"/>
        </w:rPr>
      </w:pPr>
    </w:p>
    <w:p w14:paraId="4F01A215">
      <w:pPr>
        <w:spacing w:line="276" w:lineRule="auto"/>
        <w:ind w:firstLine="1470" w:firstLineChars="700"/>
        <w:rPr>
          <w:rFonts w:hint="default"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图3款式B主视图                           图4款式B剖视图</w:t>
      </w:r>
    </w:p>
    <w:p w14:paraId="5ECEF4AD">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标引序号说明：</w:t>
      </w:r>
    </w:p>
    <w:p w14:paraId="7E4D32AC">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1—流体进口；</w:t>
      </w:r>
    </w:p>
    <w:p w14:paraId="01A7E095">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2—测量腔壳体；</w:t>
      </w:r>
    </w:p>
    <w:p w14:paraId="4BE7711A">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3—导流管；</w:t>
      </w:r>
    </w:p>
    <w:p w14:paraId="6C624EC6">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4—流体出口；</w:t>
      </w:r>
    </w:p>
    <w:p w14:paraId="0FA514A5">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5—传感器保护壳体；</w:t>
      </w:r>
    </w:p>
    <w:p w14:paraId="07112AB3">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6—数显仪表；</w:t>
      </w:r>
    </w:p>
    <w:p w14:paraId="0696D30F">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7—数据处理及远端；</w:t>
      </w:r>
    </w:p>
    <w:p w14:paraId="5F19DEA9">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8—感应浮子；</w:t>
      </w:r>
    </w:p>
    <w:p w14:paraId="339A137A">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9—温度测试组件；</w:t>
      </w:r>
    </w:p>
    <w:p w14:paraId="67FDAC47">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10—压力测试组件；</w:t>
      </w:r>
    </w:p>
    <w:p w14:paraId="158F4EEC">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11—供电电池；</w:t>
      </w:r>
    </w:p>
    <w:p w14:paraId="44A2AB17">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12—磁感感应器；</w:t>
      </w:r>
    </w:p>
    <w:p w14:paraId="3A703D42">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13—导流管入口；</w:t>
      </w:r>
    </w:p>
    <w:p w14:paraId="6686C4EC">
      <w:pPr>
        <w:spacing w:line="276" w:lineRule="auto"/>
        <w:ind w:firstLine="420" w:firstLineChars="200"/>
        <w:rPr>
          <w:rFonts w:hint="eastAsia"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14—导流管出口；</w:t>
      </w:r>
    </w:p>
    <w:p w14:paraId="1B46DD21">
      <w:pPr>
        <w:spacing w:line="276" w:lineRule="auto"/>
        <w:ind w:firstLine="420" w:firstLineChars="200"/>
        <w:rPr>
          <w:rFonts w:hint="default" w:ascii="Times New Roman" w:hAnsi="Times New Roman"/>
          <w:color w:val="auto"/>
          <w:kern w:val="0"/>
          <w:szCs w:val="20"/>
          <w:highlight w:val="none"/>
          <w:lang w:val="en-US" w:eastAsia="zh-CN"/>
        </w:rPr>
      </w:pPr>
      <w:r>
        <w:rPr>
          <w:rFonts w:hint="eastAsia" w:ascii="Times New Roman" w:hAnsi="Times New Roman"/>
          <w:color w:val="auto"/>
          <w:kern w:val="0"/>
          <w:szCs w:val="20"/>
          <w:highlight w:val="none"/>
          <w:lang w:val="en-US" w:eastAsia="zh-CN"/>
        </w:rPr>
        <w:t>15—液相物质。</w:t>
      </w:r>
    </w:p>
    <w:p w14:paraId="1BF44571">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2)结构原理</w:t>
      </w:r>
    </w:p>
    <w:p w14:paraId="758755D2">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a)浮子与流体力学的平衡机制</w:t>
      </w:r>
      <w:r>
        <w:rPr>
          <w:rFonts w:hint="eastAsia" w:ascii="Times New Roman" w:hAnsi="Times New Roman"/>
          <w:color w:val="auto"/>
          <w:kern w:val="0"/>
          <w:szCs w:val="20"/>
          <w:highlight w:val="none"/>
          <w:lang w:eastAsia="zh-CN"/>
        </w:rPr>
        <w:t>：</w:t>
      </w:r>
    </w:p>
    <w:p w14:paraId="1074772D">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感应浮子垂直安装于测量腔中，当流体通过时，浮子在流体动能（冲力）和浮力的共同作用下上升。</w:t>
      </w:r>
    </w:p>
    <w:p w14:paraId="780BB8A0">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浮子的平衡位置由流体流速、浮子体积、浮子重量、浮子密度相关：同一浮子，流速越大，浮子上升高度越高，形成流速与浮子位置</w:t>
      </w:r>
      <w:r>
        <w:rPr>
          <w:rFonts w:hint="eastAsia" w:ascii="Times New Roman" w:hAnsi="Times New Roman"/>
          <w:color w:val="auto"/>
          <w:kern w:val="0"/>
          <w:szCs w:val="20"/>
          <w:highlight w:val="none"/>
          <w:lang w:eastAsia="zh-CN"/>
        </w:rPr>
        <w:t>变化</w:t>
      </w:r>
      <w:r>
        <w:rPr>
          <w:rFonts w:hint="eastAsia" w:ascii="Times New Roman" w:hAnsi="Times New Roman"/>
          <w:color w:val="auto"/>
          <w:kern w:val="0"/>
          <w:szCs w:val="20"/>
          <w:highlight w:val="none"/>
        </w:rPr>
        <w:t>的线性关系</w:t>
      </w:r>
      <w:r>
        <w:rPr>
          <w:rFonts w:hint="eastAsia" w:ascii="Times New Roman" w:hAnsi="Times New Roman"/>
          <w:color w:val="auto"/>
          <w:kern w:val="0"/>
          <w:szCs w:val="20"/>
          <w:highlight w:val="none"/>
          <w:lang w:eastAsia="zh-CN"/>
        </w:rPr>
        <w:t>；</w:t>
      </w:r>
      <w:r>
        <w:rPr>
          <w:rFonts w:hint="eastAsia" w:ascii="Times New Roman" w:hAnsi="Times New Roman"/>
          <w:color w:val="auto"/>
          <w:kern w:val="0"/>
          <w:szCs w:val="20"/>
          <w:highlight w:val="none"/>
        </w:rPr>
        <w:t>同一</w:t>
      </w:r>
      <w:r>
        <w:rPr>
          <w:rFonts w:hint="eastAsia" w:ascii="Times New Roman" w:hAnsi="Times New Roman"/>
          <w:color w:val="auto"/>
          <w:kern w:val="0"/>
          <w:szCs w:val="20"/>
          <w:highlight w:val="none"/>
          <w:lang w:eastAsia="zh-CN"/>
        </w:rPr>
        <w:t>流体</w:t>
      </w:r>
      <w:r>
        <w:rPr>
          <w:rFonts w:hint="eastAsia" w:ascii="Times New Roman" w:hAnsi="Times New Roman"/>
          <w:color w:val="auto"/>
          <w:kern w:val="0"/>
          <w:szCs w:val="20"/>
          <w:highlight w:val="none"/>
        </w:rPr>
        <w:t>流速，浮子</w:t>
      </w:r>
      <w:r>
        <w:rPr>
          <w:rFonts w:hint="eastAsia" w:ascii="Times New Roman" w:hAnsi="Times New Roman"/>
          <w:color w:val="auto"/>
          <w:kern w:val="0"/>
          <w:szCs w:val="20"/>
          <w:highlight w:val="none"/>
          <w:lang w:eastAsia="zh-CN"/>
        </w:rPr>
        <w:t>体积</w:t>
      </w:r>
      <w:r>
        <w:rPr>
          <w:rFonts w:hint="eastAsia" w:ascii="Times New Roman" w:hAnsi="Times New Roman"/>
          <w:color w:val="auto"/>
          <w:kern w:val="0"/>
          <w:szCs w:val="20"/>
          <w:highlight w:val="none"/>
        </w:rPr>
        <w:t>、</w:t>
      </w:r>
      <w:r>
        <w:rPr>
          <w:rFonts w:hint="eastAsia" w:ascii="Times New Roman" w:hAnsi="Times New Roman"/>
          <w:color w:val="auto"/>
          <w:kern w:val="0"/>
          <w:szCs w:val="20"/>
          <w:highlight w:val="none"/>
          <w:lang w:eastAsia="zh-CN"/>
        </w:rPr>
        <w:t>浮子重量、浮子密度均会对</w:t>
      </w:r>
      <w:r>
        <w:rPr>
          <w:rFonts w:hint="eastAsia" w:ascii="Times New Roman" w:hAnsi="Times New Roman"/>
          <w:color w:val="auto"/>
          <w:kern w:val="0"/>
          <w:szCs w:val="20"/>
          <w:highlight w:val="none"/>
        </w:rPr>
        <w:t>浮子</w:t>
      </w:r>
      <w:r>
        <w:rPr>
          <w:rFonts w:hint="eastAsia" w:ascii="Times New Roman" w:hAnsi="Times New Roman"/>
          <w:color w:val="auto"/>
          <w:kern w:val="0"/>
          <w:szCs w:val="20"/>
          <w:highlight w:val="none"/>
          <w:lang w:eastAsia="zh-CN"/>
        </w:rPr>
        <w:t>位置变化产生影响。具体是，同一流体流速和同一浮子密度，浮子重量越大，浮子体积越大，浮子上升高度越低，</w:t>
      </w:r>
      <w:r>
        <w:rPr>
          <w:rFonts w:hint="eastAsia" w:ascii="Times New Roman" w:hAnsi="Times New Roman"/>
          <w:color w:val="auto"/>
          <w:kern w:val="0"/>
          <w:szCs w:val="20"/>
          <w:highlight w:val="none"/>
        </w:rPr>
        <w:t>形成浮子体积</w:t>
      </w:r>
      <w:r>
        <w:rPr>
          <w:rFonts w:hint="eastAsia" w:ascii="Times New Roman" w:hAnsi="Times New Roman"/>
          <w:color w:val="auto"/>
          <w:kern w:val="0"/>
          <w:szCs w:val="20"/>
          <w:highlight w:val="none"/>
          <w:lang w:eastAsia="zh-CN"/>
        </w:rPr>
        <w:t>、</w:t>
      </w:r>
      <w:r>
        <w:rPr>
          <w:rFonts w:hint="eastAsia" w:ascii="Times New Roman" w:hAnsi="Times New Roman"/>
          <w:color w:val="auto"/>
          <w:kern w:val="0"/>
          <w:szCs w:val="20"/>
          <w:highlight w:val="none"/>
        </w:rPr>
        <w:t>重量、密度与浮子位置</w:t>
      </w:r>
      <w:r>
        <w:rPr>
          <w:rFonts w:hint="eastAsia" w:ascii="Times New Roman" w:hAnsi="Times New Roman"/>
          <w:color w:val="auto"/>
          <w:kern w:val="0"/>
          <w:szCs w:val="20"/>
          <w:highlight w:val="none"/>
          <w:lang w:eastAsia="zh-CN"/>
        </w:rPr>
        <w:t>变化</w:t>
      </w:r>
      <w:r>
        <w:rPr>
          <w:rFonts w:hint="eastAsia" w:ascii="Times New Roman" w:hAnsi="Times New Roman"/>
          <w:color w:val="auto"/>
          <w:kern w:val="0"/>
          <w:szCs w:val="20"/>
          <w:highlight w:val="none"/>
        </w:rPr>
        <w:t>的</w:t>
      </w:r>
      <w:r>
        <w:rPr>
          <w:rFonts w:hint="eastAsia" w:ascii="Times New Roman" w:hAnsi="Times New Roman"/>
          <w:color w:val="auto"/>
          <w:kern w:val="0"/>
          <w:szCs w:val="20"/>
          <w:highlight w:val="none"/>
          <w:lang w:eastAsia="zh-CN"/>
        </w:rPr>
        <w:t>非线性</w:t>
      </w:r>
      <w:r>
        <w:rPr>
          <w:rFonts w:hint="eastAsia" w:ascii="Times New Roman" w:hAnsi="Times New Roman"/>
          <w:color w:val="auto"/>
          <w:kern w:val="0"/>
          <w:szCs w:val="20"/>
          <w:highlight w:val="none"/>
        </w:rPr>
        <w:t>关系。</w:t>
      </w:r>
    </w:p>
    <w:p w14:paraId="2684BA6C">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b）非接触式磁感定位：</w:t>
      </w:r>
    </w:p>
    <w:p w14:paraId="45FF7D8D">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浮子连杆内嵌永磁体，磁感感应器（如霍尔元件）固定在测量腔顶部，通过检测磁场强度变化，将浮子的位置信号转换为电信号。此设计避免机械接触，消除传统机械传动导致的磨损问题，适用于含颗粒或高粘度流体（如原油）。</w:t>
      </w:r>
    </w:p>
    <w:p w14:paraId="33661B05">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c）导流管气体排出通道：</w:t>
      </w:r>
    </w:p>
    <w:p w14:paraId="7DBB5F43">
      <w:pPr>
        <w:spacing w:line="276" w:lineRule="auto"/>
        <w:rPr>
          <w:rFonts w:hint="eastAsia" w:ascii="Times New Roman" w:hAnsi="Times New Roman"/>
          <w:color w:val="auto"/>
          <w:kern w:val="0"/>
          <w:szCs w:val="20"/>
          <w:highlight w:val="none"/>
        </w:rPr>
      </w:pPr>
      <w:r>
        <w:rPr>
          <w:rFonts w:hint="eastAsia" w:ascii="Times New Roman" w:hAnsi="Times New Roman"/>
          <w:color w:val="auto"/>
          <w:kern w:val="0"/>
          <w:szCs w:val="20"/>
          <w:highlight w:val="none"/>
        </w:rPr>
        <w:t xml:space="preserve">   冲感式浮子流量计结合导流管通道结构，实现气相物质的高效导流，避免气相物质在测量腔内积聚，导致浮子所受浮力减小，产生最终的计量误差。</w:t>
      </w:r>
    </w:p>
    <w:p w14:paraId="6359254E">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d）多参数动态补偿：</w:t>
      </w:r>
    </w:p>
    <w:p w14:paraId="6226E192">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温度测试组件和压力测试组件实时采集流体温度、压力数据，通过数据处理模块修正流量计算结果（如补偿原油因温升导致的体积膨胀或粘度变化）。</w:t>
      </w:r>
    </w:p>
    <w:p w14:paraId="29109738">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e）数字化显示与远程传输：</w:t>
      </w:r>
    </w:p>
    <w:p w14:paraId="140E5BA2">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电信号经处理后，由数显仪表直接显示瞬时流量和累计流量。</w:t>
      </w:r>
    </w:p>
    <w:p w14:paraId="2EC7988E">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数据处理及远端模块将数据存储、分析后，通过无线或有线方式传输至监控系统，实现远程实时监测。</w:t>
      </w:r>
    </w:p>
    <w:p w14:paraId="0D2A7306">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f）耐环境设计与独立供电：</w:t>
      </w:r>
    </w:p>
    <w:p w14:paraId="2A3F7945">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测</w:t>
      </w:r>
      <w:r>
        <w:rPr>
          <w:rFonts w:hint="eastAsia" w:ascii="Times New Roman" w:hAnsi="Times New Roman"/>
          <w:color w:val="auto"/>
          <w:kern w:val="0"/>
          <w:szCs w:val="20"/>
          <w:highlight w:val="none"/>
          <w:lang w:eastAsia="zh-CN"/>
        </w:rPr>
        <w:t>量</w:t>
      </w:r>
      <w:r>
        <w:rPr>
          <w:rFonts w:hint="eastAsia" w:ascii="Times New Roman" w:hAnsi="Times New Roman"/>
          <w:color w:val="auto"/>
          <w:kern w:val="0"/>
          <w:szCs w:val="20"/>
          <w:highlight w:val="none"/>
        </w:rPr>
        <w:t>结构一体式成型，采用耐腐蚀合金或涂层，防止原油中的硫化物、盐分等腐蚀管道。</w:t>
      </w:r>
    </w:p>
    <w:p w14:paraId="2AF96DFD">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供电电池为整套系统提供独立电源，确保在油田等无稳定电源场景下的持续运行。</w:t>
      </w:r>
    </w:p>
    <w:p w14:paraId="734788B2">
      <w:pPr>
        <w:spacing w:line="276" w:lineRule="auto"/>
        <w:rPr>
          <w:rFonts w:ascii="Times New Roman" w:hAnsi="Times New Roman"/>
          <w:color w:val="auto"/>
          <w:kern w:val="0"/>
          <w:szCs w:val="20"/>
          <w:highlight w:val="none"/>
        </w:rPr>
      </w:pPr>
      <w:r>
        <w:rPr>
          <w:rFonts w:hint="eastAsia" w:ascii="Times New Roman" w:hAnsi="Times New Roman"/>
          <w:color w:val="auto"/>
          <w:kern w:val="0"/>
          <w:szCs w:val="20"/>
          <w:highlight w:val="none"/>
        </w:rPr>
        <w:t>3)核心工作流程</w:t>
      </w:r>
    </w:p>
    <w:p w14:paraId="302536D5">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流体驱动浮子运动：流体流速变化 → 浮子垂直位移。</w:t>
      </w:r>
    </w:p>
    <w:p w14:paraId="6FBD58EC">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磁信号转换：浮子位置 → 磁场变化 → 电信号输出。</w:t>
      </w:r>
    </w:p>
    <w:p w14:paraId="18A7C829">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数据补偿与处理：温度、压力参数修正流量值 → 数显仪表显示最终结果。</w:t>
      </w:r>
    </w:p>
    <w:p w14:paraId="1FB0893C">
      <w:pPr>
        <w:spacing w:line="276" w:lineRule="auto"/>
        <w:ind w:firstLine="420" w:firstLineChars="200"/>
        <w:rPr>
          <w:rFonts w:ascii="Times New Roman" w:hAnsi="Times New Roman"/>
          <w:color w:val="auto"/>
          <w:kern w:val="0"/>
          <w:szCs w:val="20"/>
          <w:highlight w:val="none"/>
        </w:rPr>
      </w:pPr>
      <w:r>
        <w:rPr>
          <w:rFonts w:hint="eastAsia" w:ascii="Times New Roman" w:hAnsi="Times New Roman"/>
          <w:color w:val="auto"/>
          <w:kern w:val="0"/>
          <w:szCs w:val="20"/>
          <w:highlight w:val="none"/>
        </w:rPr>
        <w:t>远程管理：数据上传至控制中心，实现智能化监控。</w:t>
      </w:r>
    </w:p>
    <w:p w14:paraId="3F6CD5E4">
      <w:pPr>
        <w:spacing w:line="276" w:lineRule="auto"/>
        <w:rPr>
          <w:rFonts w:ascii="Times New Roman" w:hAnsi="Times New Roman"/>
          <w:b/>
          <w:bCs/>
          <w:color w:val="auto"/>
          <w:kern w:val="0"/>
          <w:szCs w:val="20"/>
          <w:highlight w:val="none"/>
        </w:rPr>
      </w:pPr>
      <w:bookmarkStart w:id="18" w:name="_Toc28120_WPSOffice_Level2"/>
      <w:r>
        <w:rPr>
          <w:rFonts w:hint="eastAsia" w:ascii="Times New Roman" w:hAnsi="Times New Roman"/>
          <w:b/>
          <w:bCs/>
          <w:color w:val="auto"/>
          <w:kern w:val="0"/>
          <w:szCs w:val="20"/>
          <w:highlight w:val="none"/>
        </w:rPr>
        <w:t>3.2.2产品分类</w:t>
      </w:r>
      <w:bookmarkEnd w:id="18"/>
    </w:p>
    <w:p w14:paraId="5842504D">
      <w:pPr>
        <w:spacing w:line="276" w:lineRule="auto"/>
        <w:rPr>
          <w:rFonts w:ascii="Times New Roman" w:hAnsi="Times New Roman"/>
          <w:b/>
          <w:bCs/>
          <w:color w:val="auto"/>
          <w:highlight w:val="none"/>
        </w:rPr>
      </w:pPr>
      <w:r>
        <w:rPr>
          <w:rFonts w:hint="eastAsia" w:ascii="Times New Roman" w:hAnsi="Times New Roman"/>
          <w:b/>
          <w:bCs/>
          <w:color w:val="auto"/>
          <w:highlight w:val="none"/>
        </w:rPr>
        <w:t>按信号输出方式分</w:t>
      </w:r>
    </w:p>
    <w:p w14:paraId="1388EC32">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流量计按信号输出方式分为；</w:t>
      </w:r>
    </w:p>
    <w:p w14:paraId="56E80014">
      <w:pPr>
        <w:spacing w:line="276" w:lineRule="auto"/>
        <w:ind w:firstLine="420"/>
        <w:rPr>
          <w:rFonts w:ascii="Times New Roman" w:hAnsi="Times New Roman"/>
          <w:color w:val="auto"/>
          <w:highlight w:val="none"/>
        </w:rPr>
      </w:pPr>
      <w:bookmarkStart w:id="19" w:name="_Toc27711_WPSOffice_Level2"/>
      <w:r>
        <w:rPr>
          <w:rFonts w:hint="eastAsia" w:ascii="Times New Roman" w:hAnsi="Times New Roman"/>
          <w:color w:val="auto"/>
          <w:highlight w:val="none"/>
        </w:rPr>
        <w:t>a）现场指示型</w:t>
      </w:r>
      <w:bookmarkEnd w:id="19"/>
      <w:r>
        <w:rPr>
          <w:rFonts w:hint="eastAsia" w:ascii="Times New Roman" w:hAnsi="Times New Roman"/>
          <w:color w:val="auto"/>
          <w:highlight w:val="none"/>
        </w:rPr>
        <w:t>；</w:t>
      </w:r>
    </w:p>
    <w:p w14:paraId="18A59192">
      <w:pPr>
        <w:spacing w:line="276" w:lineRule="auto"/>
        <w:ind w:firstLine="420"/>
        <w:rPr>
          <w:rFonts w:ascii="Times New Roman" w:hAnsi="Times New Roman"/>
          <w:color w:val="auto"/>
          <w:highlight w:val="none"/>
        </w:rPr>
      </w:pPr>
      <w:bookmarkStart w:id="20" w:name="_Toc32022_WPSOffice_Level2"/>
      <w:r>
        <w:rPr>
          <w:rFonts w:hint="eastAsia" w:ascii="Times New Roman" w:hAnsi="Times New Roman"/>
          <w:color w:val="auto"/>
          <w:highlight w:val="none"/>
        </w:rPr>
        <w:t>b）电远传型；</w:t>
      </w:r>
      <w:bookmarkEnd w:id="20"/>
    </w:p>
    <w:p w14:paraId="4F310548">
      <w:pPr>
        <w:spacing w:line="276" w:lineRule="auto"/>
        <w:ind w:firstLine="420"/>
        <w:rPr>
          <w:rFonts w:ascii="Times New Roman" w:hAnsi="Times New Roman"/>
          <w:color w:val="auto"/>
          <w:highlight w:val="none"/>
        </w:rPr>
      </w:pPr>
      <w:bookmarkStart w:id="21" w:name="_Toc31_WPSOffice_Level2"/>
      <w:r>
        <w:rPr>
          <w:rFonts w:hint="eastAsia" w:ascii="Times New Roman" w:hAnsi="Times New Roman"/>
          <w:color w:val="auto"/>
          <w:highlight w:val="none"/>
        </w:rPr>
        <w:t>c）报警型。</w:t>
      </w:r>
      <w:bookmarkEnd w:id="21"/>
    </w:p>
    <w:p w14:paraId="2A601F1A">
      <w:pPr>
        <w:spacing w:line="276" w:lineRule="auto"/>
        <w:ind w:firstLine="420"/>
        <w:rPr>
          <w:rFonts w:ascii="Times New Roman" w:hAnsi="Times New Roman"/>
          <w:color w:val="auto"/>
          <w:highlight w:val="none"/>
        </w:rPr>
      </w:pPr>
      <w:r>
        <w:rPr>
          <w:rFonts w:hint="eastAsia" w:ascii="Times New Roman" w:hAnsi="Times New Roman"/>
          <w:color w:val="auto"/>
          <w:highlight w:val="none"/>
        </w:rPr>
        <w:t>注：可以适当组合成具有多种功能。</w:t>
      </w:r>
    </w:p>
    <w:p w14:paraId="40EBE7DA">
      <w:pPr>
        <w:spacing w:line="276" w:lineRule="auto"/>
        <w:rPr>
          <w:rFonts w:ascii="Times New Roman" w:hAnsi="Times New Roman"/>
          <w:b/>
          <w:bCs/>
          <w:color w:val="auto"/>
          <w:highlight w:val="none"/>
        </w:rPr>
      </w:pPr>
      <w:r>
        <w:rPr>
          <w:rFonts w:hint="eastAsia" w:ascii="Times New Roman" w:hAnsi="Times New Roman"/>
          <w:b/>
          <w:bCs/>
          <w:color w:val="auto"/>
          <w:highlight w:val="none"/>
        </w:rPr>
        <w:t>按适应环境分</w:t>
      </w:r>
    </w:p>
    <w:p w14:paraId="1F670B63">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流量计按适应环境分为：</w:t>
      </w:r>
    </w:p>
    <w:p w14:paraId="679FB7E0">
      <w:pPr>
        <w:spacing w:line="276" w:lineRule="auto"/>
        <w:ind w:firstLine="420"/>
        <w:rPr>
          <w:rFonts w:ascii="Times New Roman" w:hAnsi="Times New Roman"/>
          <w:color w:val="auto"/>
          <w:highlight w:val="none"/>
        </w:rPr>
      </w:pPr>
      <w:bookmarkStart w:id="22" w:name="_Toc2373_WPSOffice_Level2"/>
      <w:r>
        <w:rPr>
          <w:rFonts w:hint="eastAsia" w:ascii="Times New Roman" w:hAnsi="Times New Roman"/>
          <w:color w:val="auto"/>
          <w:highlight w:val="none"/>
        </w:rPr>
        <w:t>a）普通型；</w:t>
      </w:r>
      <w:bookmarkEnd w:id="22"/>
    </w:p>
    <w:p w14:paraId="5F81CA24">
      <w:pPr>
        <w:spacing w:line="276" w:lineRule="auto"/>
        <w:ind w:firstLine="420"/>
        <w:rPr>
          <w:rFonts w:ascii="Times New Roman" w:hAnsi="Times New Roman"/>
          <w:color w:val="auto"/>
          <w:highlight w:val="none"/>
        </w:rPr>
      </w:pPr>
      <w:bookmarkStart w:id="23" w:name="_Toc24130_WPSOffice_Level2"/>
      <w:r>
        <w:rPr>
          <w:rFonts w:hint="eastAsia" w:ascii="Times New Roman" w:hAnsi="Times New Roman"/>
          <w:color w:val="auto"/>
          <w:highlight w:val="none"/>
        </w:rPr>
        <w:t>b）防爆型。</w:t>
      </w:r>
      <w:bookmarkEnd w:id="23"/>
    </w:p>
    <w:p w14:paraId="7D073C64">
      <w:pPr>
        <w:spacing w:line="276" w:lineRule="auto"/>
        <w:outlineLvl w:val="1"/>
        <w:rPr>
          <w:rFonts w:ascii="Times New Roman" w:hAnsi="Times New Roman"/>
          <w:b/>
          <w:bCs/>
          <w:color w:val="auto"/>
          <w:highlight w:val="none"/>
        </w:rPr>
      </w:pPr>
      <w:bookmarkStart w:id="24" w:name="_Toc1710_WPSOffice_Level1"/>
      <w:bookmarkStart w:id="25" w:name="_Toc32022_WPSOffice_Level1"/>
      <w:bookmarkStart w:id="26" w:name="_Toc31653"/>
      <w:r>
        <w:rPr>
          <w:rFonts w:hint="eastAsia" w:ascii="Times New Roman" w:hAnsi="Times New Roman"/>
          <w:b/>
          <w:bCs/>
          <w:color w:val="auto"/>
          <w:highlight w:val="none"/>
        </w:rPr>
        <w:t>3.3 基本参数</w:t>
      </w:r>
      <w:bookmarkEnd w:id="24"/>
      <w:bookmarkEnd w:id="25"/>
      <w:bookmarkEnd w:id="26"/>
    </w:p>
    <w:p w14:paraId="21400F2D">
      <w:pPr>
        <w:spacing w:line="276" w:lineRule="auto"/>
        <w:rPr>
          <w:rFonts w:ascii="Times New Roman" w:hAnsi="Times New Roman"/>
          <w:b/>
          <w:bCs/>
          <w:color w:val="auto"/>
          <w:highlight w:val="none"/>
        </w:rPr>
      </w:pPr>
      <w:bookmarkStart w:id="27" w:name="_Toc22635_WPSOffice_Level2"/>
      <w:r>
        <w:rPr>
          <w:rFonts w:hint="eastAsia" w:ascii="Times New Roman" w:hAnsi="Times New Roman"/>
          <w:b/>
          <w:bCs/>
          <w:color w:val="auto"/>
          <w:highlight w:val="none"/>
        </w:rPr>
        <w:t>3.3.1 公称通径（DN）</w:t>
      </w:r>
      <w:bookmarkEnd w:id="27"/>
    </w:p>
    <w:p w14:paraId="1C39C72F">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流量计的公称通径系列值（mm）为：</w:t>
      </w:r>
    </w:p>
    <w:p w14:paraId="4B266545">
      <w:pPr>
        <w:spacing w:line="276" w:lineRule="auto"/>
        <w:ind w:firstLine="420"/>
        <w:rPr>
          <w:rFonts w:ascii="Times New Roman" w:hAnsi="Times New Roman"/>
          <w:color w:val="auto"/>
          <w:highlight w:val="none"/>
        </w:rPr>
      </w:pPr>
      <w:r>
        <w:rPr>
          <w:rFonts w:hint="eastAsia" w:ascii="Times New Roman" w:hAnsi="Times New Roman"/>
          <w:color w:val="auto"/>
          <w:highlight w:val="none"/>
        </w:rPr>
        <w:t>4，6，8，10，15，20，25</w:t>
      </w:r>
      <w:r>
        <w:rPr>
          <w:rFonts w:hint="eastAsia" w:ascii="Times New Roman" w:hAnsi="Times New Roman"/>
          <w:color w:val="auto"/>
          <w:highlight w:val="none"/>
          <w:lang w:eastAsia="zh-CN"/>
        </w:rPr>
        <w:t>，（</w:t>
      </w:r>
      <w:r>
        <w:rPr>
          <w:rFonts w:hint="eastAsia" w:ascii="Times New Roman" w:hAnsi="Times New Roman"/>
          <w:color w:val="auto"/>
          <w:highlight w:val="none"/>
        </w:rPr>
        <w:t>32</w:t>
      </w:r>
      <w:r>
        <w:rPr>
          <w:rFonts w:hint="eastAsia" w:ascii="Times New Roman" w:hAnsi="Times New Roman"/>
          <w:color w:val="auto"/>
          <w:highlight w:val="none"/>
          <w:lang w:eastAsia="zh-CN"/>
        </w:rPr>
        <w:t>）</w:t>
      </w:r>
      <w:r>
        <w:rPr>
          <w:rFonts w:hint="eastAsia" w:ascii="Times New Roman" w:hAnsi="Times New Roman"/>
          <w:color w:val="auto"/>
          <w:highlight w:val="none"/>
        </w:rPr>
        <w:t>，40，50，</w:t>
      </w:r>
      <w:r>
        <w:rPr>
          <w:rFonts w:hint="eastAsia" w:ascii="Times New Roman" w:hAnsi="Times New Roman"/>
          <w:color w:val="auto"/>
          <w:highlight w:val="none"/>
          <w:lang w:eastAsia="zh-CN"/>
        </w:rPr>
        <w:t>（</w:t>
      </w:r>
      <w:r>
        <w:rPr>
          <w:rFonts w:hint="eastAsia" w:ascii="Times New Roman" w:hAnsi="Times New Roman"/>
          <w:color w:val="auto"/>
          <w:highlight w:val="none"/>
        </w:rPr>
        <w:t>65</w:t>
      </w:r>
      <w:r>
        <w:rPr>
          <w:rFonts w:hint="eastAsia" w:ascii="Times New Roman" w:hAnsi="Times New Roman"/>
          <w:color w:val="auto"/>
          <w:highlight w:val="none"/>
          <w:lang w:eastAsia="zh-CN"/>
        </w:rPr>
        <w:t>）</w:t>
      </w:r>
      <w:r>
        <w:rPr>
          <w:rFonts w:hint="eastAsia" w:ascii="Times New Roman" w:hAnsi="Times New Roman"/>
          <w:color w:val="auto"/>
          <w:highlight w:val="none"/>
        </w:rPr>
        <w:t>，80，100，</w:t>
      </w:r>
      <w:r>
        <w:rPr>
          <w:rFonts w:hint="eastAsia" w:ascii="Times New Roman" w:hAnsi="Times New Roman"/>
          <w:color w:val="auto"/>
          <w:highlight w:val="none"/>
          <w:lang w:eastAsia="zh-CN"/>
        </w:rPr>
        <w:t>（</w:t>
      </w:r>
      <w:r>
        <w:rPr>
          <w:rFonts w:hint="eastAsia" w:ascii="Times New Roman" w:hAnsi="Times New Roman"/>
          <w:color w:val="auto"/>
          <w:highlight w:val="none"/>
        </w:rPr>
        <w:t>125</w:t>
      </w:r>
      <w:r>
        <w:rPr>
          <w:rFonts w:hint="eastAsia" w:ascii="Times New Roman" w:hAnsi="Times New Roman"/>
          <w:color w:val="auto"/>
          <w:highlight w:val="none"/>
          <w:lang w:eastAsia="zh-CN"/>
        </w:rPr>
        <w:t>）</w:t>
      </w:r>
      <w:r>
        <w:rPr>
          <w:rFonts w:hint="eastAsia" w:ascii="Times New Roman" w:hAnsi="Times New Roman"/>
          <w:color w:val="auto"/>
          <w:highlight w:val="none"/>
        </w:rPr>
        <w:t>，150，200，250。</w:t>
      </w:r>
    </w:p>
    <w:p w14:paraId="088A1EAF">
      <w:pPr>
        <w:spacing w:line="276" w:lineRule="auto"/>
        <w:ind w:firstLine="420"/>
        <w:rPr>
          <w:rFonts w:ascii="Times New Roman" w:hAnsi="Times New Roman"/>
          <w:color w:val="auto"/>
          <w:highlight w:val="none"/>
        </w:rPr>
      </w:pPr>
      <w:r>
        <w:rPr>
          <w:rFonts w:hint="eastAsia" w:ascii="Times New Roman" w:hAnsi="Times New Roman"/>
          <w:color w:val="auto"/>
          <w:highlight w:val="none"/>
        </w:rPr>
        <w:t>注：括号内的数值为非优选值。</w:t>
      </w:r>
    </w:p>
    <w:p w14:paraId="5FE40F0B">
      <w:pPr>
        <w:spacing w:line="276" w:lineRule="auto"/>
        <w:rPr>
          <w:rFonts w:ascii="Times New Roman" w:hAnsi="Times New Roman"/>
          <w:b/>
          <w:bCs/>
          <w:color w:val="auto"/>
          <w:highlight w:val="none"/>
        </w:rPr>
      </w:pPr>
      <w:bookmarkStart w:id="28" w:name="_Toc24383_WPSOffice_Level2"/>
      <w:r>
        <w:rPr>
          <w:rFonts w:hint="eastAsia" w:ascii="Times New Roman" w:hAnsi="Times New Roman"/>
          <w:b/>
          <w:bCs/>
          <w:color w:val="auto"/>
          <w:highlight w:val="none"/>
        </w:rPr>
        <w:t>3.3.2 公称工作压力</w:t>
      </w:r>
      <w:bookmarkEnd w:id="28"/>
    </w:p>
    <w:p w14:paraId="4D7DF7A1">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流量计常用的公称工作压力系列值（MPa）为：</w:t>
      </w:r>
    </w:p>
    <w:p w14:paraId="2AA8672F">
      <w:pPr>
        <w:spacing w:line="276" w:lineRule="auto"/>
        <w:ind w:firstLine="420"/>
        <w:rPr>
          <w:rFonts w:hint="eastAsia" w:ascii="Times New Roman" w:hAnsi="Times New Roman" w:eastAsia="宋体"/>
          <w:color w:val="auto"/>
          <w:highlight w:val="none"/>
          <w:lang w:eastAsia="zh-CN"/>
        </w:rPr>
      </w:pPr>
      <w:r>
        <w:rPr>
          <w:rFonts w:hint="eastAsia" w:ascii="Times New Roman" w:hAnsi="Times New Roman"/>
          <w:color w:val="auto"/>
          <w:highlight w:val="none"/>
        </w:rPr>
        <w:t>1.0， 1.6， 2.5，4.0，6.3， 10</w:t>
      </w:r>
      <w:r>
        <w:rPr>
          <w:rFonts w:hint="eastAsia" w:ascii="Times New Roman" w:hAnsi="Times New Roman"/>
          <w:color w:val="auto"/>
          <w:highlight w:val="none"/>
          <w:lang w:eastAsia="zh-CN"/>
        </w:rPr>
        <w:t>，</w:t>
      </w:r>
      <w:r>
        <w:rPr>
          <w:rFonts w:hint="eastAsia" w:ascii="Times New Roman" w:hAnsi="Times New Roman"/>
          <w:color w:val="auto"/>
          <w:highlight w:val="none"/>
          <w:lang w:val="en-US" w:eastAsia="zh-CN"/>
        </w:rPr>
        <w:t>15，20，25</w:t>
      </w:r>
      <w:r>
        <w:rPr>
          <w:rFonts w:hint="eastAsia" w:ascii="Times New Roman" w:hAnsi="Times New Roman"/>
          <w:color w:val="auto"/>
          <w:highlight w:val="none"/>
          <w:lang w:eastAsia="zh-CN"/>
        </w:rPr>
        <w:t>。</w:t>
      </w:r>
    </w:p>
    <w:p w14:paraId="58FE1A8F">
      <w:pPr>
        <w:spacing w:line="276" w:lineRule="auto"/>
        <w:rPr>
          <w:rFonts w:ascii="Times New Roman" w:hAnsi="Times New Roman"/>
          <w:b/>
          <w:bCs/>
          <w:color w:val="auto"/>
          <w:highlight w:val="none"/>
        </w:rPr>
      </w:pPr>
      <w:bookmarkStart w:id="29" w:name="_Toc2249_WPSOffice_Level2"/>
      <w:r>
        <w:rPr>
          <w:rFonts w:hint="eastAsia" w:ascii="Times New Roman" w:hAnsi="Times New Roman"/>
          <w:b/>
          <w:bCs/>
          <w:color w:val="auto"/>
          <w:highlight w:val="none"/>
        </w:rPr>
        <w:t>3.3.3准确度等级</w:t>
      </w:r>
      <w:bookmarkEnd w:id="29"/>
    </w:p>
    <w:p w14:paraId="6EE2570E">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流量计的准确度等级分为:</w:t>
      </w:r>
    </w:p>
    <w:p w14:paraId="0E327BB8">
      <w:pPr>
        <w:spacing w:line="276" w:lineRule="auto"/>
        <w:ind w:firstLine="420"/>
        <w:rPr>
          <w:rFonts w:ascii="Times New Roman" w:hAnsi="Times New Roman"/>
          <w:color w:val="auto"/>
          <w:highlight w:val="none"/>
        </w:rPr>
      </w:pPr>
      <w:r>
        <w:rPr>
          <w:rFonts w:hint="eastAsia" w:ascii="Times New Roman" w:hAnsi="Times New Roman"/>
          <w:color w:val="auto"/>
          <w:highlight w:val="none"/>
        </w:rPr>
        <w:t>1.0， 1.5，(2.0)，2.5，4.0。</w:t>
      </w:r>
    </w:p>
    <w:p w14:paraId="3F71C6AF">
      <w:pPr>
        <w:spacing w:line="276" w:lineRule="auto"/>
        <w:ind w:firstLine="420"/>
        <w:rPr>
          <w:rFonts w:ascii="Times New Roman" w:hAnsi="Times New Roman"/>
          <w:color w:val="auto"/>
          <w:highlight w:val="none"/>
        </w:rPr>
      </w:pPr>
      <w:r>
        <w:rPr>
          <w:rFonts w:hint="eastAsia" w:ascii="Times New Roman" w:hAnsi="Times New Roman"/>
          <w:color w:val="auto"/>
          <w:highlight w:val="none"/>
        </w:rPr>
        <w:t>注：括号内的等级为非优选等级。</w:t>
      </w:r>
    </w:p>
    <w:p w14:paraId="2712684C">
      <w:pPr>
        <w:spacing w:line="276" w:lineRule="auto"/>
        <w:rPr>
          <w:rFonts w:ascii="Times New Roman" w:hAnsi="Times New Roman"/>
          <w:b/>
          <w:bCs/>
          <w:color w:val="auto"/>
          <w:highlight w:val="none"/>
        </w:rPr>
      </w:pPr>
      <w:bookmarkStart w:id="30" w:name="_Toc14415_WPSOffice_Level2"/>
      <w:r>
        <w:rPr>
          <w:rFonts w:hint="eastAsia" w:ascii="Times New Roman" w:hAnsi="Times New Roman"/>
          <w:b/>
          <w:bCs/>
          <w:color w:val="auto"/>
          <w:highlight w:val="none"/>
        </w:rPr>
        <w:t>3.3.4 流量测量范围上限值数系</w:t>
      </w:r>
      <w:bookmarkEnd w:id="30"/>
    </w:p>
    <w:p w14:paraId="30467D37">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流量计的流量测量范围上限值数系按公式（1）计算。</w:t>
      </w:r>
    </w:p>
    <w:p w14:paraId="4169E720">
      <w:pPr>
        <w:spacing w:line="276" w:lineRule="auto"/>
        <w:ind w:firstLine="420"/>
        <w:rPr>
          <w:rFonts w:ascii="Times New Roman" w:hAnsi="Times New Roman"/>
          <w:color w:val="auto"/>
          <w:highlight w:val="none"/>
        </w:rPr>
      </w:pPr>
      <w:r>
        <w:rPr>
          <w:rFonts w:ascii="Times New Roman" w:hAnsi="Times New Roman"/>
          <w:color w:val="auto"/>
          <w:highlight w:val="none"/>
        </w:rPr>
        <w:tab/>
      </w:r>
      <w:r>
        <w:rPr>
          <w:rFonts w:ascii="Times New Roman" w:hAnsi="Times New Roman"/>
          <w:color w:val="auto"/>
          <w:highlight w:val="none"/>
        </w:rPr>
        <w:tab/>
      </w:r>
      <w:r>
        <w:rPr>
          <w:rFonts w:ascii="Times New Roman" w:hAnsi="Times New Roman"/>
          <w:color w:val="auto"/>
          <w:highlight w:val="none"/>
        </w:rPr>
        <w:tab/>
      </w:r>
      <w:r>
        <w:rPr>
          <w:rFonts w:ascii="Times New Roman" w:hAnsi="Times New Roman"/>
          <w:color w:val="auto"/>
          <w:highlight w:val="none"/>
        </w:rPr>
        <w:tab/>
      </w:r>
      <w:r>
        <w:rPr>
          <w:rFonts w:hint="eastAsia" w:ascii="Times New Roman" w:hAnsi="Times New Roman"/>
          <w:color w:val="auto"/>
          <w:highlight w:val="none"/>
        </w:rPr>
        <w:t xml:space="preserve"> </w:t>
      </w:r>
      <m:oMath>
        <m:r>
          <m:rPr/>
          <w:rPr>
            <w:rFonts w:ascii="Cambria Math" w:hAnsi="Cambria Math"/>
            <w:color w:val="auto"/>
            <w:highlight w:val="none"/>
          </w:rPr>
          <m:t>A=α×</m:t>
        </m:r>
        <m:sSup>
          <m:sSupPr>
            <m:ctrlPr>
              <w:rPr>
                <w:rFonts w:ascii="Cambria Math" w:hAnsi="Cambria Math"/>
                <w:i/>
                <w:color w:val="auto"/>
                <w:highlight w:val="none"/>
              </w:rPr>
            </m:ctrlPr>
          </m:sSupPr>
          <m:e>
            <m:r>
              <m:rPr/>
              <w:rPr>
                <w:rFonts w:ascii="Cambria Math" w:hAnsi="Cambria Math"/>
                <w:color w:val="auto"/>
                <w:highlight w:val="none"/>
              </w:rPr>
              <m:t xml:space="preserve"> 10</m:t>
            </m:r>
            <m:ctrlPr>
              <w:rPr>
                <w:rFonts w:ascii="Cambria Math" w:hAnsi="Cambria Math"/>
                <w:i/>
                <w:color w:val="auto"/>
                <w:highlight w:val="none"/>
              </w:rPr>
            </m:ctrlPr>
          </m:e>
          <m:sup>
            <m:r>
              <m:rPr/>
              <w:rPr>
                <w:rFonts w:ascii="Cambria Math" w:hAnsi="Cambria Math"/>
                <w:color w:val="auto"/>
                <w:highlight w:val="none"/>
              </w:rPr>
              <m:t>n</m:t>
            </m:r>
            <m:ctrlPr>
              <w:rPr>
                <w:rFonts w:ascii="Cambria Math" w:hAnsi="Cambria Math"/>
                <w:i/>
                <w:color w:val="auto"/>
                <w:highlight w:val="none"/>
              </w:rPr>
            </m:ctrlPr>
          </m:sup>
        </m:sSup>
      </m:oMath>
      <w:r>
        <w:rPr>
          <w:rFonts w:hint="eastAsia" w:ascii="Times New Roman" w:hAnsi="Times New Roman"/>
          <w:color w:val="auto"/>
          <w:highlight w:val="none"/>
        </w:rPr>
        <w:t xml:space="preserve"> -------------------------------------------------------(1)</w:t>
      </w:r>
    </w:p>
    <w:p w14:paraId="4A969E73">
      <w:pPr>
        <w:spacing w:line="276" w:lineRule="auto"/>
        <w:ind w:firstLine="420"/>
        <w:rPr>
          <w:rFonts w:ascii="Times New Roman" w:hAnsi="Times New Roman"/>
          <w:color w:val="auto"/>
          <w:highlight w:val="none"/>
        </w:rPr>
      </w:pPr>
      <w:r>
        <w:rPr>
          <w:rFonts w:hint="eastAsia" w:ascii="Times New Roman" w:hAnsi="Times New Roman"/>
          <w:color w:val="auto"/>
          <w:highlight w:val="none"/>
        </w:rPr>
        <w:t>式中：</w:t>
      </w:r>
    </w:p>
    <w:p w14:paraId="64AD8D0A">
      <w:pPr>
        <w:spacing w:line="276" w:lineRule="auto"/>
        <w:ind w:firstLine="420"/>
        <w:rPr>
          <w:rFonts w:ascii="Times New Roman" w:hAnsi="Times New Roman"/>
          <w:color w:val="auto"/>
          <w:highlight w:val="none"/>
        </w:rPr>
      </w:pPr>
      <w:r>
        <w:rPr>
          <w:rFonts w:hint="eastAsia" w:ascii="Times New Roman" w:hAnsi="Times New Roman"/>
          <w:color w:val="auto"/>
          <w:highlight w:val="none"/>
        </w:rPr>
        <w:t>A——流量计流量测量范围上限值数系；</w:t>
      </w:r>
    </w:p>
    <w:p w14:paraId="3146F0F6">
      <w:pPr>
        <w:spacing w:line="276" w:lineRule="auto"/>
        <w:ind w:firstLine="420"/>
        <w:rPr>
          <w:rFonts w:ascii="Times New Roman" w:hAnsi="Times New Roman"/>
          <w:color w:val="auto"/>
          <w:highlight w:val="none"/>
        </w:rPr>
      </w:pPr>
      <w:bookmarkStart w:id="31" w:name="_Hlk198994245"/>
      <m:oMath>
        <m:r>
          <m:rPr/>
          <w:rPr>
            <w:rFonts w:ascii="Cambria Math" w:hAnsi="Cambria Math"/>
            <w:color w:val="auto"/>
            <w:highlight w:val="none"/>
          </w:rPr>
          <m:t>α</m:t>
        </m:r>
      </m:oMath>
      <w:bookmarkEnd w:id="31"/>
      <w:r>
        <w:rPr>
          <w:rFonts w:hint="eastAsia" w:ascii="Times New Roman" w:hAnsi="Times New Roman"/>
          <w:color w:val="auto"/>
          <w:highlight w:val="none"/>
        </w:rPr>
        <w:t>——1，1.2，1.6，2.0，2.5，3，4，5，6（6.3)， 8 中任一数值；|</w:t>
      </w:r>
    </w:p>
    <w:p w14:paraId="30D6A34C">
      <w:pPr>
        <w:spacing w:line="276" w:lineRule="auto"/>
        <w:ind w:firstLine="420"/>
        <w:rPr>
          <w:rFonts w:ascii="Times New Roman" w:hAnsi="Times New Roman"/>
          <w:color w:val="auto"/>
          <w:highlight w:val="none"/>
        </w:rPr>
      </w:pPr>
      <w:r>
        <w:rPr>
          <w:rFonts w:hint="eastAsia" w:ascii="Times New Roman" w:hAnsi="Times New Roman"/>
          <w:color w:val="auto"/>
          <w:highlight w:val="none"/>
        </w:rPr>
        <w:t>n——任意正、负整数或零。</w:t>
      </w:r>
    </w:p>
    <w:p w14:paraId="0F2D7173">
      <w:pPr>
        <w:spacing w:line="276" w:lineRule="auto"/>
        <w:ind w:firstLine="420"/>
        <w:rPr>
          <w:rFonts w:ascii="Times New Roman" w:hAnsi="Times New Roman"/>
          <w:color w:val="auto"/>
          <w:highlight w:val="none"/>
        </w:rPr>
      </w:pPr>
      <w:r>
        <w:rPr>
          <w:rFonts w:hint="eastAsia" w:ascii="Times New Roman" w:hAnsi="Times New Roman"/>
          <w:color w:val="auto"/>
          <w:highlight w:val="none"/>
        </w:rPr>
        <w:t>注：流量测量范围上限值均指在标准状态（20℃、101.325 kPa）下的流量值。</w:t>
      </w:r>
    </w:p>
    <w:p w14:paraId="08161369">
      <w:pPr>
        <w:spacing w:line="276" w:lineRule="auto"/>
        <w:rPr>
          <w:rFonts w:ascii="Times New Roman" w:hAnsi="Times New Roman"/>
          <w:b/>
          <w:bCs/>
          <w:color w:val="auto"/>
          <w:highlight w:val="none"/>
        </w:rPr>
      </w:pPr>
      <w:bookmarkStart w:id="32" w:name="_Toc12991_WPSOffice_Level2"/>
      <w:r>
        <w:rPr>
          <w:rFonts w:hint="eastAsia" w:ascii="Times New Roman" w:hAnsi="Times New Roman"/>
          <w:b/>
          <w:bCs/>
          <w:color w:val="auto"/>
          <w:highlight w:val="none"/>
        </w:rPr>
        <w:t>3.3.5 范围度</w:t>
      </w:r>
      <w:bookmarkEnd w:id="32"/>
    </w:p>
    <w:p w14:paraId="34FA9B3F">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流量计的流量测量范围度应大于或等于 5：1。</w:t>
      </w:r>
    </w:p>
    <w:p w14:paraId="289411BF">
      <w:pPr>
        <w:spacing w:line="276" w:lineRule="auto"/>
        <w:rPr>
          <w:rFonts w:ascii="Times New Roman" w:hAnsi="Times New Roman"/>
          <w:b/>
          <w:bCs/>
          <w:color w:val="auto"/>
          <w:highlight w:val="none"/>
        </w:rPr>
      </w:pPr>
      <w:bookmarkStart w:id="33" w:name="_Toc16409_WPSOffice_Level2"/>
      <w:r>
        <w:rPr>
          <w:rFonts w:hint="eastAsia" w:ascii="Times New Roman" w:hAnsi="Times New Roman"/>
          <w:b/>
          <w:bCs/>
          <w:color w:val="auto"/>
          <w:highlight w:val="none"/>
        </w:rPr>
        <w:t>3.3.6 工作流体的温度</w:t>
      </w:r>
      <w:bookmarkEnd w:id="33"/>
    </w:p>
    <w:p w14:paraId="4BE321EE">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流量计的工作流体温度为：</w:t>
      </w:r>
    </w:p>
    <w:p w14:paraId="2517A773">
      <w:pPr>
        <w:spacing w:line="276" w:lineRule="auto"/>
        <w:ind w:firstLine="420"/>
        <w:rPr>
          <w:rFonts w:ascii="Times New Roman" w:hAnsi="Times New Roman"/>
          <w:color w:val="auto"/>
          <w:highlight w:val="none"/>
        </w:rPr>
      </w:pPr>
      <w:bookmarkStart w:id="34" w:name="_Toc6910_WPSOffice_Level2"/>
      <w:r>
        <w:rPr>
          <w:rFonts w:hint="eastAsia" w:ascii="Times New Roman" w:hAnsi="Times New Roman"/>
          <w:color w:val="auto"/>
          <w:highlight w:val="none"/>
        </w:rPr>
        <w:t>a）上限温度范围：</w:t>
      </w:r>
      <w:r>
        <w:rPr>
          <w:rFonts w:hint="eastAsia" w:ascii="Times New Roman" w:hAnsi="Times New Roman"/>
          <w:color w:val="auto"/>
          <w:highlight w:val="none"/>
          <w:lang w:val="en-US" w:eastAsia="zh-CN"/>
        </w:rPr>
        <w:t>60</w:t>
      </w:r>
      <w:r>
        <w:rPr>
          <w:rFonts w:hint="eastAsia" w:ascii="Times New Roman" w:hAnsi="Times New Roman"/>
          <w:color w:val="auto"/>
          <w:highlight w:val="none"/>
        </w:rPr>
        <w:t>℃～</w:t>
      </w:r>
      <w:r>
        <w:rPr>
          <w:rFonts w:hint="eastAsia" w:ascii="Times New Roman" w:hAnsi="Times New Roman"/>
          <w:color w:val="auto"/>
          <w:highlight w:val="none"/>
          <w:lang w:val="en-US" w:eastAsia="zh-CN"/>
        </w:rPr>
        <w:t>100</w:t>
      </w:r>
      <w:r>
        <w:rPr>
          <w:rFonts w:hint="eastAsia" w:ascii="Times New Roman" w:hAnsi="Times New Roman"/>
          <w:color w:val="auto"/>
          <w:highlight w:val="none"/>
        </w:rPr>
        <w:t>℃；</w:t>
      </w:r>
      <w:bookmarkEnd w:id="34"/>
    </w:p>
    <w:p w14:paraId="0F201113">
      <w:pPr>
        <w:spacing w:line="276" w:lineRule="auto"/>
        <w:ind w:firstLine="420"/>
        <w:rPr>
          <w:rFonts w:ascii="Times New Roman" w:hAnsi="Times New Roman"/>
          <w:color w:val="auto"/>
          <w:highlight w:val="none"/>
        </w:rPr>
      </w:pPr>
      <w:bookmarkStart w:id="35" w:name="_Toc22180_WPSOffice_Level2"/>
      <w:r>
        <w:rPr>
          <w:rFonts w:hint="eastAsia" w:ascii="Times New Roman" w:hAnsi="Times New Roman"/>
          <w:color w:val="auto"/>
          <w:highlight w:val="none"/>
        </w:rPr>
        <w:t>b）下限温度范围：-80℃～0℃。</w:t>
      </w:r>
      <w:bookmarkEnd w:id="35"/>
    </w:p>
    <w:p w14:paraId="2D1D6546">
      <w:pPr>
        <w:spacing w:line="276" w:lineRule="auto"/>
        <w:rPr>
          <w:rFonts w:ascii="Times New Roman" w:hAnsi="Times New Roman"/>
          <w:b/>
          <w:bCs/>
          <w:color w:val="auto"/>
          <w:highlight w:val="none"/>
        </w:rPr>
      </w:pPr>
      <w:bookmarkStart w:id="36" w:name="_Toc32545_WPSOffice_Level2"/>
      <w:r>
        <w:rPr>
          <w:rFonts w:hint="eastAsia" w:ascii="Times New Roman" w:hAnsi="Times New Roman"/>
          <w:b/>
          <w:bCs/>
          <w:color w:val="auto"/>
          <w:highlight w:val="none"/>
        </w:rPr>
        <w:t>3.3.7 供电电源</w:t>
      </w:r>
      <w:bookmarkEnd w:id="36"/>
    </w:p>
    <w:p w14:paraId="45CB1A27">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流量计采用下列电源供电：</w:t>
      </w:r>
    </w:p>
    <w:p w14:paraId="1B00F8F3">
      <w:pPr>
        <w:spacing w:line="276" w:lineRule="auto"/>
        <w:ind w:firstLine="420"/>
        <w:rPr>
          <w:rFonts w:ascii="Times New Roman" w:hAnsi="Times New Roman"/>
          <w:color w:val="auto"/>
          <w:highlight w:val="none"/>
        </w:rPr>
      </w:pPr>
      <w:bookmarkStart w:id="37" w:name="_Toc29195_WPSOffice_Level2"/>
      <w:r>
        <w:rPr>
          <w:rFonts w:hint="eastAsia" w:ascii="Times New Roman" w:hAnsi="Times New Roman"/>
          <w:color w:val="auto"/>
          <w:highlight w:val="none"/>
        </w:rPr>
        <w:t>a）交流电源：220 V，50 Hz</w:t>
      </w:r>
      <w:bookmarkEnd w:id="37"/>
      <w:r>
        <w:rPr>
          <w:rFonts w:hint="eastAsia" w:ascii="Times New Roman" w:hAnsi="Times New Roman"/>
          <w:color w:val="auto"/>
          <w:highlight w:val="none"/>
        </w:rPr>
        <w:t>；</w:t>
      </w:r>
    </w:p>
    <w:p w14:paraId="63F9DDA6">
      <w:pPr>
        <w:spacing w:line="276" w:lineRule="auto"/>
        <w:ind w:firstLine="420"/>
        <w:rPr>
          <w:rFonts w:ascii="Times New Roman" w:hAnsi="Times New Roman"/>
          <w:color w:val="auto"/>
          <w:highlight w:val="none"/>
        </w:rPr>
      </w:pPr>
      <w:bookmarkStart w:id="38" w:name="_Toc6172_WPSOffice_Level2"/>
      <w:r>
        <w:rPr>
          <w:rFonts w:hint="eastAsia" w:ascii="Times New Roman" w:hAnsi="Times New Roman"/>
          <w:color w:val="auto"/>
          <w:highlight w:val="none"/>
        </w:rPr>
        <w:t>b）直流电源：3.6 V，12 V，24 V，36V 任选。</w:t>
      </w:r>
      <w:bookmarkEnd w:id="38"/>
    </w:p>
    <w:p w14:paraId="7F5C993B">
      <w:pPr>
        <w:spacing w:line="276" w:lineRule="auto"/>
        <w:rPr>
          <w:rFonts w:ascii="Times New Roman" w:hAnsi="Times New Roman"/>
          <w:b/>
          <w:bCs/>
          <w:color w:val="auto"/>
          <w:highlight w:val="none"/>
        </w:rPr>
      </w:pPr>
      <w:bookmarkStart w:id="39" w:name="_Toc7594_WPSOffice_Level2"/>
      <w:r>
        <w:rPr>
          <w:rFonts w:hint="eastAsia" w:ascii="Times New Roman" w:hAnsi="Times New Roman"/>
          <w:b/>
          <w:bCs/>
          <w:color w:val="auto"/>
          <w:highlight w:val="none"/>
        </w:rPr>
        <w:t>3.3.8 输出信号</w:t>
      </w:r>
      <w:bookmarkEnd w:id="39"/>
    </w:p>
    <w:p w14:paraId="0C904FC5">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流量计采用以下输出信号：</w:t>
      </w:r>
    </w:p>
    <w:p w14:paraId="739E36C8">
      <w:pPr>
        <w:spacing w:line="276" w:lineRule="auto"/>
        <w:ind w:firstLine="420"/>
        <w:rPr>
          <w:rFonts w:ascii="Times New Roman" w:hAnsi="Times New Roman"/>
          <w:color w:val="auto"/>
          <w:highlight w:val="none"/>
        </w:rPr>
      </w:pPr>
      <w:bookmarkStart w:id="40" w:name="_Toc2347_WPSOffice_Level2"/>
      <w:r>
        <w:rPr>
          <w:rFonts w:hint="eastAsia" w:ascii="Times New Roman" w:hAnsi="Times New Roman"/>
          <w:color w:val="auto"/>
          <w:highlight w:val="none"/>
        </w:rPr>
        <w:t>a）直流电流信号：0 mA～10 mA 或4 mA～20 mA；</w:t>
      </w:r>
      <w:bookmarkEnd w:id="40"/>
    </w:p>
    <w:p w14:paraId="67E2185E">
      <w:pPr>
        <w:spacing w:line="276" w:lineRule="auto"/>
        <w:ind w:firstLine="420"/>
        <w:rPr>
          <w:rFonts w:ascii="Times New Roman" w:hAnsi="Times New Roman"/>
          <w:color w:val="auto"/>
          <w:highlight w:val="none"/>
        </w:rPr>
      </w:pPr>
      <w:bookmarkStart w:id="41" w:name="_Toc26588_WPSOffice_Level2"/>
      <w:r>
        <w:rPr>
          <w:rFonts w:hint="eastAsia" w:ascii="Times New Roman" w:hAnsi="Times New Roman"/>
          <w:color w:val="auto"/>
          <w:highlight w:val="none"/>
        </w:rPr>
        <w:t>b）直流电压信号：0V～10V或1V～5 V；</w:t>
      </w:r>
      <w:bookmarkEnd w:id="41"/>
    </w:p>
    <w:p w14:paraId="01EAF303">
      <w:pPr>
        <w:spacing w:line="276" w:lineRule="auto"/>
        <w:ind w:firstLine="420"/>
        <w:rPr>
          <w:rFonts w:ascii="Times New Roman" w:hAnsi="Times New Roman"/>
          <w:color w:val="auto"/>
          <w:highlight w:val="none"/>
        </w:rPr>
      </w:pPr>
      <w:bookmarkStart w:id="42" w:name="_Toc26398_WPSOffice_Level2"/>
      <w:r>
        <w:rPr>
          <w:rFonts w:hint="eastAsia" w:ascii="Times New Roman" w:hAnsi="Times New Roman"/>
          <w:color w:val="auto"/>
          <w:highlight w:val="none"/>
        </w:rPr>
        <w:t>c）电脉冲信号；</w:t>
      </w:r>
      <w:bookmarkEnd w:id="42"/>
    </w:p>
    <w:p w14:paraId="7E23E56A">
      <w:pPr>
        <w:spacing w:line="276" w:lineRule="auto"/>
        <w:ind w:firstLine="420"/>
        <w:rPr>
          <w:rFonts w:ascii="Times New Roman" w:hAnsi="Times New Roman"/>
          <w:color w:val="auto"/>
          <w:highlight w:val="none"/>
        </w:rPr>
      </w:pPr>
      <w:bookmarkStart w:id="43" w:name="_Toc23173_WPSOffice_Level2"/>
      <w:r>
        <w:rPr>
          <w:rFonts w:hint="eastAsia" w:ascii="Times New Roman" w:hAnsi="Times New Roman"/>
          <w:color w:val="auto"/>
          <w:highlight w:val="none"/>
        </w:rPr>
        <w:t>d）通信信号；</w:t>
      </w:r>
      <w:bookmarkEnd w:id="43"/>
    </w:p>
    <w:p w14:paraId="12C5170C">
      <w:pPr>
        <w:spacing w:line="276" w:lineRule="auto"/>
        <w:ind w:firstLine="420"/>
        <w:rPr>
          <w:rFonts w:ascii="Times New Roman" w:hAnsi="Times New Roman"/>
          <w:color w:val="auto"/>
          <w:highlight w:val="none"/>
        </w:rPr>
      </w:pPr>
      <w:bookmarkStart w:id="44" w:name="_Toc9023_WPSOffice_Level2"/>
      <w:r>
        <w:rPr>
          <w:rFonts w:hint="eastAsia" w:ascii="Times New Roman" w:hAnsi="Times New Roman"/>
          <w:color w:val="auto"/>
          <w:highlight w:val="none"/>
        </w:rPr>
        <w:t>e）报警信号。</w:t>
      </w:r>
      <w:bookmarkEnd w:id="44"/>
    </w:p>
    <w:p w14:paraId="56EDEB79">
      <w:pPr>
        <w:spacing w:line="276" w:lineRule="auto"/>
        <w:rPr>
          <w:rFonts w:ascii="Times New Roman" w:hAnsi="Times New Roman"/>
          <w:b/>
          <w:bCs/>
          <w:color w:val="auto"/>
          <w:highlight w:val="none"/>
        </w:rPr>
      </w:pPr>
      <w:bookmarkStart w:id="45" w:name="_Toc15603_WPSOffice_Level2"/>
      <w:r>
        <w:rPr>
          <w:rFonts w:hint="eastAsia" w:ascii="Times New Roman" w:hAnsi="Times New Roman"/>
          <w:b/>
          <w:bCs/>
          <w:color w:val="auto"/>
          <w:highlight w:val="none"/>
        </w:rPr>
        <w:t>3.3.9 工作环境条件</w:t>
      </w:r>
      <w:bookmarkEnd w:id="45"/>
    </w:p>
    <w:p w14:paraId="6A8FA3B7">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流量计的工作环境条件如下：</w:t>
      </w:r>
    </w:p>
    <w:p w14:paraId="65D91E5F">
      <w:pPr>
        <w:spacing w:line="276" w:lineRule="auto"/>
        <w:ind w:firstLine="420"/>
        <w:rPr>
          <w:rFonts w:ascii="Times New Roman" w:hAnsi="Times New Roman"/>
          <w:color w:val="auto"/>
          <w:highlight w:val="none"/>
        </w:rPr>
      </w:pPr>
      <w:bookmarkStart w:id="46" w:name="_Toc15904_WPSOffice_Level2"/>
      <w:r>
        <w:rPr>
          <w:rFonts w:hint="eastAsia" w:ascii="Times New Roman" w:hAnsi="Times New Roman"/>
          <w:color w:val="auto"/>
          <w:highlight w:val="none"/>
        </w:rPr>
        <w:t>a）环境温度：-10℃～55℃或-25℃～55℃，或按用户要求</w:t>
      </w:r>
      <w:bookmarkEnd w:id="46"/>
      <w:r>
        <w:rPr>
          <w:rFonts w:hint="eastAsia" w:ascii="Times New Roman" w:hAnsi="Times New Roman"/>
          <w:color w:val="auto"/>
          <w:highlight w:val="none"/>
        </w:rPr>
        <w:t>；</w:t>
      </w:r>
    </w:p>
    <w:p w14:paraId="2F174B7E">
      <w:pPr>
        <w:spacing w:line="276" w:lineRule="auto"/>
        <w:ind w:firstLine="420"/>
        <w:rPr>
          <w:rFonts w:ascii="Times New Roman" w:hAnsi="Times New Roman"/>
          <w:color w:val="auto"/>
          <w:highlight w:val="none"/>
        </w:rPr>
      </w:pPr>
      <w:bookmarkStart w:id="47" w:name="_Toc4585_WPSOffice_Level2"/>
      <w:r>
        <w:rPr>
          <w:rFonts w:hint="eastAsia" w:ascii="Times New Roman" w:hAnsi="Times New Roman"/>
          <w:color w:val="auto"/>
          <w:highlight w:val="none"/>
        </w:rPr>
        <w:t>b）相对湿度：5%～95%；</w:t>
      </w:r>
      <w:bookmarkEnd w:id="47"/>
    </w:p>
    <w:p w14:paraId="655B1F6D">
      <w:pPr>
        <w:spacing w:line="276" w:lineRule="auto"/>
        <w:ind w:firstLine="420"/>
        <w:rPr>
          <w:rFonts w:ascii="Times New Roman" w:hAnsi="Times New Roman"/>
          <w:color w:val="auto"/>
          <w:highlight w:val="none"/>
        </w:rPr>
      </w:pPr>
      <w:bookmarkStart w:id="48" w:name="_Toc2576_WPSOffice_Level2"/>
      <w:r>
        <w:rPr>
          <w:rFonts w:hint="eastAsia" w:ascii="Times New Roman" w:hAnsi="Times New Roman"/>
          <w:color w:val="auto"/>
          <w:highlight w:val="none"/>
        </w:rPr>
        <w:t>c）大气压力：86 kPa～106 kPa。</w:t>
      </w:r>
      <w:bookmarkEnd w:id="48"/>
    </w:p>
    <w:p w14:paraId="3E9E3016">
      <w:pPr>
        <w:spacing w:line="276" w:lineRule="auto"/>
        <w:outlineLvl w:val="1"/>
        <w:rPr>
          <w:rFonts w:ascii="Times New Roman" w:hAnsi="Times New Roman"/>
          <w:b/>
          <w:bCs/>
          <w:color w:val="auto"/>
          <w:highlight w:val="none"/>
        </w:rPr>
      </w:pPr>
      <w:bookmarkStart w:id="49" w:name="_Toc31_WPSOffice_Level1"/>
      <w:bookmarkStart w:id="50" w:name="_Toc11947_WPSOffice_Level1"/>
      <w:bookmarkStart w:id="51" w:name="_Toc19350"/>
      <w:r>
        <w:rPr>
          <w:rFonts w:hint="eastAsia" w:ascii="Times New Roman" w:hAnsi="Times New Roman"/>
          <w:b/>
          <w:bCs/>
          <w:color w:val="auto"/>
          <w:highlight w:val="none"/>
        </w:rPr>
        <w:t>3.4 连接方式</w:t>
      </w:r>
      <w:bookmarkEnd w:id="49"/>
      <w:bookmarkEnd w:id="50"/>
      <w:bookmarkEnd w:id="51"/>
    </w:p>
    <w:p w14:paraId="03CB17B7">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流量计可采用下列连接方式：</w:t>
      </w:r>
    </w:p>
    <w:p w14:paraId="17AE5F0B">
      <w:pPr>
        <w:spacing w:line="276" w:lineRule="auto"/>
        <w:ind w:firstLine="420"/>
        <w:rPr>
          <w:rFonts w:ascii="Times New Roman" w:hAnsi="Times New Roman"/>
          <w:color w:val="auto"/>
          <w:highlight w:val="none"/>
        </w:rPr>
      </w:pPr>
      <w:bookmarkStart w:id="52" w:name="_Toc6855_WPSOffice_Level2"/>
      <w:r>
        <w:rPr>
          <w:rFonts w:hint="eastAsia" w:ascii="Times New Roman" w:hAnsi="Times New Roman"/>
          <w:color w:val="auto"/>
          <w:highlight w:val="none"/>
        </w:rPr>
        <w:t>a）法兰式：</w:t>
      </w:r>
      <w:bookmarkEnd w:id="52"/>
    </w:p>
    <w:p w14:paraId="5B0941C8">
      <w:pPr>
        <w:spacing w:line="276" w:lineRule="auto"/>
        <w:ind w:firstLine="420"/>
        <w:rPr>
          <w:rFonts w:ascii="Times New Roman" w:hAnsi="Times New Roman"/>
          <w:color w:val="auto"/>
          <w:highlight w:val="none"/>
        </w:rPr>
      </w:pPr>
      <w:bookmarkStart w:id="53" w:name="_Toc16908_WPSOffice_Level2"/>
      <w:r>
        <w:rPr>
          <w:rFonts w:hint="eastAsia" w:ascii="Times New Roman" w:hAnsi="Times New Roman"/>
          <w:color w:val="auto"/>
          <w:highlight w:val="none"/>
        </w:rPr>
        <w:t>b）螺纹式：</w:t>
      </w:r>
      <w:bookmarkEnd w:id="53"/>
    </w:p>
    <w:p w14:paraId="785B1226">
      <w:pPr>
        <w:spacing w:line="276" w:lineRule="auto"/>
        <w:ind w:firstLine="420"/>
        <w:rPr>
          <w:rFonts w:ascii="Times New Roman" w:hAnsi="Times New Roman"/>
          <w:color w:val="auto"/>
          <w:highlight w:val="none"/>
        </w:rPr>
      </w:pPr>
      <w:bookmarkStart w:id="54" w:name="_Toc12591_WPSOffice_Level2"/>
      <w:r>
        <w:rPr>
          <w:rFonts w:hint="eastAsia" w:ascii="Times New Roman" w:hAnsi="Times New Roman"/>
          <w:color w:val="auto"/>
          <w:highlight w:val="none"/>
        </w:rPr>
        <w:t>c）夹持式；</w:t>
      </w:r>
      <w:bookmarkEnd w:id="54"/>
    </w:p>
    <w:p w14:paraId="0D9F5173">
      <w:pPr>
        <w:spacing w:line="276" w:lineRule="auto"/>
        <w:ind w:firstLine="420"/>
        <w:rPr>
          <w:rFonts w:ascii="Times New Roman" w:hAnsi="Times New Roman"/>
          <w:color w:val="auto"/>
          <w:highlight w:val="none"/>
        </w:rPr>
      </w:pPr>
      <w:bookmarkStart w:id="55" w:name="_Toc8548_WPSOffice_Level2"/>
      <w:r>
        <w:rPr>
          <w:rFonts w:hint="eastAsia" w:ascii="Times New Roman" w:hAnsi="Times New Roman"/>
          <w:color w:val="auto"/>
          <w:highlight w:val="none"/>
        </w:rPr>
        <w:t>d）卡箍式：</w:t>
      </w:r>
      <w:bookmarkEnd w:id="55"/>
    </w:p>
    <w:p w14:paraId="7DB835D4">
      <w:pPr>
        <w:spacing w:line="276" w:lineRule="auto"/>
        <w:ind w:firstLine="420"/>
        <w:rPr>
          <w:rFonts w:ascii="Times New Roman" w:hAnsi="Times New Roman"/>
          <w:color w:val="auto"/>
          <w:highlight w:val="none"/>
        </w:rPr>
      </w:pPr>
      <w:bookmarkStart w:id="56" w:name="_Toc4759_WPSOffice_Level2"/>
      <w:r>
        <w:rPr>
          <w:rFonts w:hint="eastAsia" w:ascii="Times New Roman" w:hAnsi="Times New Roman"/>
          <w:color w:val="auto"/>
          <w:highlight w:val="none"/>
        </w:rPr>
        <w:t>e）其他连接方式。</w:t>
      </w:r>
      <w:bookmarkEnd w:id="56"/>
    </w:p>
    <w:p w14:paraId="3FCB197F">
      <w:pPr>
        <w:spacing w:line="276" w:lineRule="auto"/>
        <w:outlineLvl w:val="0"/>
        <w:rPr>
          <w:rFonts w:ascii="Times New Roman" w:hAnsi="Times New Roman"/>
          <w:b/>
          <w:bCs/>
          <w:color w:val="auto"/>
          <w:highlight w:val="none"/>
        </w:rPr>
      </w:pPr>
      <w:bookmarkStart w:id="57" w:name="_Toc20235"/>
      <w:bookmarkStart w:id="58" w:name="_Toc18805_WPSOffice_Level2"/>
      <w:r>
        <w:rPr>
          <w:rFonts w:hint="eastAsia" w:ascii="Times New Roman" w:hAnsi="Times New Roman"/>
          <w:b/>
          <w:bCs/>
          <w:color w:val="auto"/>
          <w:highlight w:val="none"/>
        </w:rPr>
        <w:t>4 技术要求</w:t>
      </w:r>
      <w:bookmarkEnd w:id="57"/>
      <w:bookmarkEnd w:id="58"/>
    </w:p>
    <w:p w14:paraId="5B1B8772">
      <w:pPr>
        <w:spacing w:line="276" w:lineRule="auto"/>
        <w:outlineLvl w:val="1"/>
        <w:rPr>
          <w:rFonts w:ascii="Times New Roman" w:hAnsi="Times New Roman"/>
          <w:b/>
          <w:bCs/>
          <w:color w:val="auto"/>
          <w:highlight w:val="none"/>
        </w:rPr>
      </w:pPr>
      <w:bookmarkStart w:id="59" w:name="_Toc23493"/>
      <w:r>
        <w:rPr>
          <w:rFonts w:hint="eastAsia" w:ascii="Times New Roman" w:hAnsi="Times New Roman"/>
          <w:b/>
          <w:bCs/>
          <w:color w:val="auto"/>
          <w:highlight w:val="none"/>
        </w:rPr>
        <w:t xml:space="preserve">4.1 </w:t>
      </w:r>
      <w:bookmarkStart w:id="60" w:name="OLE_LINK4"/>
      <w:r>
        <w:rPr>
          <w:rFonts w:hint="eastAsia" w:ascii="Times New Roman" w:hAnsi="Times New Roman"/>
          <w:b/>
          <w:bCs/>
          <w:color w:val="auto"/>
          <w:highlight w:val="none"/>
        </w:rPr>
        <w:t>参比</w:t>
      </w:r>
      <w:bookmarkEnd w:id="60"/>
      <w:r>
        <w:rPr>
          <w:rFonts w:hint="eastAsia" w:ascii="Times New Roman" w:hAnsi="Times New Roman"/>
          <w:b/>
          <w:bCs/>
          <w:color w:val="auto"/>
          <w:highlight w:val="none"/>
        </w:rPr>
        <w:t>工作条件下的基本性能</w:t>
      </w:r>
      <w:bookmarkEnd w:id="59"/>
    </w:p>
    <w:p w14:paraId="0CA8F447">
      <w:pPr>
        <w:spacing w:line="276" w:lineRule="auto"/>
        <w:rPr>
          <w:rFonts w:ascii="Times New Roman" w:hAnsi="Times New Roman"/>
          <w:b/>
          <w:bCs/>
          <w:color w:val="auto"/>
          <w:highlight w:val="none"/>
        </w:rPr>
      </w:pPr>
      <w:r>
        <w:rPr>
          <w:rFonts w:hint="eastAsia" w:ascii="Times New Roman" w:hAnsi="Times New Roman"/>
          <w:b/>
          <w:bCs/>
          <w:color w:val="auto"/>
          <w:highlight w:val="none"/>
        </w:rPr>
        <w:t>4.1.1 基本误差</w:t>
      </w:r>
    </w:p>
    <w:p w14:paraId="4F01259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流量计的基本误差应不超过表 1 规定的最大允许误差。</w:t>
      </w:r>
    </w:p>
    <w:p w14:paraId="7961578F">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最大允许误差以流量测量范围上限值的百分数表示。</w:t>
      </w:r>
    </w:p>
    <w:p w14:paraId="55059E90">
      <w:pPr>
        <w:spacing w:line="276" w:lineRule="auto"/>
        <w:ind w:firstLine="420" w:firstLineChars="200"/>
        <w:jc w:val="center"/>
        <w:rPr>
          <w:rFonts w:ascii="Times New Roman" w:hAnsi="Times New Roman"/>
          <w:color w:val="auto"/>
          <w:highlight w:val="none"/>
        </w:rPr>
      </w:pPr>
      <w:r>
        <w:rPr>
          <w:rFonts w:hint="eastAsia" w:ascii="Times New Roman" w:hAnsi="Times New Roman"/>
          <w:color w:val="auto"/>
          <w:highlight w:val="none"/>
        </w:rPr>
        <w:t>表 1 各准确度等级的最大允许误差</w:t>
      </w:r>
    </w:p>
    <w:tbl>
      <w:tblPr>
        <w:tblStyle w:val="28"/>
        <w:tblW w:w="86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40"/>
        <w:gridCol w:w="1134"/>
        <w:gridCol w:w="1276"/>
        <w:gridCol w:w="1276"/>
        <w:gridCol w:w="1275"/>
        <w:gridCol w:w="1418"/>
      </w:tblGrid>
      <w:tr w14:paraId="6CA31E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40" w:type="dxa"/>
            <w:shd w:val="clear" w:color="auto" w:fill="auto"/>
            <w:vAlign w:val="center"/>
          </w:tcPr>
          <w:p w14:paraId="01890E0E">
            <w:pPr>
              <w:spacing w:line="276" w:lineRule="auto"/>
              <w:jc w:val="center"/>
              <w:rPr>
                <w:rFonts w:ascii="Times New Roman" w:hAnsi="Times New Roman"/>
                <w:color w:val="auto"/>
                <w:highlight w:val="none"/>
              </w:rPr>
            </w:pPr>
            <w:r>
              <w:rPr>
                <w:rFonts w:hint="eastAsia" w:ascii="Times New Roman" w:hAnsi="Times New Roman"/>
                <w:color w:val="auto"/>
                <w:highlight w:val="none"/>
              </w:rPr>
              <w:t>准确度等级</w:t>
            </w:r>
          </w:p>
        </w:tc>
        <w:tc>
          <w:tcPr>
            <w:tcW w:w="1134" w:type="dxa"/>
            <w:shd w:val="clear" w:color="auto" w:fill="auto"/>
            <w:vAlign w:val="center"/>
          </w:tcPr>
          <w:p w14:paraId="3F8208E4">
            <w:pPr>
              <w:spacing w:line="276" w:lineRule="auto"/>
              <w:jc w:val="center"/>
              <w:rPr>
                <w:rFonts w:ascii="Times New Roman" w:hAnsi="Times New Roman"/>
                <w:color w:val="auto"/>
                <w:highlight w:val="none"/>
              </w:rPr>
            </w:pPr>
            <w:r>
              <w:rPr>
                <w:rFonts w:ascii="Times New Roman" w:hAnsi="Times New Roman"/>
                <w:color w:val="auto"/>
                <w:highlight w:val="none"/>
              </w:rPr>
              <w:t>1.0</w:t>
            </w:r>
          </w:p>
        </w:tc>
        <w:tc>
          <w:tcPr>
            <w:tcW w:w="1276" w:type="dxa"/>
            <w:shd w:val="clear" w:color="auto" w:fill="auto"/>
            <w:vAlign w:val="center"/>
          </w:tcPr>
          <w:p w14:paraId="6AC55CF3">
            <w:pPr>
              <w:spacing w:line="276" w:lineRule="auto"/>
              <w:jc w:val="center"/>
              <w:rPr>
                <w:rFonts w:ascii="Times New Roman" w:hAnsi="Times New Roman"/>
                <w:color w:val="auto"/>
                <w:highlight w:val="none"/>
              </w:rPr>
            </w:pPr>
            <w:r>
              <w:rPr>
                <w:rFonts w:ascii="Times New Roman" w:hAnsi="Times New Roman"/>
                <w:color w:val="auto"/>
                <w:highlight w:val="none"/>
              </w:rPr>
              <w:t>1.5</w:t>
            </w:r>
          </w:p>
        </w:tc>
        <w:tc>
          <w:tcPr>
            <w:tcW w:w="1276" w:type="dxa"/>
            <w:shd w:val="clear" w:color="auto" w:fill="auto"/>
            <w:vAlign w:val="center"/>
          </w:tcPr>
          <w:p w14:paraId="1FE23C9A">
            <w:pPr>
              <w:spacing w:line="276" w:lineRule="auto"/>
              <w:jc w:val="center"/>
              <w:rPr>
                <w:rFonts w:ascii="Times New Roman" w:hAnsi="Times New Roman"/>
                <w:color w:val="auto"/>
                <w:highlight w:val="none"/>
              </w:rPr>
            </w:pPr>
            <w:r>
              <w:rPr>
                <w:rFonts w:ascii="Times New Roman" w:hAnsi="Times New Roman"/>
                <w:color w:val="auto"/>
                <w:highlight w:val="none"/>
              </w:rPr>
              <w:t>2.0</w:t>
            </w:r>
          </w:p>
        </w:tc>
        <w:tc>
          <w:tcPr>
            <w:tcW w:w="1275" w:type="dxa"/>
            <w:shd w:val="clear" w:color="auto" w:fill="auto"/>
            <w:vAlign w:val="center"/>
          </w:tcPr>
          <w:p w14:paraId="45CC6B81">
            <w:pPr>
              <w:spacing w:line="276" w:lineRule="auto"/>
              <w:jc w:val="center"/>
              <w:rPr>
                <w:rFonts w:ascii="Times New Roman" w:hAnsi="Times New Roman"/>
                <w:color w:val="auto"/>
                <w:highlight w:val="none"/>
              </w:rPr>
            </w:pPr>
            <w:r>
              <w:rPr>
                <w:rFonts w:ascii="Times New Roman" w:hAnsi="Times New Roman"/>
                <w:color w:val="auto"/>
                <w:highlight w:val="none"/>
              </w:rPr>
              <w:t>2.5</w:t>
            </w:r>
          </w:p>
        </w:tc>
        <w:tc>
          <w:tcPr>
            <w:tcW w:w="1418" w:type="dxa"/>
            <w:shd w:val="clear" w:color="auto" w:fill="auto"/>
            <w:vAlign w:val="center"/>
          </w:tcPr>
          <w:p w14:paraId="57BC03C9">
            <w:pPr>
              <w:spacing w:line="276" w:lineRule="auto"/>
              <w:jc w:val="center"/>
              <w:rPr>
                <w:rFonts w:ascii="Times New Roman" w:hAnsi="Times New Roman"/>
                <w:color w:val="auto"/>
                <w:highlight w:val="none"/>
              </w:rPr>
            </w:pPr>
            <w:r>
              <w:rPr>
                <w:rFonts w:ascii="Times New Roman" w:hAnsi="Times New Roman"/>
                <w:color w:val="auto"/>
                <w:highlight w:val="none"/>
              </w:rPr>
              <w:t>4.0</w:t>
            </w:r>
          </w:p>
        </w:tc>
      </w:tr>
      <w:tr w14:paraId="2F031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40" w:type="dxa"/>
            <w:shd w:val="clear" w:color="auto" w:fill="auto"/>
            <w:vAlign w:val="center"/>
          </w:tcPr>
          <w:p w14:paraId="74FC2978">
            <w:pPr>
              <w:spacing w:line="276" w:lineRule="auto"/>
              <w:jc w:val="center"/>
              <w:rPr>
                <w:rFonts w:ascii="Times New Roman" w:hAnsi="Times New Roman"/>
                <w:color w:val="auto"/>
                <w:highlight w:val="none"/>
              </w:rPr>
            </w:pPr>
            <w:r>
              <w:rPr>
                <w:rFonts w:hint="eastAsia" w:ascii="Times New Roman" w:hAnsi="Times New Roman"/>
                <w:color w:val="auto"/>
                <w:highlight w:val="none"/>
              </w:rPr>
              <w:t>最大允许误差%</w:t>
            </w:r>
          </w:p>
        </w:tc>
        <w:tc>
          <w:tcPr>
            <w:tcW w:w="1134" w:type="dxa"/>
            <w:shd w:val="clear" w:color="auto" w:fill="auto"/>
            <w:vAlign w:val="center"/>
          </w:tcPr>
          <w:p w14:paraId="4BCA5DDD">
            <w:pPr>
              <w:spacing w:line="276" w:lineRule="auto"/>
              <w:jc w:val="center"/>
              <w:rPr>
                <w:rFonts w:ascii="Times New Roman" w:hAnsi="Times New Roman"/>
                <w:color w:val="auto"/>
                <w:highlight w:val="none"/>
              </w:rPr>
            </w:pPr>
            <w:r>
              <w:rPr>
                <w:rFonts w:hint="eastAsia" w:ascii="Times New Roman" w:hAnsi="Times New Roman"/>
                <w:color w:val="auto"/>
                <w:highlight w:val="none"/>
              </w:rPr>
              <w:t>±</w:t>
            </w:r>
            <w:r>
              <w:rPr>
                <w:rFonts w:ascii="Times New Roman" w:hAnsi="Times New Roman"/>
                <w:color w:val="auto"/>
                <w:highlight w:val="none"/>
              </w:rPr>
              <w:t>1.0</w:t>
            </w:r>
          </w:p>
        </w:tc>
        <w:tc>
          <w:tcPr>
            <w:tcW w:w="1276" w:type="dxa"/>
            <w:shd w:val="clear" w:color="auto" w:fill="auto"/>
            <w:vAlign w:val="center"/>
          </w:tcPr>
          <w:p w14:paraId="324EA7B4">
            <w:pPr>
              <w:spacing w:line="276" w:lineRule="auto"/>
              <w:jc w:val="center"/>
              <w:rPr>
                <w:rFonts w:ascii="Times New Roman" w:hAnsi="Times New Roman"/>
                <w:color w:val="auto"/>
                <w:highlight w:val="none"/>
              </w:rPr>
            </w:pPr>
            <w:r>
              <w:rPr>
                <w:rFonts w:hint="eastAsia" w:ascii="Times New Roman" w:hAnsi="Times New Roman"/>
                <w:color w:val="auto"/>
                <w:highlight w:val="none"/>
              </w:rPr>
              <w:t>±</w:t>
            </w:r>
            <w:r>
              <w:rPr>
                <w:rFonts w:ascii="Times New Roman" w:hAnsi="Times New Roman"/>
                <w:color w:val="auto"/>
                <w:highlight w:val="none"/>
              </w:rPr>
              <w:t>1.5</w:t>
            </w:r>
          </w:p>
        </w:tc>
        <w:tc>
          <w:tcPr>
            <w:tcW w:w="1276" w:type="dxa"/>
            <w:shd w:val="clear" w:color="auto" w:fill="auto"/>
            <w:vAlign w:val="center"/>
          </w:tcPr>
          <w:p w14:paraId="59A69497">
            <w:pPr>
              <w:spacing w:line="276" w:lineRule="auto"/>
              <w:jc w:val="center"/>
              <w:rPr>
                <w:rFonts w:ascii="Times New Roman" w:hAnsi="Times New Roman"/>
                <w:color w:val="auto"/>
                <w:highlight w:val="none"/>
              </w:rPr>
            </w:pPr>
            <w:r>
              <w:rPr>
                <w:rFonts w:hint="eastAsia" w:ascii="Times New Roman" w:hAnsi="Times New Roman"/>
                <w:color w:val="auto"/>
                <w:highlight w:val="none"/>
              </w:rPr>
              <w:t>±</w:t>
            </w:r>
            <w:r>
              <w:rPr>
                <w:rFonts w:ascii="Times New Roman" w:hAnsi="Times New Roman"/>
                <w:color w:val="auto"/>
                <w:highlight w:val="none"/>
              </w:rPr>
              <w:t>2.0</w:t>
            </w:r>
          </w:p>
        </w:tc>
        <w:tc>
          <w:tcPr>
            <w:tcW w:w="1275" w:type="dxa"/>
            <w:shd w:val="clear" w:color="auto" w:fill="auto"/>
            <w:vAlign w:val="center"/>
          </w:tcPr>
          <w:p w14:paraId="16AB52DA">
            <w:pPr>
              <w:spacing w:line="276" w:lineRule="auto"/>
              <w:jc w:val="center"/>
              <w:rPr>
                <w:rFonts w:ascii="Times New Roman" w:hAnsi="Times New Roman"/>
                <w:color w:val="auto"/>
                <w:highlight w:val="none"/>
              </w:rPr>
            </w:pPr>
            <w:r>
              <w:rPr>
                <w:rFonts w:hint="eastAsia" w:ascii="Times New Roman" w:hAnsi="Times New Roman"/>
                <w:color w:val="auto"/>
                <w:highlight w:val="none"/>
              </w:rPr>
              <w:t>±2.5</w:t>
            </w:r>
          </w:p>
        </w:tc>
        <w:tc>
          <w:tcPr>
            <w:tcW w:w="1418" w:type="dxa"/>
            <w:shd w:val="clear" w:color="auto" w:fill="auto"/>
            <w:vAlign w:val="center"/>
          </w:tcPr>
          <w:p w14:paraId="7F407E0F">
            <w:pPr>
              <w:spacing w:line="276" w:lineRule="auto"/>
              <w:jc w:val="center"/>
              <w:rPr>
                <w:rFonts w:ascii="Times New Roman" w:hAnsi="Times New Roman"/>
                <w:color w:val="auto"/>
                <w:highlight w:val="none"/>
              </w:rPr>
            </w:pPr>
            <w:r>
              <w:rPr>
                <w:rFonts w:hint="eastAsia" w:ascii="Times New Roman" w:hAnsi="Times New Roman"/>
                <w:color w:val="auto"/>
                <w:highlight w:val="none"/>
              </w:rPr>
              <w:t>±</w:t>
            </w:r>
            <w:r>
              <w:rPr>
                <w:rFonts w:ascii="Times New Roman" w:hAnsi="Times New Roman"/>
                <w:color w:val="auto"/>
                <w:highlight w:val="none"/>
              </w:rPr>
              <w:t>4.0</w:t>
            </w:r>
          </w:p>
        </w:tc>
      </w:tr>
    </w:tbl>
    <w:p w14:paraId="3CB70066">
      <w:pPr>
        <w:spacing w:line="276" w:lineRule="auto"/>
        <w:rPr>
          <w:rFonts w:ascii="Times New Roman" w:hAnsi="Times New Roman"/>
          <w:color w:val="auto"/>
          <w:highlight w:val="none"/>
        </w:rPr>
      </w:pPr>
    </w:p>
    <w:p w14:paraId="58A75C4F">
      <w:pPr>
        <w:spacing w:line="276" w:lineRule="auto"/>
        <w:rPr>
          <w:rFonts w:ascii="Times New Roman" w:hAnsi="Times New Roman"/>
          <w:b/>
          <w:bCs/>
          <w:color w:val="auto"/>
          <w:highlight w:val="none"/>
        </w:rPr>
      </w:pPr>
      <w:r>
        <w:rPr>
          <w:rFonts w:hint="eastAsia" w:ascii="Times New Roman" w:hAnsi="Times New Roman"/>
          <w:b/>
          <w:bCs/>
          <w:color w:val="auto"/>
          <w:highlight w:val="none"/>
        </w:rPr>
        <w:t>4.1.2 回差</w:t>
      </w:r>
    </w:p>
    <w:p w14:paraId="6003136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流量计的回差应不超过最大允许误差的绝对值。</w:t>
      </w:r>
    </w:p>
    <w:p w14:paraId="1D04927B">
      <w:pPr>
        <w:spacing w:line="276" w:lineRule="auto"/>
        <w:rPr>
          <w:rFonts w:ascii="Times New Roman" w:hAnsi="Times New Roman"/>
          <w:b/>
          <w:bCs/>
          <w:color w:val="auto"/>
          <w:highlight w:val="none"/>
        </w:rPr>
      </w:pPr>
      <w:r>
        <w:rPr>
          <w:rFonts w:hint="eastAsia" w:ascii="Times New Roman" w:hAnsi="Times New Roman"/>
          <w:b/>
          <w:bCs/>
          <w:color w:val="auto"/>
          <w:highlight w:val="none"/>
        </w:rPr>
        <w:t>4.1.3 报警设定点误差</w:t>
      </w:r>
    </w:p>
    <w:p w14:paraId="6F3F3FE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具有报警功能的流量计，其报警设定点误差应不超过表 1 规定的最大允许误差。</w:t>
      </w:r>
    </w:p>
    <w:p w14:paraId="18EBA1FA">
      <w:pPr>
        <w:spacing w:line="276" w:lineRule="auto"/>
        <w:rPr>
          <w:rFonts w:ascii="Times New Roman" w:hAnsi="Times New Roman"/>
          <w:b/>
          <w:bCs/>
          <w:color w:val="auto"/>
          <w:highlight w:val="none"/>
        </w:rPr>
      </w:pPr>
      <w:r>
        <w:rPr>
          <w:rFonts w:hint="eastAsia" w:ascii="Times New Roman" w:hAnsi="Times New Roman"/>
          <w:b/>
          <w:bCs/>
          <w:color w:val="auto"/>
          <w:highlight w:val="none"/>
        </w:rPr>
        <w:t>4.1.4 报警设定点切换差</w:t>
      </w:r>
    </w:p>
    <w:p w14:paraId="65F0523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具有报警功能的流量计，其报警设定点切换差应不超过流量测量范围上限值的 10%。</w:t>
      </w:r>
    </w:p>
    <w:p w14:paraId="5172C512">
      <w:pPr>
        <w:spacing w:line="276" w:lineRule="auto"/>
        <w:rPr>
          <w:rFonts w:ascii="Times New Roman" w:hAnsi="Times New Roman"/>
          <w:b/>
          <w:bCs/>
          <w:color w:val="auto"/>
          <w:highlight w:val="none"/>
        </w:rPr>
      </w:pPr>
      <w:r>
        <w:rPr>
          <w:rFonts w:hint="eastAsia" w:ascii="Times New Roman" w:hAnsi="Times New Roman"/>
          <w:b/>
          <w:bCs/>
          <w:color w:val="auto"/>
          <w:highlight w:val="none"/>
        </w:rPr>
        <w:t>4.1.5 报警设定点重复性误差</w:t>
      </w:r>
    </w:p>
    <w:p w14:paraId="0B338B1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具有报警功能的流量计，其报警设定点重复性误差应不超过其最大允许误差绝对值的 1/2。</w:t>
      </w:r>
    </w:p>
    <w:p w14:paraId="02885145">
      <w:pPr>
        <w:spacing w:line="276" w:lineRule="auto"/>
        <w:rPr>
          <w:rFonts w:ascii="Times New Roman" w:hAnsi="Times New Roman"/>
          <w:b/>
          <w:bCs/>
          <w:color w:val="auto"/>
          <w:highlight w:val="none"/>
        </w:rPr>
      </w:pPr>
      <w:r>
        <w:rPr>
          <w:rFonts w:hint="eastAsia" w:ascii="Times New Roman" w:hAnsi="Times New Roman"/>
          <w:b/>
          <w:bCs/>
          <w:color w:val="auto"/>
          <w:highlight w:val="none"/>
        </w:rPr>
        <w:t>4.1.6 压力损失</w:t>
      </w:r>
    </w:p>
    <w:p w14:paraId="3AA69E7A">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流量计的压力损失由制造厂规定。</w:t>
      </w:r>
    </w:p>
    <w:p w14:paraId="41BF79D0">
      <w:pPr>
        <w:spacing w:line="276" w:lineRule="auto"/>
        <w:rPr>
          <w:rFonts w:ascii="Times New Roman" w:hAnsi="Times New Roman"/>
          <w:b/>
          <w:bCs/>
          <w:color w:val="auto"/>
          <w:highlight w:val="none"/>
        </w:rPr>
      </w:pPr>
      <w:r>
        <w:rPr>
          <w:rFonts w:hint="eastAsia" w:ascii="Times New Roman" w:hAnsi="Times New Roman"/>
          <w:b/>
          <w:bCs/>
          <w:color w:val="auto"/>
          <w:highlight w:val="none"/>
        </w:rPr>
        <w:t>4.1.7 稳定性</w:t>
      </w:r>
    </w:p>
    <w:p w14:paraId="2A41B683">
      <w:pPr>
        <w:spacing w:line="276" w:lineRule="auto"/>
        <w:rPr>
          <w:rFonts w:ascii="Times New Roman" w:hAnsi="Times New Roman"/>
          <w:b/>
          <w:bCs/>
          <w:color w:val="auto"/>
          <w:highlight w:val="none"/>
        </w:rPr>
      </w:pPr>
      <w:r>
        <w:rPr>
          <w:rFonts w:hint="eastAsia" w:ascii="Times New Roman" w:hAnsi="Times New Roman"/>
          <w:b/>
          <w:bCs/>
          <w:color w:val="auto"/>
          <w:highlight w:val="none"/>
        </w:rPr>
        <w:t>4.1.7.1 始动漂移</w:t>
      </w:r>
    </w:p>
    <w:p w14:paraId="5125DD90">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具有电远传功能的流量计的始动漂移应不超过公称输出量程的 1.0%(适用于 1.0 和 1.5 级的流量计)或 1.5%（适用于 2.0、2.5、4.0 级的流量计）。</w:t>
      </w:r>
    </w:p>
    <w:p w14:paraId="00766F52">
      <w:pPr>
        <w:spacing w:line="276" w:lineRule="auto"/>
        <w:rPr>
          <w:rFonts w:ascii="Times New Roman" w:hAnsi="Times New Roman"/>
          <w:b/>
          <w:bCs/>
          <w:color w:val="auto"/>
          <w:highlight w:val="none"/>
        </w:rPr>
      </w:pPr>
      <w:r>
        <w:rPr>
          <w:rFonts w:hint="eastAsia" w:ascii="Times New Roman" w:hAnsi="Times New Roman"/>
          <w:b/>
          <w:bCs/>
          <w:color w:val="auto"/>
          <w:highlight w:val="none"/>
        </w:rPr>
        <w:t>4.1.7.2 长期漂移</w:t>
      </w:r>
    </w:p>
    <w:p w14:paraId="61B6E616">
      <w:pPr>
        <w:spacing w:line="276" w:lineRule="auto"/>
        <w:ind w:firstLine="420"/>
        <w:rPr>
          <w:rFonts w:ascii="Times New Roman" w:hAnsi="Times New Roman"/>
          <w:color w:val="auto"/>
          <w:highlight w:val="none"/>
        </w:rPr>
      </w:pPr>
      <w:r>
        <w:rPr>
          <w:rFonts w:hint="eastAsia" w:ascii="Times New Roman" w:hAnsi="Times New Roman"/>
          <w:color w:val="auto"/>
          <w:highlight w:val="none"/>
        </w:rPr>
        <w:t>具有电远传功能的流量计的长期漂移应不超过公称输出量程的 1.0%(适用于 1.0 和 1.5 级的流量计）或 1.5%（适用于 2.0、2.5、4.0 级的流量计)。</w:t>
      </w:r>
    </w:p>
    <w:p w14:paraId="246BC932">
      <w:pPr>
        <w:spacing w:line="276" w:lineRule="auto"/>
        <w:outlineLvl w:val="1"/>
        <w:rPr>
          <w:rFonts w:ascii="Times New Roman" w:hAnsi="Times New Roman"/>
          <w:b/>
          <w:bCs/>
          <w:color w:val="auto"/>
          <w:highlight w:val="none"/>
        </w:rPr>
      </w:pPr>
      <w:bookmarkStart w:id="61" w:name="_Toc23929"/>
      <w:r>
        <w:rPr>
          <w:rFonts w:hint="eastAsia" w:ascii="Times New Roman" w:hAnsi="Times New Roman"/>
          <w:b/>
          <w:bCs/>
          <w:color w:val="auto"/>
          <w:highlight w:val="none"/>
        </w:rPr>
        <w:t>4.2 与影响量有关的要求</w:t>
      </w:r>
      <w:bookmarkEnd w:id="61"/>
    </w:p>
    <w:p w14:paraId="6096F759">
      <w:pPr>
        <w:spacing w:line="276" w:lineRule="auto"/>
        <w:rPr>
          <w:rFonts w:ascii="Times New Roman" w:hAnsi="Times New Roman"/>
          <w:b/>
          <w:bCs/>
          <w:color w:val="auto"/>
          <w:highlight w:val="none"/>
        </w:rPr>
      </w:pPr>
      <w:r>
        <w:rPr>
          <w:rFonts w:hint="eastAsia" w:ascii="Times New Roman" w:hAnsi="Times New Roman"/>
          <w:b/>
          <w:bCs/>
          <w:color w:val="auto"/>
          <w:highlight w:val="none"/>
        </w:rPr>
        <w:t>4.2.1 环境温度影响</w:t>
      </w:r>
    </w:p>
    <w:p w14:paraId="6A846119">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对于具有电远传功能的流量计的转换器，在 3.2.9 a）规定的环境温度范围内，环境温度每变化10℃，引起输出下限值和输出上限的变化量应不超过公称输出量程的 1.0%（适用于 1.0 和 1.5 级的流量计）或 1.5%（适用于 2.0、2.5、4.0 级的流量计)。</w:t>
      </w:r>
    </w:p>
    <w:p w14:paraId="3E8244B3">
      <w:pPr>
        <w:spacing w:line="276" w:lineRule="auto"/>
        <w:rPr>
          <w:rFonts w:ascii="Times New Roman" w:hAnsi="Times New Roman"/>
          <w:b/>
          <w:bCs/>
          <w:color w:val="auto"/>
          <w:highlight w:val="none"/>
        </w:rPr>
      </w:pPr>
      <w:r>
        <w:rPr>
          <w:rFonts w:hint="eastAsia" w:ascii="Times New Roman" w:hAnsi="Times New Roman"/>
          <w:b/>
          <w:bCs/>
          <w:color w:val="auto"/>
          <w:highlight w:val="none"/>
        </w:rPr>
        <w:t>4.2.2 湿热影响</w:t>
      </w:r>
    </w:p>
    <w:p w14:paraId="631ACEEF">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当环境温度和环境相对湿度从参比工作条件改变至温度为 40℃和相对湿度为 91%～95%时，具有电远传功能的流量计的输出下限值和输出上限的变化量应不超过公称输出量程的 2.0%（适用于 1.0 和1.5 级的流量计）或 2.5%（适用于 2.0、2.5、4.0 级的流量计)；具有报警功能的流量计的报警设定点变化量应不超过流量计测量范围上限值的 2.0%。</w:t>
      </w:r>
    </w:p>
    <w:p w14:paraId="3D566D2E">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在48 h试验终了时，还必须立即进行绝缘电阻和绝缘强度试验，4.3.2 规定的端子之间的绝缘电阻均应不小于 5 MΩ；绝缘强度仍应符合 4.3.3 要求。</w:t>
      </w:r>
    </w:p>
    <w:p w14:paraId="163D711D">
      <w:pPr>
        <w:spacing w:line="276" w:lineRule="auto"/>
        <w:rPr>
          <w:rFonts w:ascii="Times New Roman" w:hAnsi="Times New Roman"/>
          <w:b/>
          <w:bCs/>
          <w:color w:val="auto"/>
          <w:highlight w:val="none"/>
        </w:rPr>
      </w:pPr>
      <w:r>
        <w:rPr>
          <w:rFonts w:hint="eastAsia" w:ascii="Times New Roman" w:hAnsi="Times New Roman"/>
          <w:b/>
          <w:bCs/>
          <w:color w:val="auto"/>
          <w:highlight w:val="none"/>
        </w:rPr>
        <w:t>4.2.3 机械振动影响</w:t>
      </w:r>
    </w:p>
    <w:p w14:paraId="68E3942D">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当机械振动频率在 10 Hz~-150 Hz（恒定位移幅值为 0.025 mm、恒定加速度幅值为 10 m/s</w:t>
      </w:r>
      <w:r>
        <w:rPr>
          <w:rFonts w:hint="eastAsia" w:ascii="Times New Roman" w:hAnsi="Times New Roman"/>
          <w:color w:val="auto"/>
          <w:highlight w:val="none"/>
          <w:vertAlign w:val="superscript"/>
        </w:rPr>
        <w:t>2</w:t>
      </w:r>
      <w:r>
        <w:rPr>
          <w:rFonts w:hint="eastAsia" w:ascii="Times New Roman" w:hAnsi="Times New Roman"/>
          <w:color w:val="auto"/>
          <w:highlight w:val="none"/>
        </w:rPr>
        <w:t>)，具有电远传功能的流量计在三个相互垂直的平面上各承受 0.5 h 振动后，其输出下限值和输出上限的变化量应不超过公称输出量程的 1.0%（适用于 1.0 和 1.5 级的流量计）或 1.5%（适用于 2.0、2.5、4.0级的流量计)。</w:t>
      </w:r>
    </w:p>
    <w:p w14:paraId="2EE9BB36">
      <w:pPr>
        <w:spacing w:line="276" w:lineRule="auto"/>
        <w:rPr>
          <w:rFonts w:ascii="Times New Roman" w:hAnsi="Times New Roman"/>
          <w:b/>
          <w:bCs/>
          <w:color w:val="auto"/>
          <w:highlight w:val="none"/>
        </w:rPr>
      </w:pPr>
      <w:r>
        <w:rPr>
          <w:rFonts w:hint="eastAsia" w:ascii="Times New Roman" w:hAnsi="Times New Roman"/>
          <w:b/>
          <w:bCs/>
          <w:color w:val="auto"/>
          <w:highlight w:val="none"/>
        </w:rPr>
        <w:t>4.2.4 电源电压变化影响</w:t>
      </w:r>
    </w:p>
    <w:p w14:paraId="177E30BC">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当交流电源电压和频率组合变化（电源电压公称值变化+10%和-15%，频率公称值变化±5%）或直流电源电压公称值变化+10%和-15%时，具有电远传功能的流量计的输出下限值和输出上限的变化量应不超过公称输出量程的 1.0%（适用于 1.0 和 1.5 级的流量计）或 1.5%（适用于 2.0、2.5、4.0 级的流量计)。</w:t>
      </w:r>
    </w:p>
    <w:p w14:paraId="6C35773F">
      <w:pPr>
        <w:spacing w:line="276" w:lineRule="auto"/>
        <w:rPr>
          <w:rFonts w:ascii="Times New Roman" w:hAnsi="Times New Roman"/>
          <w:b/>
          <w:bCs/>
          <w:color w:val="auto"/>
          <w:highlight w:val="none"/>
        </w:rPr>
      </w:pPr>
      <w:r>
        <w:rPr>
          <w:rFonts w:hint="eastAsia" w:ascii="Times New Roman" w:hAnsi="Times New Roman"/>
          <w:b/>
          <w:bCs/>
          <w:color w:val="auto"/>
          <w:highlight w:val="none"/>
        </w:rPr>
        <w:t>4.2.5 电源短时中断</w:t>
      </w:r>
    </w:p>
    <w:p w14:paraId="68FDFF4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当交流主电源中断 250/300 周期（50 Hz/60 Hz)，直流主电源中断 5 ms、20 ms、100 ms、200 ms、500 ms 时，允许具有电远传功能的流量计出错，电压恢复后，流量计应能自动恢复功能，其输出下限值和输出上限的变化量应不超过公称输出量程的 1.5%（适用于 1.0 和 1.5 级的流量计）或 2.5%（适用于 2.0、2.5、4.0 级的流量计)。</w:t>
      </w:r>
    </w:p>
    <w:p w14:paraId="4E0EC3F4">
      <w:pPr>
        <w:spacing w:line="276" w:lineRule="auto"/>
        <w:rPr>
          <w:rFonts w:ascii="Times New Roman" w:hAnsi="Times New Roman"/>
          <w:b/>
          <w:bCs/>
          <w:color w:val="auto"/>
          <w:highlight w:val="none"/>
        </w:rPr>
      </w:pPr>
      <w:r>
        <w:rPr>
          <w:rFonts w:hint="eastAsia" w:ascii="Times New Roman" w:hAnsi="Times New Roman"/>
          <w:b/>
          <w:bCs/>
          <w:color w:val="auto"/>
          <w:highlight w:val="none"/>
        </w:rPr>
        <w:t>4.2.6 静电放电抗扰度</w:t>
      </w:r>
    </w:p>
    <w:p w14:paraId="1C9A4AC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在转换器的壳体表面以及转换器附近的参考接地平板上进行接触放电正负 4kV、空气放电正负8kV的试验后，其输出下限值和输出上限的变化量应不超过公称输出量程的 1.5%（适用于 1.0 和 1.5 级的流量计）或 2.5%（适用于 2.0、2.5、4.0 级的流量计）。</w:t>
      </w:r>
    </w:p>
    <w:p w14:paraId="6097D529">
      <w:pPr>
        <w:spacing w:line="276" w:lineRule="auto"/>
        <w:rPr>
          <w:rFonts w:ascii="Times New Roman" w:hAnsi="Times New Roman"/>
          <w:b/>
          <w:bCs/>
          <w:color w:val="auto"/>
          <w:highlight w:val="none"/>
        </w:rPr>
      </w:pPr>
      <w:r>
        <w:rPr>
          <w:rFonts w:hint="eastAsia" w:ascii="Times New Roman" w:hAnsi="Times New Roman"/>
          <w:b/>
          <w:bCs/>
          <w:color w:val="auto"/>
          <w:highlight w:val="none"/>
        </w:rPr>
        <w:t>4.2.7 射频电磁场辐射抗扰度</w:t>
      </w:r>
    </w:p>
    <w:p w14:paraId="06A4311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在频率为 80 MHz～1 000 MHz、距离为3 m、场强为 10 V/m、AM 1 kHz、80%调制的条件下，转换器仍应正常工作，其输出下限值和输出上限的变化量应不超过公称输出量程的 1.5%（适用于 1.0 和1.5 级的流量计）或 2.5%（适用于 2.0、2.5、4.0 级的流量计）。</w:t>
      </w:r>
    </w:p>
    <w:p w14:paraId="4E827116">
      <w:pPr>
        <w:spacing w:line="276" w:lineRule="auto"/>
        <w:rPr>
          <w:rFonts w:ascii="Times New Roman" w:hAnsi="Times New Roman"/>
          <w:b/>
          <w:bCs/>
          <w:color w:val="auto"/>
          <w:highlight w:val="none"/>
        </w:rPr>
      </w:pPr>
      <w:r>
        <w:rPr>
          <w:rFonts w:hint="eastAsia" w:ascii="Times New Roman" w:hAnsi="Times New Roman"/>
          <w:b/>
          <w:bCs/>
          <w:color w:val="auto"/>
          <w:highlight w:val="none"/>
        </w:rPr>
        <w:t>4.2.8 工频磁场抗扰度</w:t>
      </w:r>
    </w:p>
    <w:p w14:paraId="5EA92160">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当具有电远传功能的流量计处于 400 A/m（50 Hz）磁场强度和最不利的磁场方向及相位时，其输出下限值和输出上限的变化量应不超过公称输出量程的 1.5%（适用于 1.0 和 1.5 级的流量计）或 2.5%(适用于 2.0、2.5、4.0 级的流量计)。</w:t>
      </w:r>
    </w:p>
    <w:p w14:paraId="3CB8AF13">
      <w:pPr>
        <w:spacing w:line="276" w:lineRule="auto"/>
        <w:outlineLvl w:val="1"/>
        <w:rPr>
          <w:rFonts w:ascii="Times New Roman" w:hAnsi="Times New Roman"/>
          <w:b/>
          <w:bCs/>
          <w:color w:val="auto"/>
          <w:highlight w:val="none"/>
        </w:rPr>
      </w:pPr>
      <w:bookmarkStart w:id="62" w:name="_Toc22820"/>
      <w:r>
        <w:rPr>
          <w:rFonts w:hint="eastAsia" w:ascii="Times New Roman" w:hAnsi="Times New Roman"/>
          <w:b/>
          <w:bCs/>
          <w:color w:val="auto"/>
          <w:highlight w:val="none"/>
        </w:rPr>
        <w:t>4.3 安全性能</w:t>
      </w:r>
      <w:bookmarkEnd w:id="62"/>
    </w:p>
    <w:p w14:paraId="64165009">
      <w:pPr>
        <w:spacing w:line="276" w:lineRule="auto"/>
        <w:rPr>
          <w:rFonts w:ascii="Times New Roman" w:hAnsi="Times New Roman"/>
          <w:b/>
          <w:bCs/>
          <w:color w:val="auto"/>
          <w:highlight w:val="none"/>
        </w:rPr>
      </w:pPr>
      <w:r>
        <w:rPr>
          <w:rFonts w:hint="eastAsia" w:ascii="Times New Roman" w:hAnsi="Times New Roman"/>
          <w:b/>
          <w:bCs/>
          <w:color w:val="auto"/>
          <w:highlight w:val="none"/>
        </w:rPr>
        <w:t>4.3.1 耐压强度</w:t>
      </w:r>
    </w:p>
    <w:p w14:paraId="2C330549">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流量计的传感器应能承受 1.5 倍规定公称压力，保持 5 min，而无泄漏和损坏。</w:t>
      </w:r>
    </w:p>
    <w:p w14:paraId="013C220C">
      <w:pPr>
        <w:spacing w:line="276" w:lineRule="auto"/>
        <w:rPr>
          <w:rFonts w:ascii="Times New Roman" w:hAnsi="Times New Roman"/>
          <w:b/>
          <w:bCs/>
          <w:color w:val="auto"/>
          <w:highlight w:val="none"/>
        </w:rPr>
      </w:pPr>
      <w:r>
        <w:rPr>
          <w:rFonts w:hint="eastAsia" w:ascii="Times New Roman" w:hAnsi="Times New Roman"/>
          <w:b/>
          <w:bCs/>
          <w:color w:val="auto"/>
          <w:highlight w:val="none"/>
        </w:rPr>
        <w:t>4.3.2 绝缘电阻</w:t>
      </w:r>
    </w:p>
    <w:p w14:paraId="00AAF8A9">
      <w:pPr>
        <w:spacing w:line="276" w:lineRule="auto"/>
        <w:ind w:firstLine="420"/>
        <w:rPr>
          <w:rFonts w:ascii="Times New Roman" w:hAnsi="Times New Roman"/>
          <w:color w:val="auto"/>
          <w:highlight w:val="none"/>
        </w:rPr>
      </w:pPr>
      <w:r>
        <w:rPr>
          <w:rFonts w:hint="eastAsia" w:ascii="Times New Roman" w:hAnsi="Times New Roman"/>
          <w:color w:val="auto"/>
          <w:highlight w:val="none"/>
        </w:rPr>
        <w:t>供电工作的流量计的电源端子与接地端子、输出端子与接地端子之间的绝缘电阻应不小于 20 MΩ。</w:t>
      </w:r>
    </w:p>
    <w:p w14:paraId="570433CB">
      <w:pPr>
        <w:spacing w:line="276" w:lineRule="auto"/>
        <w:rPr>
          <w:rFonts w:ascii="Times New Roman" w:hAnsi="Times New Roman"/>
          <w:b/>
          <w:bCs/>
          <w:color w:val="auto"/>
          <w:highlight w:val="none"/>
        </w:rPr>
      </w:pPr>
      <w:r>
        <w:rPr>
          <w:rFonts w:hint="eastAsia" w:ascii="Times New Roman" w:hAnsi="Times New Roman"/>
          <w:b/>
          <w:bCs/>
          <w:color w:val="auto"/>
          <w:highlight w:val="none"/>
        </w:rPr>
        <w:t>4.3.3 绝缘强度</w:t>
      </w:r>
    </w:p>
    <w:p w14:paraId="5DD28449">
      <w:pPr>
        <w:spacing w:line="276" w:lineRule="auto"/>
        <w:ind w:firstLine="420"/>
        <w:rPr>
          <w:rFonts w:ascii="Times New Roman" w:hAnsi="Times New Roman"/>
          <w:color w:val="auto"/>
          <w:highlight w:val="none"/>
        </w:rPr>
      </w:pPr>
      <w:r>
        <w:rPr>
          <w:rFonts w:hint="eastAsia" w:ascii="Times New Roman" w:hAnsi="Times New Roman"/>
          <w:color w:val="auto"/>
          <w:highlight w:val="none"/>
        </w:rPr>
        <w:t>供电工作的流量计的电源端子与接地端子、输出端子与接地端子之间，应能承受电压和频率为表2所列试验电压和频率、泄漏报警电流为 10 mA 的绝缘强度试验，而无击穿和飞弧等现象。</w:t>
      </w:r>
    </w:p>
    <w:p w14:paraId="50CC076B">
      <w:pPr>
        <w:spacing w:line="276" w:lineRule="auto"/>
        <w:jc w:val="center"/>
        <w:rPr>
          <w:rFonts w:ascii="Times New Roman" w:hAnsi="Times New Roman"/>
          <w:color w:val="auto"/>
          <w:highlight w:val="none"/>
        </w:rPr>
      </w:pPr>
      <w:r>
        <w:rPr>
          <w:rFonts w:hint="eastAsia" w:ascii="Times New Roman" w:hAnsi="Times New Roman"/>
          <w:color w:val="auto"/>
          <w:highlight w:val="none"/>
        </w:rPr>
        <w:t>表2 绝缘强度试验参数</w:t>
      </w:r>
    </w:p>
    <w:tbl>
      <w:tblPr>
        <w:tblStyle w:val="28"/>
        <w:tblW w:w="973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48"/>
        <w:gridCol w:w="3244"/>
        <w:gridCol w:w="3244"/>
      </w:tblGrid>
      <w:tr w14:paraId="028DC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8" w:type="dxa"/>
            <w:shd w:val="clear" w:color="auto" w:fill="auto"/>
          </w:tcPr>
          <w:p w14:paraId="5F119966">
            <w:pPr>
              <w:spacing w:line="276" w:lineRule="auto"/>
              <w:jc w:val="center"/>
              <w:rPr>
                <w:rFonts w:ascii="Times New Roman" w:hAnsi="Times New Roman"/>
                <w:color w:val="auto"/>
                <w:highlight w:val="none"/>
              </w:rPr>
            </w:pPr>
            <w:r>
              <w:rPr>
                <w:rFonts w:hint="eastAsia" w:ascii="Times New Roman" w:hAnsi="Times New Roman"/>
                <w:color w:val="auto"/>
                <w:highlight w:val="none"/>
              </w:rPr>
              <w:t>供电电源</w:t>
            </w:r>
          </w:p>
        </w:tc>
        <w:tc>
          <w:tcPr>
            <w:tcW w:w="3244" w:type="dxa"/>
            <w:shd w:val="clear" w:color="auto" w:fill="auto"/>
          </w:tcPr>
          <w:p w14:paraId="2E518DDB">
            <w:pPr>
              <w:spacing w:line="276" w:lineRule="auto"/>
              <w:jc w:val="center"/>
              <w:rPr>
                <w:rFonts w:ascii="Times New Roman" w:hAnsi="Times New Roman"/>
                <w:color w:val="auto"/>
                <w:highlight w:val="none"/>
              </w:rPr>
            </w:pPr>
            <w:r>
              <w:rPr>
                <w:rFonts w:hint="eastAsia" w:ascii="Times New Roman" w:hAnsi="Times New Roman"/>
                <w:color w:val="auto"/>
                <w:highlight w:val="none"/>
              </w:rPr>
              <w:t>试验电压和频率</w:t>
            </w:r>
          </w:p>
        </w:tc>
        <w:tc>
          <w:tcPr>
            <w:tcW w:w="3244" w:type="dxa"/>
            <w:shd w:val="clear" w:color="auto" w:fill="auto"/>
          </w:tcPr>
          <w:p w14:paraId="5A57D658">
            <w:pPr>
              <w:spacing w:line="276" w:lineRule="auto"/>
              <w:jc w:val="center"/>
              <w:rPr>
                <w:rFonts w:ascii="Times New Roman" w:hAnsi="Times New Roman"/>
                <w:color w:val="auto"/>
                <w:highlight w:val="none"/>
              </w:rPr>
            </w:pPr>
            <w:r>
              <w:rPr>
                <w:rFonts w:hint="eastAsia" w:ascii="Times New Roman" w:hAnsi="Times New Roman"/>
                <w:color w:val="auto"/>
                <w:highlight w:val="none"/>
              </w:rPr>
              <w:t>保持时间</w:t>
            </w:r>
          </w:p>
        </w:tc>
      </w:tr>
      <w:tr w14:paraId="39342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8" w:type="dxa"/>
            <w:shd w:val="clear" w:color="auto" w:fill="auto"/>
          </w:tcPr>
          <w:p w14:paraId="6CB1E62B">
            <w:pPr>
              <w:spacing w:line="276" w:lineRule="auto"/>
              <w:jc w:val="center"/>
              <w:rPr>
                <w:rFonts w:ascii="Times New Roman" w:hAnsi="Times New Roman"/>
                <w:color w:val="auto"/>
                <w:highlight w:val="none"/>
              </w:rPr>
            </w:pPr>
            <w:r>
              <w:rPr>
                <w:rFonts w:hint="eastAsia" w:ascii="Times New Roman" w:hAnsi="Times New Roman"/>
                <w:color w:val="auto"/>
                <w:highlight w:val="none"/>
              </w:rPr>
              <w:t>交流 220 V，50 Hz</w:t>
            </w:r>
          </w:p>
        </w:tc>
        <w:tc>
          <w:tcPr>
            <w:tcW w:w="3244" w:type="dxa"/>
            <w:shd w:val="clear" w:color="auto" w:fill="auto"/>
          </w:tcPr>
          <w:p w14:paraId="27479DE9">
            <w:pPr>
              <w:spacing w:line="276" w:lineRule="auto"/>
              <w:jc w:val="center"/>
              <w:rPr>
                <w:rFonts w:ascii="Times New Roman" w:hAnsi="Times New Roman"/>
                <w:color w:val="auto"/>
                <w:highlight w:val="none"/>
              </w:rPr>
            </w:pPr>
            <w:r>
              <w:rPr>
                <w:rFonts w:hint="eastAsia" w:ascii="Times New Roman" w:hAnsi="Times New Roman"/>
                <w:color w:val="auto"/>
                <w:highlight w:val="none"/>
              </w:rPr>
              <w:t>1500 V， 50 Hz</w:t>
            </w:r>
          </w:p>
        </w:tc>
        <w:tc>
          <w:tcPr>
            <w:tcW w:w="3244" w:type="dxa"/>
            <w:vMerge w:val="restart"/>
            <w:shd w:val="clear" w:color="auto" w:fill="auto"/>
            <w:vAlign w:val="center"/>
          </w:tcPr>
          <w:p w14:paraId="47E9B276">
            <w:pPr>
              <w:spacing w:line="276" w:lineRule="auto"/>
              <w:jc w:val="center"/>
              <w:rPr>
                <w:rFonts w:ascii="Times New Roman" w:hAnsi="Times New Roman"/>
                <w:color w:val="auto"/>
                <w:highlight w:val="none"/>
              </w:rPr>
            </w:pPr>
            <w:r>
              <w:rPr>
                <w:rFonts w:hint="eastAsia" w:ascii="Times New Roman" w:hAnsi="Times New Roman"/>
                <w:color w:val="auto"/>
                <w:highlight w:val="none"/>
              </w:rPr>
              <w:t>1</w:t>
            </w:r>
            <w:r>
              <w:rPr>
                <w:rFonts w:ascii="Times New Roman" w:hAnsi="Times New Roman"/>
                <w:color w:val="auto"/>
                <w:highlight w:val="none"/>
              </w:rPr>
              <w:t>min</w:t>
            </w:r>
          </w:p>
        </w:tc>
      </w:tr>
      <w:tr w14:paraId="38BB4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48" w:type="dxa"/>
            <w:shd w:val="clear" w:color="auto" w:fill="auto"/>
          </w:tcPr>
          <w:p w14:paraId="5FAF8899">
            <w:pPr>
              <w:spacing w:line="276" w:lineRule="auto"/>
              <w:jc w:val="center"/>
              <w:rPr>
                <w:rFonts w:ascii="Times New Roman" w:hAnsi="Times New Roman"/>
                <w:color w:val="auto"/>
                <w:highlight w:val="none"/>
              </w:rPr>
            </w:pPr>
            <w:r>
              <w:rPr>
                <w:rFonts w:hint="eastAsia" w:ascii="Times New Roman" w:hAnsi="Times New Roman"/>
                <w:color w:val="auto"/>
                <w:highlight w:val="none"/>
              </w:rPr>
              <w:t>直流 3.6V， 12 V, 24 V, 36V</w:t>
            </w:r>
          </w:p>
        </w:tc>
        <w:tc>
          <w:tcPr>
            <w:tcW w:w="3244" w:type="dxa"/>
            <w:shd w:val="clear" w:color="auto" w:fill="auto"/>
          </w:tcPr>
          <w:p w14:paraId="5309E67B">
            <w:pPr>
              <w:spacing w:line="276" w:lineRule="auto"/>
              <w:jc w:val="center"/>
              <w:rPr>
                <w:rFonts w:ascii="Times New Roman" w:hAnsi="Times New Roman"/>
                <w:color w:val="auto"/>
                <w:highlight w:val="none"/>
              </w:rPr>
            </w:pPr>
            <w:r>
              <w:rPr>
                <w:rFonts w:hint="eastAsia" w:ascii="Times New Roman" w:hAnsi="Times New Roman"/>
                <w:color w:val="auto"/>
                <w:highlight w:val="none"/>
              </w:rPr>
              <w:t>500 V， 50 Hz</w:t>
            </w:r>
          </w:p>
        </w:tc>
        <w:tc>
          <w:tcPr>
            <w:tcW w:w="3244" w:type="dxa"/>
            <w:vMerge w:val="continue"/>
            <w:shd w:val="clear" w:color="auto" w:fill="auto"/>
          </w:tcPr>
          <w:p w14:paraId="15FDA8C0">
            <w:pPr>
              <w:spacing w:line="276" w:lineRule="auto"/>
              <w:jc w:val="center"/>
              <w:rPr>
                <w:rFonts w:ascii="Times New Roman" w:hAnsi="Times New Roman"/>
                <w:color w:val="auto"/>
                <w:highlight w:val="none"/>
              </w:rPr>
            </w:pPr>
          </w:p>
        </w:tc>
      </w:tr>
    </w:tbl>
    <w:p w14:paraId="71C6B3F3">
      <w:pPr>
        <w:spacing w:line="276" w:lineRule="auto"/>
        <w:jc w:val="center"/>
        <w:rPr>
          <w:rFonts w:ascii="Times New Roman" w:hAnsi="Times New Roman"/>
          <w:color w:val="auto"/>
          <w:highlight w:val="none"/>
        </w:rPr>
      </w:pPr>
    </w:p>
    <w:p w14:paraId="3D633527">
      <w:pPr>
        <w:spacing w:line="276" w:lineRule="auto"/>
        <w:rPr>
          <w:rFonts w:ascii="Times New Roman" w:hAnsi="Times New Roman"/>
          <w:b/>
          <w:bCs/>
          <w:color w:val="auto"/>
          <w:highlight w:val="none"/>
        </w:rPr>
      </w:pPr>
      <w:r>
        <w:rPr>
          <w:rFonts w:hint="eastAsia" w:ascii="Times New Roman" w:hAnsi="Times New Roman"/>
          <w:b/>
          <w:bCs/>
          <w:color w:val="auto"/>
          <w:highlight w:val="none"/>
        </w:rPr>
        <w:t>4.3.4 直流反向保护</w:t>
      </w:r>
    </w:p>
    <w:p w14:paraId="17838BF0">
      <w:pPr>
        <w:spacing w:line="276" w:lineRule="auto"/>
        <w:ind w:firstLine="420"/>
        <w:rPr>
          <w:rFonts w:ascii="Times New Roman" w:hAnsi="Times New Roman"/>
          <w:color w:val="auto"/>
          <w:highlight w:val="none"/>
        </w:rPr>
      </w:pPr>
      <w:r>
        <w:rPr>
          <w:rFonts w:hint="eastAsia" w:ascii="Times New Roman" w:hAnsi="Times New Roman"/>
          <w:color w:val="auto"/>
          <w:highlight w:val="none"/>
        </w:rPr>
        <w:t>二线制直流供电的流量计，在电源端子间反向施加 1.1倍公称电压值，保持 5 min，应无损坏。</w:t>
      </w:r>
    </w:p>
    <w:p w14:paraId="7781EA80">
      <w:pPr>
        <w:spacing w:line="276" w:lineRule="auto"/>
        <w:rPr>
          <w:rFonts w:ascii="Times New Roman" w:hAnsi="Times New Roman"/>
          <w:b/>
          <w:bCs/>
          <w:color w:val="auto"/>
          <w:highlight w:val="none"/>
        </w:rPr>
      </w:pPr>
      <w:r>
        <w:rPr>
          <w:rFonts w:hint="eastAsia" w:ascii="Times New Roman" w:hAnsi="Times New Roman"/>
          <w:b/>
          <w:bCs/>
          <w:color w:val="auto"/>
          <w:highlight w:val="none"/>
        </w:rPr>
        <w:t>4.3.5 防爆性能</w:t>
      </w:r>
    </w:p>
    <w:p w14:paraId="68273B90">
      <w:pPr>
        <w:spacing w:line="276" w:lineRule="auto"/>
        <w:ind w:firstLine="420"/>
        <w:rPr>
          <w:rFonts w:ascii="Times New Roman" w:hAnsi="Times New Roman"/>
          <w:color w:val="auto"/>
          <w:highlight w:val="none"/>
        </w:rPr>
      </w:pPr>
      <w:r>
        <w:rPr>
          <w:rFonts w:hint="eastAsia" w:ascii="Times New Roman" w:hAnsi="Times New Roman"/>
          <w:color w:val="auto"/>
          <w:highlight w:val="none"/>
        </w:rPr>
        <w:t>防爆型流量计的防爆性能应符合 GB</w:t>
      </w:r>
      <w:r>
        <w:rPr>
          <w:rFonts w:hint="eastAsia" w:ascii="Times New Roman" w:hAnsi="Times New Roman"/>
          <w:color w:val="auto"/>
          <w:highlight w:val="none"/>
          <w:lang w:val="en-US" w:eastAsia="zh-CN"/>
        </w:rPr>
        <w:t>/T</w:t>
      </w:r>
      <w:r>
        <w:rPr>
          <w:rFonts w:hint="eastAsia" w:ascii="Times New Roman" w:hAnsi="Times New Roman"/>
          <w:color w:val="auto"/>
          <w:highlight w:val="none"/>
        </w:rPr>
        <w:t xml:space="preserve"> 3836.1、GB</w:t>
      </w:r>
      <w:r>
        <w:rPr>
          <w:rFonts w:hint="eastAsia" w:ascii="Times New Roman" w:hAnsi="Times New Roman"/>
          <w:color w:val="auto"/>
          <w:highlight w:val="none"/>
          <w:lang w:val="en-US" w:eastAsia="zh-CN"/>
        </w:rPr>
        <w:t xml:space="preserve">/T </w:t>
      </w:r>
      <w:r>
        <w:rPr>
          <w:rFonts w:hint="eastAsia" w:ascii="Times New Roman" w:hAnsi="Times New Roman"/>
          <w:color w:val="auto"/>
          <w:highlight w:val="none"/>
        </w:rPr>
        <w:t>3836.2 和 GB</w:t>
      </w:r>
      <w:r>
        <w:rPr>
          <w:rFonts w:hint="eastAsia" w:ascii="Times New Roman" w:hAnsi="Times New Roman"/>
          <w:color w:val="auto"/>
          <w:highlight w:val="none"/>
          <w:lang w:val="en-US" w:eastAsia="zh-CN"/>
        </w:rPr>
        <w:t>/T</w:t>
      </w:r>
      <w:r>
        <w:rPr>
          <w:rFonts w:hint="eastAsia" w:ascii="Times New Roman" w:hAnsi="Times New Roman"/>
          <w:color w:val="auto"/>
          <w:highlight w:val="none"/>
        </w:rPr>
        <w:t xml:space="preserve"> 3836.4 的规定。</w:t>
      </w:r>
    </w:p>
    <w:p w14:paraId="3ACDB9BC">
      <w:pPr>
        <w:spacing w:line="276" w:lineRule="auto"/>
        <w:rPr>
          <w:rFonts w:ascii="Times New Roman" w:hAnsi="Times New Roman"/>
          <w:b/>
          <w:bCs/>
          <w:color w:val="auto"/>
          <w:highlight w:val="none"/>
        </w:rPr>
      </w:pPr>
      <w:r>
        <w:rPr>
          <w:rFonts w:hint="eastAsia" w:ascii="Times New Roman" w:hAnsi="Times New Roman"/>
          <w:b/>
          <w:bCs/>
          <w:color w:val="auto"/>
          <w:highlight w:val="none"/>
        </w:rPr>
        <w:t>4.3.6 外壳防护</w:t>
      </w:r>
    </w:p>
    <w:p w14:paraId="1E1833A8">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流量计的外壳防护等级应不低于 GB</w:t>
      </w:r>
      <w:r>
        <w:rPr>
          <w:rFonts w:hint="eastAsia" w:ascii="Times New Roman" w:hAnsi="Times New Roman"/>
          <w:color w:val="auto"/>
          <w:highlight w:val="none"/>
          <w:lang w:val="en-US" w:eastAsia="zh-CN"/>
        </w:rPr>
        <w:t>/T</w:t>
      </w:r>
      <w:r>
        <w:rPr>
          <w:rFonts w:hint="eastAsia" w:ascii="Times New Roman" w:hAnsi="Times New Roman"/>
          <w:color w:val="auto"/>
          <w:highlight w:val="none"/>
        </w:rPr>
        <w:t xml:space="preserve"> 4208 中规定的 IP54。</w:t>
      </w:r>
    </w:p>
    <w:p w14:paraId="69E19DD2">
      <w:pPr>
        <w:spacing w:line="276" w:lineRule="auto"/>
        <w:outlineLvl w:val="1"/>
        <w:rPr>
          <w:rFonts w:ascii="Times New Roman" w:hAnsi="Times New Roman"/>
          <w:b/>
          <w:bCs/>
          <w:color w:val="auto"/>
          <w:highlight w:val="none"/>
        </w:rPr>
      </w:pPr>
      <w:bookmarkStart w:id="63" w:name="_Toc14978"/>
      <w:r>
        <w:rPr>
          <w:rFonts w:hint="eastAsia" w:ascii="Times New Roman" w:hAnsi="Times New Roman"/>
          <w:b/>
          <w:bCs/>
          <w:color w:val="auto"/>
          <w:highlight w:val="none"/>
        </w:rPr>
        <w:t>4.4 其他性能</w:t>
      </w:r>
      <w:bookmarkEnd w:id="63"/>
    </w:p>
    <w:p w14:paraId="39B1052A">
      <w:pPr>
        <w:spacing w:line="276" w:lineRule="auto"/>
        <w:rPr>
          <w:rFonts w:ascii="Times New Roman" w:hAnsi="Times New Roman"/>
          <w:b/>
          <w:bCs/>
          <w:color w:val="auto"/>
          <w:highlight w:val="none"/>
        </w:rPr>
      </w:pPr>
      <w:r>
        <w:rPr>
          <w:rFonts w:hint="eastAsia" w:ascii="Times New Roman" w:hAnsi="Times New Roman"/>
          <w:b/>
          <w:bCs/>
          <w:color w:val="auto"/>
          <w:highlight w:val="none"/>
        </w:rPr>
        <w:t>4.4.1 抗运输环境性能</w:t>
      </w:r>
    </w:p>
    <w:p w14:paraId="70EBDCCE">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流量计在运输包装条件下，经受高温为+55℃、低温为-25℃的运输环境温度试验，高度为 100 mm的自由跌落试验和连续冲击试验后，其性能仍应符合 4.1.1～4.1.5、4.4.2 的要求。</w:t>
      </w:r>
    </w:p>
    <w:p w14:paraId="58202436">
      <w:pPr>
        <w:spacing w:line="276" w:lineRule="auto"/>
        <w:rPr>
          <w:rFonts w:ascii="Times New Roman" w:hAnsi="Times New Roman"/>
          <w:b/>
          <w:bCs/>
          <w:color w:val="auto"/>
          <w:highlight w:val="none"/>
        </w:rPr>
      </w:pPr>
      <w:r>
        <w:rPr>
          <w:rFonts w:hint="eastAsia" w:ascii="Times New Roman" w:hAnsi="Times New Roman"/>
          <w:b/>
          <w:bCs/>
          <w:color w:val="auto"/>
          <w:highlight w:val="none"/>
        </w:rPr>
        <w:t>4.4.2 外观</w:t>
      </w:r>
    </w:p>
    <w:p w14:paraId="318F5EBD">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流量计的外观应符合以下要求：</w:t>
      </w:r>
    </w:p>
    <w:p w14:paraId="4D46001C">
      <w:pPr>
        <w:spacing w:line="276" w:lineRule="auto"/>
        <w:ind w:firstLine="420"/>
        <w:rPr>
          <w:rFonts w:ascii="Times New Roman" w:hAnsi="Times New Roman"/>
          <w:color w:val="auto"/>
          <w:highlight w:val="none"/>
        </w:rPr>
      </w:pPr>
      <w:r>
        <w:rPr>
          <w:rFonts w:hint="eastAsia" w:ascii="Times New Roman" w:hAnsi="Times New Roman"/>
          <w:color w:val="auto"/>
          <w:highlight w:val="none"/>
        </w:rPr>
        <w:t>a）外表面应有良好的处理，色泽均匀，不得有毛刺、刻痕、裂纹、起皮剥落、锈蚀和霉斑等缺陷；</w:t>
      </w:r>
    </w:p>
    <w:p w14:paraId="09BD89E3">
      <w:pPr>
        <w:spacing w:line="276" w:lineRule="auto"/>
        <w:ind w:firstLine="420"/>
        <w:rPr>
          <w:rFonts w:ascii="Times New Roman" w:hAnsi="Times New Roman"/>
          <w:color w:val="auto"/>
          <w:highlight w:val="none"/>
        </w:rPr>
      </w:pPr>
      <w:r>
        <w:rPr>
          <w:rFonts w:hint="eastAsia" w:ascii="Times New Roman" w:hAnsi="Times New Roman"/>
          <w:color w:val="auto"/>
          <w:highlight w:val="none"/>
        </w:rPr>
        <w:t>b）表体连接部分的焊接应平整光滑，不得有虚焊、脱焊现象：</w:t>
      </w:r>
    </w:p>
    <w:p w14:paraId="553C6B3C">
      <w:pPr>
        <w:spacing w:line="276" w:lineRule="auto"/>
        <w:ind w:firstLine="420"/>
        <w:rPr>
          <w:rFonts w:ascii="Times New Roman" w:hAnsi="Times New Roman"/>
          <w:color w:val="auto"/>
          <w:highlight w:val="none"/>
        </w:rPr>
      </w:pPr>
      <w:r>
        <w:rPr>
          <w:rFonts w:hint="eastAsia" w:ascii="Times New Roman" w:hAnsi="Times New Roman"/>
          <w:color w:val="auto"/>
          <w:highlight w:val="none"/>
        </w:rPr>
        <w:t>c）紧固件无松动、脱落等现象；</w:t>
      </w:r>
    </w:p>
    <w:p w14:paraId="67E46B7C">
      <w:pPr>
        <w:spacing w:line="276" w:lineRule="auto"/>
        <w:ind w:firstLine="420"/>
        <w:rPr>
          <w:rFonts w:ascii="Times New Roman" w:hAnsi="Times New Roman"/>
          <w:color w:val="auto"/>
          <w:highlight w:val="none"/>
        </w:rPr>
      </w:pPr>
      <w:r>
        <w:rPr>
          <w:rFonts w:hint="eastAsia" w:ascii="Times New Roman" w:hAnsi="Times New Roman"/>
          <w:color w:val="auto"/>
          <w:highlight w:val="none"/>
        </w:rPr>
        <w:t>d）显示窗应醒目、整齐，防护玻璃应有良好的透明度，应无妨害准确读数的缺陷，按键应无粘连现象；</w:t>
      </w:r>
    </w:p>
    <w:p w14:paraId="4B9C39C7">
      <w:pPr>
        <w:spacing w:line="276" w:lineRule="auto"/>
        <w:ind w:firstLine="420"/>
        <w:rPr>
          <w:rFonts w:ascii="Times New Roman" w:hAnsi="Times New Roman"/>
          <w:color w:val="auto"/>
          <w:highlight w:val="none"/>
        </w:rPr>
      </w:pPr>
      <w:r>
        <w:rPr>
          <w:rFonts w:hint="eastAsia" w:ascii="Times New Roman" w:hAnsi="Times New Roman"/>
          <w:color w:val="auto"/>
          <w:highlight w:val="none"/>
        </w:rPr>
        <w:t>e）流量计上的文字、数字、符号及标志应正确、清晰。</w:t>
      </w:r>
    </w:p>
    <w:p w14:paraId="4E4FBA38">
      <w:pPr>
        <w:spacing w:line="276" w:lineRule="auto"/>
        <w:outlineLvl w:val="0"/>
        <w:rPr>
          <w:rFonts w:ascii="Times New Roman" w:hAnsi="Times New Roman"/>
          <w:b/>
          <w:bCs/>
          <w:color w:val="auto"/>
          <w:highlight w:val="none"/>
        </w:rPr>
      </w:pPr>
      <w:bookmarkStart w:id="64" w:name="_Toc21820"/>
      <w:bookmarkStart w:id="65" w:name="_Toc21928_WPSOffice_Level2"/>
      <w:r>
        <w:rPr>
          <w:rFonts w:hint="eastAsia" w:ascii="Times New Roman" w:hAnsi="Times New Roman"/>
          <w:b/>
          <w:bCs/>
          <w:color w:val="auto"/>
          <w:highlight w:val="none"/>
        </w:rPr>
        <w:t>5 试验方法</w:t>
      </w:r>
      <w:bookmarkEnd w:id="64"/>
      <w:bookmarkEnd w:id="65"/>
    </w:p>
    <w:p w14:paraId="292A9C8D">
      <w:pPr>
        <w:spacing w:line="276" w:lineRule="auto"/>
        <w:outlineLvl w:val="1"/>
        <w:rPr>
          <w:rFonts w:ascii="Times New Roman" w:hAnsi="Times New Roman"/>
          <w:b/>
          <w:bCs/>
          <w:color w:val="auto"/>
          <w:highlight w:val="none"/>
        </w:rPr>
      </w:pPr>
      <w:bookmarkStart w:id="66" w:name="_Toc21693"/>
      <w:r>
        <w:rPr>
          <w:rFonts w:hint="eastAsia" w:ascii="Times New Roman" w:hAnsi="Times New Roman"/>
          <w:b/>
          <w:bCs/>
          <w:color w:val="auto"/>
          <w:highlight w:val="none"/>
        </w:rPr>
        <w:t>5.1 试验条件</w:t>
      </w:r>
      <w:bookmarkEnd w:id="66"/>
    </w:p>
    <w:p w14:paraId="0AC2215A">
      <w:pPr>
        <w:spacing w:line="276" w:lineRule="auto"/>
        <w:rPr>
          <w:rFonts w:ascii="Times New Roman" w:hAnsi="Times New Roman"/>
          <w:b/>
          <w:bCs/>
          <w:color w:val="auto"/>
          <w:highlight w:val="none"/>
        </w:rPr>
      </w:pPr>
      <w:r>
        <w:rPr>
          <w:rFonts w:hint="eastAsia" w:ascii="Times New Roman" w:hAnsi="Times New Roman"/>
          <w:b/>
          <w:bCs/>
          <w:color w:val="auto"/>
          <w:highlight w:val="none"/>
        </w:rPr>
        <w:t>5.1.1 参比试验大气条件</w:t>
      </w:r>
    </w:p>
    <w:p w14:paraId="3AC42307">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流量计的参比性能在下述大气条件下进行试验：</w:t>
      </w:r>
    </w:p>
    <w:p w14:paraId="3E016EC1">
      <w:pPr>
        <w:spacing w:line="276" w:lineRule="auto"/>
        <w:ind w:firstLine="420"/>
        <w:rPr>
          <w:rFonts w:ascii="Times New Roman" w:hAnsi="Times New Roman"/>
          <w:color w:val="auto"/>
          <w:highlight w:val="none"/>
        </w:rPr>
      </w:pPr>
      <w:r>
        <w:rPr>
          <w:rFonts w:hint="eastAsia" w:ascii="Times New Roman" w:hAnsi="Times New Roman"/>
          <w:color w:val="auto"/>
          <w:highlight w:val="none"/>
        </w:rPr>
        <w:t>温度：20℃±2℃；</w:t>
      </w:r>
    </w:p>
    <w:p w14:paraId="7A8F5274">
      <w:pPr>
        <w:spacing w:line="276" w:lineRule="auto"/>
        <w:ind w:firstLine="420"/>
        <w:rPr>
          <w:rFonts w:ascii="Times New Roman" w:hAnsi="Times New Roman"/>
          <w:color w:val="auto"/>
          <w:highlight w:val="none"/>
        </w:rPr>
      </w:pPr>
      <w:r>
        <w:rPr>
          <w:rFonts w:hint="eastAsia" w:ascii="Times New Roman" w:hAnsi="Times New Roman"/>
          <w:color w:val="auto"/>
          <w:highlight w:val="none"/>
        </w:rPr>
        <w:t>相对湿度：60%～70%；</w:t>
      </w:r>
    </w:p>
    <w:p w14:paraId="6F3FEEBE">
      <w:pPr>
        <w:spacing w:line="276" w:lineRule="auto"/>
        <w:rPr>
          <w:rFonts w:ascii="Times New Roman" w:hAnsi="Times New Roman"/>
          <w:color w:val="auto"/>
          <w:highlight w:val="none"/>
        </w:rPr>
      </w:pPr>
      <w:r>
        <w:rPr>
          <w:rFonts w:ascii="Times New Roman" w:hAnsi="Times New Roman"/>
          <w:color w:val="auto"/>
          <w:highlight w:val="none"/>
        </w:rPr>
        <w:tab/>
      </w:r>
      <w:r>
        <w:rPr>
          <w:rFonts w:hint="eastAsia" w:ascii="Times New Roman" w:hAnsi="Times New Roman"/>
          <w:color w:val="auto"/>
          <w:highlight w:val="none"/>
        </w:rPr>
        <w:t>大气压力：86 kPa～106 kPa。</w:t>
      </w:r>
    </w:p>
    <w:p w14:paraId="74C6F8B1">
      <w:pPr>
        <w:spacing w:line="276" w:lineRule="auto"/>
        <w:rPr>
          <w:rFonts w:ascii="Times New Roman" w:hAnsi="Times New Roman"/>
          <w:b/>
          <w:bCs/>
          <w:color w:val="auto"/>
          <w:highlight w:val="none"/>
        </w:rPr>
      </w:pPr>
      <w:r>
        <w:rPr>
          <w:rFonts w:hint="eastAsia" w:ascii="Times New Roman" w:hAnsi="Times New Roman"/>
          <w:b/>
          <w:bCs/>
          <w:color w:val="auto"/>
          <w:highlight w:val="none"/>
        </w:rPr>
        <w:t>5.1.2 一般试验大气条件</w:t>
      </w:r>
    </w:p>
    <w:p w14:paraId="3B8394B2">
      <w:pPr>
        <w:spacing w:line="276" w:lineRule="auto"/>
        <w:ind w:firstLine="420"/>
        <w:rPr>
          <w:rFonts w:ascii="Times New Roman" w:hAnsi="Times New Roman"/>
          <w:color w:val="auto"/>
          <w:highlight w:val="none"/>
        </w:rPr>
      </w:pPr>
      <w:r>
        <w:rPr>
          <w:rFonts w:hint="eastAsia" w:ascii="Times New Roman" w:hAnsi="Times New Roman"/>
          <w:color w:val="auto"/>
          <w:highlight w:val="none"/>
        </w:rPr>
        <w:t>若不具备参比大气条件，或无需在参比大气条件下进行试验，推荐采用下述大气条件:</w:t>
      </w:r>
    </w:p>
    <w:p w14:paraId="5F34C175">
      <w:pPr>
        <w:spacing w:line="276" w:lineRule="auto"/>
        <w:ind w:firstLine="420"/>
        <w:rPr>
          <w:rFonts w:ascii="Times New Roman" w:hAnsi="Times New Roman"/>
          <w:color w:val="auto"/>
          <w:highlight w:val="none"/>
        </w:rPr>
      </w:pPr>
      <w:r>
        <w:rPr>
          <w:rFonts w:hint="eastAsia" w:ascii="Times New Roman" w:hAnsi="Times New Roman"/>
          <w:color w:val="auto"/>
          <w:highlight w:val="none"/>
        </w:rPr>
        <w:t>温度：5℃～35℃：</w:t>
      </w:r>
    </w:p>
    <w:p w14:paraId="0C5981D0">
      <w:pPr>
        <w:spacing w:line="276" w:lineRule="auto"/>
        <w:ind w:firstLine="420"/>
        <w:rPr>
          <w:rFonts w:ascii="Times New Roman" w:hAnsi="Times New Roman"/>
          <w:color w:val="auto"/>
          <w:highlight w:val="none"/>
        </w:rPr>
      </w:pPr>
      <w:r>
        <w:rPr>
          <w:rFonts w:hint="eastAsia" w:ascii="Times New Roman" w:hAnsi="Times New Roman"/>
          <w:color w:val="auto"/>
          <w:highlight w:val="none"/>
        </w:rPr>
        <w:t>相对湿度：45%～75%；</w:t>
      </w:r>
    </w:p>
    <w:p w14:paraId="6D349206">
      <w:pPr>
        <w:spacing w:line="276" w:lineRule="auto"/>
        <w:ind w:firstLine="420"/>
        <w:rPr>
          <w:rFonts w:ascii="Times New Roman" w:hAnsi="Times New Roman"/>
          <w:color w:val="auto"/>
          <w:highlight w:val="none"/>
        </w:rPr>
      </w:pPr>
      <w:r>
        <w:rPr>
          <w:rFonts w:hint="eastAsia" w:ascii="Times New Roman" w:hAnsi="Times New Roman"/>
          <w:color w:val="auto"/>
          <w:highlight w:val="none"/>
        </w:rPr>
        <w:t>大气压力：86 kPa～106 kPa。</w:t>
      </w:r>
    </w:p>
    <w:p w14:paraId="4775C3F1">
      <w:pPr>
        <w:spacing w:line="276" w:lineRule="auto"/>
        <w:rPr>
          <w:rFonts w:ascii="Times New Roman" w:hAnsi="Times New Roman"/>
          <w:b/>
          <w:bCs/>
          <w:color w:val="auto"/>
          <w:highlight w:val="none"/>
        </w:rPr>
      </w:pPr>
      <w:r>
        <w:rPr>
          <w:rFonts w:hint="eastAsia" w:ascii="Times New Roman" w:hAnsi="Times New Roman"/>
          <w:b/>
          <w:bCs/>
          <w:color w:val="auto"/>
          <w:highlight w:val="none"/>
        </w:rPr>
        <w:t>5.1.3 电源条件</w:t>
      </w:r>
    </w:p>
    <w:p w14:paraId="26CBFD22">
      <w:pPr>
        <w:spacing w:line="276" w:lineRule="auto"/>
        <w:ind w:firstLine="420"/>
        <w:rPr>
          <w:rFonts w:ascii="Times New Roman" w:hAnsi="Times New Roman"/>
          <w:color w:val="auto"/>
          <w:highlight w:val="none"/>
        </w:rPr>
      </w:pPr>
      <w:r>
        <w:rPr>
          <w:rFonts w:hint="eastAsia" w:ascii="Times New Roman" w:hAnsi="Times New Roman"/>
          <w:color w:val="auto"/>
          <w:highlight w:val="none"/>
        </w:rPr>
        <w:t>电源条件如下:</w:t>
      </w:r>
    </w:p>
    <w:p w14:paraId="48AF47F0">
      <w:pPr>
        <w:spacing w:line="276" w:lineRule="auto"/>
        <w:ind w:firstLine="420"/>
        <w:rPr>
          <w:rFonts w:ascii="Times New Roman" w:hAnsi="Times New Roman"/>
          <w:color w:val="auto"/>
          <w:highlight w:val="none"/>
        </w:rPr>
      </w:pPr>
      <w:r>
        <w:rPr>
          <w:rFonts w:hint="eastAsia" w:ascii="Times New Roman" w:hAnsi="Times New Roman"/>
          <w:color w:val="auto"/>
          <w:highlight w:val="none"/>
        </w:rPr>
        <w:t>a）交流电源：</w:t>
      </w:r>
    </w:p>
    <w:p w14:paraId="26F70C1D">
      <w:pPr>
        <w:spacing w:line="276" w:lineRule="auto"/>
        <w:ind w:left="420" w:firstLine="420"/>
        <w:rPr>
          <w:rFonts w:ascii="Times New Roman" w:hAnsi="Times New Roman"/>
          <w:color w:val="auto"/>
          <w:highlight w:val="none"/>
        </w:rPr>
      </w:pPr>
      <w:r>
        <w:rPr>
          <w:rFonts w:hint="eastAsia" w:ascii="Times New Roman" w:hAnsi="Times New Roman"/>
          <w:color w:val="auto"/>
          <w:highlight w:val="none"/>
        </w:rPr>
        <w:t>电压： 220 V，</w:t>
      </w:r>
      <w:bookmarkStart w:id="67" w:name="OLE_LINK5"/>
      <w:r>
        <w:rPr>
          <w:rFonts w:hint="eastAsia" w:ascii="Times New Roman" w:hAnsi="Times New Roman"/>
          <w:color w:val="auto"/>
          <w:highlight w:val="none"/>
        </w:rPr>
        <w:t>允差</w:t>
      </w:r>
      <w:bookmarkEnd w:id="67"/>
      <w:r>
        <w:rPr>
          <w:rFonts w:hint="eastAsia" w:ascii="Times New Roman" w:hAnsi="Times New Roman"/>
          <w:color w:val="auto"/>
          <w:highlight w:val="none"/>
        </w:rPr>
        <w:t>±1%；</w:t>
      </w:r>
    </w:p>
    <w:p w14:paraId="6F57AF10">
      <w:pPr>
        <w:spacing w:line="276" w:lineRule="auto"/>
        <w:ind w:left="420" w:firstLine="420"/>
        <w:rPr>
          <w:rFonts w:ascii="Times New Roman" w:hAnsi="Times New Roman"/>
          <w:color w:val="auto"/>
          <w:highlight w:val="none"/>
        </w:rPr>
      </w:pPr>
      <w:r>
        <w:rPr>
          <w:rFonts w:hint="eastAsia" w:ascii="Times New Roman" w:hAnsi="Times New Roman"/>
          <w:color w:val="auto"/>
          <w:highlight w:val="none"/>
        </w:rPr>
        <w:t>频率：50 Hz，允差±1%:</w:t>
      </w:r>
    </w:p>
    <w:p w14:paraId="2A8298EF">
      <w:pPr>
        <w:spacing w:line="276" w:lineRule="auto"/>
        <w:ind w:left="420" w:firstLine="420"/>
        <w:rPr>
          <w:rFonts w:ascii="Times New Roman" w:hAnsi="Times New Roman"/>
          <w:color w:val="auto"/>
          <w:highlight w:val="none"/>
        </w:rPr>
      </w:pPr>
      <w:r>
        <w:rPr>
          <w:rFonts w:hint="eastAsia" w:ascii="Times New Roman" w:hAnsi="Times New Roman"/>
          <w:color w:val="auto"/>
          <w:highlight w:val="none"/>
        </w:rPr>
        <w:t>谐波失真：小于5%。</w:t>
      </w:r>
    </w:p>
    <w:p w14:paraId="2ADD2D51">
      <w:pPr>
        <w:spacing w:line="276" w:lineRule="auto"/>
        <w:ind w:firstLine="420"/>
        <w:rPr>
          <w:rFonts w:ascii="Times New Roman" w:hAnsi="Times New Roman"/>
          <w:color w:val="auto"/>
          <w:highlight w:val="none"/>
        </w:rPr>
      </w:pPr>
      <w:r>
        <w:rPr>
          <w:rFonts w:hint="eastAsia" w:ascii="Times New Roman" w:hAnsi="Times New Roman"/>
          <w:color w:val="auto"/>
          <w:highlight w:val="none"/>
        </w:rPr>
        <w:t>b) 直流电源</w:t>
      </w:r>
    </w:p>
    <w:p w14:paraId="5ABF2B6F">
      <w:pPr>
        <w:spacing w:line="276" w:lineRule="auto"/>
        <w:ind w:left="420" w:firstLine="420"/>
        <w:rPr>
          <w:rFonts w:ascii="Times New Roman" w:hAnsi="Times New Roman"/>
          <w:color w:val="auto"/>
          <w:highlight w:val="none"/>
        </w:rPr>
      </w:pPr>
      <w:r>
        <w:rPr>
          <w:rFonts w:hint="eastAsia" w:ascii="Times New Roman" w:hAnsi="Times New Roman"/>
          <w:color w:val="auto"/>
          <w:highlight w:val="none"/>
        </w:rPr>
        <w:t>电压：3.6V，12 V，24 V，36 V，允差±1%；</w:t>
      </w:r>
    </w:p>
    <w:p w14:paraId="1EFCD750">
      <w:pPr>
        <w:spacing w:line="276" w:lineRule="auto"/>
        <w:ind w:left="420" w:firstLine="420"/>
        <w:rPr>
          <w:rFonts w:ascii="Times New Roman" w:hAnsi="Times New Roman"/>
          <w:color w:val="auto"/>
          <w:highlight w:val="none"/>
        </w:rPr>
      </w:pPr>
      <w:r>
        <w:rPr>
          <w:rFonts w:hint="eastAsia" w:ascii="Times New Roman" w:hAnsi="Times New Roman"/>
          <w:color w:val="auto"/>
          <w:highlight w:val="none"/>
        </w:rPr>
        <w:t>纹波：小于 0.2%。</w:t>
      </w:r>
    </w:p>
    <w:p w14:paraId="65956C37">
      <w:pPr>
        <w:spacing w:line="276" w:lineRule="auto"/>
        <w:rPr>
          <w:rFonts w:ascii="Times New Roman" w:hAnsi="Times New Roman"/>
          <w:b/>
          <w:bCs/>
          <w:color w:val="auto"/>
          <w:highlight w:val="none"/>
        </w:rPr>
      </w:pPr>
      <w:r>
        <w:rPr>
          <w:rFonts w:hint="eastAsia" w:ascii="Times New Roman" w:hAnsi="Times New Roman"/>
          <w:b/>
          <w:bCs/>
          <w:color w:val="auto"/>
          <w:highlight w:val="none"/>
        </w:rPr>
        <w:t>5.1.4 流量计安装</w:t>
      </w:r>
    </w:p>
    <w:p w14:paraId="41144430">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流量计的安装应符合以下条件：</w:t>
      </w:r>
    </w:p>
    <w:p w14:paraId="32271C21">
      <w:pPr>
        <w:spacing w:line="276" w:lineRule="auto"/>
        <w:ind w:firstLine="420"/>
        <w:rPr>
          <w:rFonts w:ascii="Times New Roman" w:hAnsi="Times New Roman"/>
          <w:color w:val="auto"/>
          <w:highlight w:val="none"/>
        </w:rPr>
      </w:pPr>
      <w:r>
        <w:rPr>
          <w:rFonts w:hint="eastAsia" w:ascii="Times New Roman" w:hAnsi="Times New Roman"/>
          <w:color w:val="auto"/>
          <w:highlight w:val="none"/>
        </w:rPr>
        <w:t>a）流量计相邻上、下游管道内径应不小于流量计公称通径，可稍大，但不得超过公称通径的 3%；</w:t>
      </w:r>
    </w:p>
    <w:p w14:paraId="77E2FAE9">
      <w:pPr>
        <w:spacing w:line="276" w:lineRule="auto"/>
        <w:ind w:left="844" w:leftChars="202" w:hanging="420" w:hangingChars="200"/>
        <w:rPr>
          <w:rFonts w:ascii="Times New Roman" w:hAnsi="Times New Roman"/>
          <w:color w:val="auto"/>
          <w:highlight w:val="none"/>
        </w:rPr>
      </w:pPr>
      <w:r>
        <w:rPr>
          <w:rFonts w:hint="eastAsia" w:ascii="Times New Roman" w:hAnsi="Times New Roman"/>
          <w:color w:val="auto"/>
          <w:highlight w:val="none"/>
        </w:rPr>
        <w:t>b）流量计应水平安装，如倾斜，倾角不得超过 2°（适用于 1.0 和 1.5 级的流量计）或 5°（适用于 2.0、2.5、4.0 级的流量计)；</w:t>
      </w:r>
    </w:p>
    <w:p w14:paraId="5C03F410">
      <w:pPr>
        <w:spacing w:line="276" w:lineRule="auto"/>
        <w:ind w:firstLine="420"/>
        <w:rPr>
          <w:rFonts w:ascii="Times New Roman" w:hAnsi="Times New Roman"/>
          <w:color w:val="auto"/>
          <w:highlight w:val="none"/>
        </w:rPr>
      </w:pPr>
      <w:r>
        <w:rPr>
          <w:rFonts w:hint="eastAsia" w:ascii="Times New Roman" w:hAnsi="Times New Roman"/>
          <w:color w:val="auto"/>
          <w:highlight w:val="none"/>
        </w:rPr>
        <w:t>c）安装在流量计与管道之间的密封件不能凸入管道内部；</w:t>
      </w:r>
    </w:p>
    <w:p w14:paraId="054AE06A">
      <w:pPr>
        <w:spacing w:line="276" w:lineRule="auto"/>
        <w:rPr>
          <w:rFonts w:ascii="Times New Roman" w:hAnsi="Times New Roman"/>
          <w:b/>
          <w:bCs/>
          <w:color w:val="auto"/>
          <w:highlight w:val="none"/>
        </w:rPr>
      </w:pPr>
      <w:r>
        <w:rPr>
          <w:rFonts w:hint="eastAsia" w:ascii="Times New Roman" w:hAnsi="Times New Roman"/>
          <w:b/>
          <w:bCs/>
          <w:color w:val="auto"/>
          <w:highlight w:val="none"/>
        </w:rPr>
        <w:t>5.1.5 流量标准装置</w:t>
      </w:r>
    </w:p>
    <w:p w14:paraId="4350A56E">
      <w:pPr>
        <w:spacing w:line="276" w:lineRule="auto"/>
        <w:ind w:firstLine="420"/>
        <w:rPr>
          <w:rFonts w:ascii="Times New Roman" w:hAnsi="Times New Roman"/>
          <w:color w:val="auto"/>
          <w:highlight w:val="none"/>
        </w:rPr>
      </w:pPr>
      <w:r>
        <w:rPr>
          <w:rFonts w:hint="eastAsia" w:ascii="Times New Roman" w:hAnsi="Times New Roman"/>
          <w:color w:val="auto"/>
          <w:highlight w:val="none"/>
        </w:rPr>
        <w:t>流量标准</w:t>
      </w:r>
      <w:r>
        <w:rPr>
          <w:rFonts w:hint="eastAsia" w:ascii="Times New Roman" w:hAnsi="Times New Roman"/>
          <w:color w:val="auto"/>
          <w:highlight w:val="none"/>
          <w:lang w:eastAsia="zh-CN"/>
        </w:rPr>
        <w:t>装</w:t>
      </w:r>
      <w:r>
        <w:rPr>
          <w:rFonts w:hint="eastAsia" w:ascii="Times New Roman" w:hAnsi="Times New Roman"/>
          <w:color w:val="auto"/>
          <w:highlight w:val="none"/>
        </w:rPr>
        <w:t>置可选容积法流量标准装置、质量（称量）法流量标准装置或标准表法流量标准装置。流量标准装置应符合以下条件：</w:t>
      </w:r>
    </w:p>
    <w:p w14:paraId="57C9C040">
      <w:pPr>
        <w:spacing w:line="276" w:lineRule="auto"/>
        <w:ind w:firstLine="420"/>
        <w:rPr>
          <w:rFonts w:ascii="Times New Roman" w:hAnsi="Times New Roman"/>
          <w:color w:val="auto"/>
          <w:highlight w:val="none"/>
        </w:rPr>
      </w:pPr>
      <w:r>
        <w:rPr>
          <w:rFonts w:hint="eastAsia" w:ascii="Times New Roman" w:hAnsi="Times New Roman"/>
          <w:color w:val="auto"/>
          <w:highlight w:val="none"/>
        </w:rPr>
        <w:t>a）流量标准装置的不确定度应优于被试流量计的准确度等级的 1/2。当不超过 1/3 时，在计算被试</w:t>
      </w:r>
    </w:p>
    <w:p w14:paraId="23446754">
      <w:pPr>
        <w:spacing w:line="276" w:lineRule="auto"/>
        <w:ind w:left="708" w:leftChars="337" w:firstLine="1"/>
        <w:rPr>
          <w:rFonts w:ascii="Times New Roman" w:hAnsi="Times New Roman"/>
          <w:color w:val="auto"/>
          <w:highlight w:val="none"/>
        </w:rPr>
      </w:pPr>
      <w:r>
        <w:rPr>
          <w:rFonts w:hint="eastAsia" w:ascii="Times New Roman" w:hAnsi="Times New Roman"/>
          <w:color w:val="auto"/>
          <w:highlight w:val="none"/>
        </w:rPr>
        <w:t>流量计的基本误差时，流量标准装置的基本误差略去不计；否则，应以均方根法将流量标准装置的基本误差计入被试流量计的基本误差之中。</w:t>
      </w:r>
    </w:p>
    <w:p w14:paraId="254EDDAE">
      <w:pPr>
        <w:spacing w:line="276" w:lineRule="auto"/>
        <w:ind w:firstLine="420"/>
        <w:rPr>
          <w:rFonts w:ascii="Times New Roman" w:hAnsi="Times New Roman"/>
          <w:color w:val="auto"/>
          <w:highlight w:val="none"/>
        </w:rPr>
      </w:pPr>
      <w:r>
        <w:rPr>
          <w:rFonts w:hint="eastAsia" w:ascii="Times New Roman" w:hAnsi="Times New Roman"/>
          <w:color w:val="auto"/>
          <w:highlight w:val="none"/>
        </w:rPr>
        <w:t>b）流量标准装置应能覆盖被试流量计的流量测量范围。</w:t>
      </w:r>
    </w:p>
    <w:p w14:paraId="3B5C4CCA">
      <w:pPr>
        <w:spacing w:line="276" w:lineRule="auto"/>
        <w:ind w:firstLine="420"/>
        <w:rPr>
          <w:rFonts w:ascii="Times New Roman" w:hAnsi="Times New Roman"/>
          <w:color w:val="auto"/>
          <w:highlight w:val="none"/>
        </w:rPr>
      </w:pPr>
      <w:r>
        <w:rPr>
          <w:rFonts w:hint="eastAsia" w:ascii="Times New Roman" w:hAnsi="Times New Roman"/>
          <w:color w:val="auto"/>
          <w:highlight w:val="none"/>
        </w:rPr>
        <w:t>c）流量标准装置应能保证试验流体的流动是单相稳定流。</w:t>
      </w:r>
    </w:p>
    <w:p w14:paraId="24BDF411">
      <w:pPr>
        <w:spacing w:line="276" w:lineRule="auto"/>
        <w:ind w:left="850" w:leftChars="208" w:hanging="413"/>
        <w:rPr>
          <w:rFonts w:ascii="Times New Roman" w:hAnsi="Times New Roman"/>
          <w:color w:val="auto"/>
          <w:highlight w:val="none"/>
        </w:rPr>
      </w:pPr>
      <w:r>
        <w:rPr>
          <w:rFonts w:hint="eastAsia" w:ascii="Times New Roman" w:hAnsi="Times New Roman"/>
          <w:color w:val="auto"/>
          <w:highlight w:val="none"/>
        </w:rPr>
        <w:t>d）调节流量的装置应安装在被试流量计下游侧。液体流量标准装置应能保证管路中任一点的工作压力高于试验液体的汽化压力，且无窝集气体的缺陷。</w:t>
      </w:r>
    </w:p>
    <w:p w14:paraId="3FDC018E">
      <w:pPr>
        <w:spacing w:line="276" w:lineRule="auto"/>
        <w:rPr>
          <w:rFonts w:ascii="Times New Roman" w:hAnsi="Times New Roman"/>
          <w:b/>
          <w:bCs/>
          <w:color w:val="auto"/>
          <w:highlight w:val="none"/>
        </w:rPr>
      </w:pPr>
      <w:r>
        <w:rPr>
          <w:rFonts w:hint="eastAsia" w:ascii="Times New Roman" w:hAnsi="Times New Roman"/>
          <w:b/>
          <w:bCs/>
          <w:color w:val="auto"/>
          <w:highlight w:val="none"/>
        </w:rPr>
        <w:t>5.1.6 试验流体</w:t>
      </w:r>
    </w:p>
    <w:p w14:paraId="1F8F3309">
      <w:pPr>
        <w:spacing w:line="276" w:lineRule="auto"/>
        <w:ind w:firstLine="420"/>
        <w:rPr>
          <w:rFonts w:ascii="Times New Roman" w:hAnsi="Times New Roman"/>
          <w:color w:val="auto"/>
          <w:highlight w:val="none"/>
        </w:rPr>
      </w:pPr>
      <w:r>
        <w:rPr>
          <w:rFonts w:hint="eastAsia" w:ascii="Times New Roman" w:hAnsi="Times New Roman"/>
          <w:color w:val="auto"/>
          <w:highlight w:val="none"/>
        </w:rPr>
        <w:t>试验流体：液体用水；气体用干空气；蒸汽可用水或干空气替代。</w:t>
      </w:r>
    </w:p>
    <w:p w14:paraId="54FA9D35">
      <w:pPr>
        <w:spacing w:line="276" w:lineRule="auto"/>
        <w:ind w:firstLine="420"/>
        <w:rPr>
          <w:rFonts w:ascii="Times New Roman" w:hAnsi="Times New Roman"/>
          <w:color w:val="auto"/>
          <w:highlight w:val="none"/>
        </w:rPr>
      </w:pPr>
      <w:r>
        <w:rPr>
          <w:rFonts w:hint="eastAsia" w:ascii="Times New Roman" w:hAnsi="Times New Roman"/>
          <w:color w:val="auto"/>
          <w:highlight w:val="none"/>
        </w:rPr>
        <w:t>实际使用中，当被测流体的密度与水不同，或被测气体的参数和工作状态与制造厂的规定不同时，应对流量计示值读数进行换算，具体换算方法参见附录 A 和附录 B。</w:t>
      </w:r>
    </w:p>
    <w:p w14:paraId="5B73BCAE">
      <w:pPr>
        <w:spacing w:line="276" w:lineRule="auto"/>
        <w:rPr>
          <w:rFonts w:ascii="Times New Roman" w:hAnsi="Times New Roman"/>
          <w:b/>
          <w:bCs/>
          <w:color w:val="auto"/>
          <w:highlight w:val="none"/>
        </w:rPr>
      </w:pPr>
      <w:r>
        <w:rPr>
          <w:rFonts w:hint="eastAsia" w:ascii="Times New Roman" w:hAnsi="Times New Roman"/>
          <w:b/>
          <w:bCs/>
          <w:color w:val="auto"/>
          <w:highlight w:val="none"/>
        </w:rPr>
        <w:t>5.1.7 被试流量计的预热和调整</w:t>
      </w:r>
    </w:p>
    <w:p w14:paraId="1A320B34">
      <w:pPr>
        <w:spacing w:line="276" w:lineRule="auto"/>
        <w:ind w:firstLine="420"/>
        <w:rPr>
          <w:rFonts w:ascii="Times New Roman" w:hAnsi="Times New Roman"/>
          <w:color w:val="auto"/>
          <w:highlight w:val="none"/>
        </w:rPr>
      </w:pPr>
      <w:r>
        <w:rPr>
          <w:rFonts w:hint="eastAsia" w:ascii="Times New Roman" w:hAnsi="Times New Roman"/>
          <w:color w:val="auto"/>
          <w:highlight w:val="none"/>
        </w:rPr>
        <w:t>试验开始前，被试流量</w:t>
      </w:r>
      <w:r>
        <w:rPr>
          <w:rFonts w:hint="eastAsia" w:ascii="Times New Roman" w:hAnsi="Times New Roman"/>
          <w:color w:val="auto"/>
          <w:highlight w:val="none"/>
          <w:lang w:eastAsia="zh-CN"/>
        </w:rPr>
        <w:t>计至少</w:t>
      </w:r>
      <w:r>
        <w:rPr>
          <w:rFonts w:hint="eastAsia" w:ascii="Times New Roman" w:hAnsi="Times New Roman"/>
          <w:color w:val="auto"/>
          <w:highlight w:val="none"/>
        </w:rPr>
        <w:t>运行（量程的 50%）15 min。</w:t>
      </w:r>
    </w:p>
    <w:p w14:paraId="6B39CF4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除非另有规定，试验前应将流量计的测量范围下限值和测量范围上限值的误差调整到最小值。</w:t>
      </w:r>
    </w:p>
    <w:p w14:paraId="3E3756B1">
      <w:pPr>
        <w:spacing w:line="276" w:lineRule="auto"/>
        <w:outlineLvl w:val="1"/>
        <w:rPr>
          <w:rFonts w:ascii="Times New Roman" w:hAnsi="Times New Roman"/>
          <w:b/>
          <w:bCs/>
          <w:color w:val="auto"/>
          <w:highlight w:val="none"/>
        </w:rPr>
      </w:pPr>
      <w:bookmarkStart w:id="68" w:name="_Toc667"/>
      <w:r>
        <w:rPr>
          <w:rFonts w:hint="eastAsia" w:ascii="Times New Roman" w:hAnsi="Times New Roman"/>
          <w:b/>
          <w:bCs/>
          <w:color w:val="auto"/>
          <w:highlight w:val="none"/>
        </w:rPr>
        <w:t>5.2 基本性能试验</w:t>
      </w:r>
      <w:bookmarkEnd w:id="68"/>
    </w:p>
    <w:p w14:paraId="0131ED51">
      <w:pPr>
        <w:spacing w:line="276" w:lineRule="auto"/>
        <w:rPr>
          <w:rFonts w:ascii="Times New Roman" w:hAnsi="Times New Roman"/>
          <w:b/>
          <w:bCs/>
          <w:color w:val="auto"/>
          <w:highlight w:val="none"/>
        </w:rPr>
      </w:pPr>
      <w:r>
        <w:rPr>
          <w:rFonts w:hint="eastAsia" w:ascii="Times New Roman" w:hAnsi="Times New Roman"/>
          <w:b/>
          <w:bCs/>
          <w:color w:val="auto"/>
          <w:highlight w:val="none"/>
        </w:rPr>
        <w:t>5.2.1 基本误差试验</w:t>
      </w:r>
    </w:p>
    <w:p w14:paraId="338400F3">
      <w:pPr>
        <w:spacing w:line="276" w:lineRule="auto"/>
        <w:rPr>
          <w:rFonts w:ascii="Times New Roman" w:hAnsi="Times New Roman"/>
          <w:b/>
          <w:bCs/>
          <w:color w:val="auto"/>
          <w:highlight w:val="none"/>
        </w:rPr>
      </w:pPr>
      <w:r>
        <w:rPr>
          <w:rFonts w:hint="eastAsia" w:ascii="Times New Roman" w:hAnsi="Times New Roman"/>
          <w:b/>
          <w:bCs/>
          <w:color w:val="auto"/>
          <w:highlight w:val="none"/>
        </w:rPr>
        <w:t>5.2.1.1 试验点的选择及测量次数</w:t>
      </w:r>
    </w:p>
    <w:p w14:paraId="0CA63437">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流量计在规定的流量范围内，试验点应至少包括上、下限值在内的均匀分布的 5 个点。每个试验点正、反行程测量次数均不少于2 次。</w:t>
      </w:r>
    </w:p>
    <w:p w14:paraId="2DBDDB97">
      <w:pPr>
        <w:spacing w:line="276" w:lineRule="auto"/>
        <w:rPr>
          <w:rFonts w:ascii="Times New Roman" w:hAnsi="Times New Roman"/>
          <w:b/>
          <w:bCs/>
          <w:color w:val="auto"/>
          <w:highlight w:val="none"/>
        </w:rPr>
      </w:pPr>
      <w:r>
        <w:rPr>
          <w:rFonts w:hint="eastAsia" w:ascii="Times New Roman" w:hAnsi="Times New Roman"/>
          <w:b/>
          <w:bCs/>
          <w:color w:val="auto"/>
          <w:highlight w:val="none"/>
        </w:rPr>
        <w:t>5.2.1.2 基本误差的计算</w:t>
      </w:r>
    </w:p>
    <w:p w14:paraId="2BE8CB4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流量计各试验点的基本误差按公式（2）计算。</w:t>
      </w:r>
    </w:p>
    <w:p w14:paraId="0CE414D6">
      <w:pPr>
        <w:spacing w:line="276" w:lineRule="auto"/>
        <w:ind w:firstLine="420" w:firstLineChars="200"/>
        <w:rPr>
          <w:rFonts w:ascii="Times New Roman" w:hAnsi="Times New Roman"/>
          <w:color w:val="auto"/>
          <w:highlight w:val="none"/>
        </w:rPr>
      </w:pPr>
      <m:oMath>
        <m:sSub>
          <m:sSubPr>
            <m:ctrlPr>
              <w:rPr>
                <w:rFonts w:ascii="Cambria Math" w:hAnsi="Cambria Math"/>
                <w:i/>
                <w:color w:val="auto"/>
                <w:highlight w:val="none"/>
              </w:rPr>
            </m:ctrlPr>
          </m:sSubPr>
          <m:e>
            <m:r>
              <m:rPr/>
              <w:rPr>
                <w:rFonts w:ascii="Cambria Math" w:hAnsi="Cambria Math"/>
                <w:color w:val="auto"/>
                <w:highlight w:val="none"/>
              </w:rPr>
              <m:t>γ</m:t>
            </m:r>
            <m:ctrlPr>
              <w:rPr>
                <w:rFonts w:ascii="Cambria Math" w:hAnsi="Cambria Math"/>
                <w:i/>
                <w:color w:val="auto"/>
                <w:highlight w:val="none"/>
              </w:rPr>
            </m:ctrlPr>
          </m:e>
          <m:sub>
            <m:r>
              <m:rPr/>
              <w:rPr>
                <w:rFonts w:ascii="Cambria Math" w:hAnsi="Cambria Math"/>
                <w:color w:val="auto"/>
                <w:highlight w:val="none"/>
              </w:rPr>
              <m:t>i</m:t>
            </m:r>
            <m:ctrlPr>
              <w:rPr>
                <w:rFonts w:ascii="Cambria Math" w:hAnsi="Cambria Math"/>
                <w:i/>
                <w:color w:val="auto"/>
                <w:highlight w:val="none"/>
              </w:rPr>
            </m:ctrlPr>
          </m:sub>
        </m:sSub>
        <m:r>
          <m:rPr/>
          <w:rPr>
            <w:rFonts w:ascii="Cambria Math" w:hAnsi="Cambria Math"/>
            <w:color w:val="auto"/>
            <w:highlight w:val="none"/>
          </w:rPr>
          <m:t>=</m:t>
        </m:r>
        <m:f>
          <m:fPr>
            <m:ctrlPr>
              <w:rPr>
                <w:rFonts w:ascii="Cambria Math" w:hAnsi="Cambria Math"/>
                <w:i/>
                <w:color w:val="auto"/>
                <w:highlight w:val="none"/>
              </w:rPr>
            </m:ctrlPr>
          </m:fPr>
          <m:num>
            <m:sSub>
              <m:sSubPr>
                <m:ctrlPr>
                  <w:rPr>
                    <w:rFonts w:ascii="Cambria Math" w:hAnsi="Cambria Math"/>
                    <w:i/>
                    <w:color w:val="auto"/>
                    <w:highlight w:val="none"/>
                  </w:rPr>
                </m:ctrlPr>
              </m:sSubPr>
              <m:e>
                <m:r>
                  <m:rPr/>
                  <w:rPr>
                    <w:rFonts w:ascii="Cambria Math" w:hAnsi="Cambria Math"/>
                    <w:color w:val="auto"/>
                    <w:highlight w:val="none"/>
                  </w:rPr>
                  <m:t>Q</m:t>
                </m:r>
                <m:ctrlPr>
                  <w:rPr>
                    <w:rFonts w:ascii="Cambria Math" w:hAnsi="Cambria Math"/>
                    <w:i/>
                    <w:color w:val="auto"/>
                    <w:highlight w:val="none"/>
                  </w:rPr>
                </m:ctrlPr>
              </m:e>
              <m:sub>
                <m:r>
                  <m:rPr/>
                  <w:rPr>
                    <w:rFonts w:ascii="Cambria Math" w:hAnsi="Cambria Math"/>
                    <w:color w:val="auto"/>
                    <w:highlight w:val="none"/>
                  </w:rPr>
                  <m:t>i</m:t>
                </m:r>
                <m:ctrlPr>
                  <w:rPr>
                    <w:rFonts w:ascii="Cambria Math" w:hAnsi="Cambria Math"/>
                    <w:i/>
                    <w:color w:val="auto"/>
                    <w:highlight w:val="none"/>
                  </w:rPr>
                </m:ctrlPr>
              </m:sub>
            </m:sSub>
            <m:r>
              <m:rPr/>
              <w:rPr>
                <w:rFonts w:ascii="Cambria Math" w:hAnsi="Cambria Math"/>
                <w:color w:val="auto"/>
                <w:highlight w:val="none"/>
              </w:rPr>
              <m:t>−</m:t>
            </m:r>
            <m:sSub>
              <m:sSubPr>
                <m:ctrlPr>
                  <w:rPr>
                    <w:rFonts w:ascii="Cambria Math" w:hAnsi="Cambria Math"/>
                    <w:i/>
                    <w:color w:val="auto"/>
                    <w:highlight w:val="none"/>
                  </w:rPr>
                </m:ctrlPr>
              </m:sSubPr>
              <m:e>
                <m:r>
                  <m:rPr/>
                  <w:rPr>
                    <w:rFonts w:ascii="Cambria Math" w:hAnsi="Cambria Math"/>
                    <w:color w:val="auto"/>
                    <w:highlight w:val="none"/>
                  </w:rPr>
                  <m:t>Q</m:t>
                </m:r>
                <m:ctrlPr>
                  <w:rPr>
                    <w:rFonts w:ascii="Cambria Math" w:hAnsi="Cambria Math"/>
                    <w:i/>
                    <w:color w:val="auto"/>
                    <w:highlight w:val="none"/>
                  </w:rPr>
                </m:ctrlPr>
              </m:e>
              <m:sub>
                <m:r>
                  <m:rPr/>
                  <w:rPr>
                    <w:rFonts w:ascii="Cambria Math" w:hAnsi="Cambria Math"/>
                    <w:color w:val="auto"/>
                    <w:highlight w:val="none"/>
                  </w:rPr>
                  <m:t>si</m:t>
                </m:r>
                <m:ctrlPr>
                  <w:rPr>
                    <w:rFonts w:ascii="Cambria Math" w:hAnsi="Cambria Math"/>
                    <w:i/>
                    <w:color w:val="auto"/>
                    <w:highlight w:val="none"/>
                  </w:rPr>
                </m:ctrlPr>
              </m:sub>
            </m:sSub>
            <m:ctrlPr>
              <w:rPr>
                <w:rFonts w:ascii="Cambria Math" w:hAnsi="Cambria Math"/>
                <w:i/>
                <w:color w:val="auto"/>
                <w:highlight w:val="none"/>
              </w:rPr>
            </m:ctrlPr>
          </m:num>
          <m:den>
            <m:sSub>
              <m:sSubPr>
                <m:ctrlPr>
                  <w:rPr>
                    <w:rFonts w:ascii="Cambria Math" w:hAnsi="Cambria Math"/>
                    <w:i/>
                    <w:color w:val="auto"/>
                    <w:highlight w:val="none"/>
                  </w:rPr>
                </m:ctrlPr>
              </m:sSubPr>
              <m:e>
                <m:r>
                  <m:rPr/>
                  <w:rPr>
                    <w:rFonts w:hint="eastAsia" w:ascii="Cambria Math" w:hAnsi="Cambria Math"/>
                    <w:color w:val="auto"/>
                    <w:highlight w:val="none"/>
                  </w:rPr>
                  <m:t>Q</m:t>
                </m:r>
                <m:ctrlPr>
                  <w:rPr>
                    <w:rFonts w:ascii="Cambria Math" w:hAnsi="Cambria Math"/>
                    <w:i/>
                    <w:color w:val="auto"/>
                    <w:highlight w:val="none"/>
                  </w:rPr>
                </m:ctrlPr>
              </m:e>
              <m:sub>
                <m:r>
                  <m:rPr/>
                  <w:rPr>
                    <w:rFonts w:ascii="Cambria Math" w:hAnsi="Cambria Math"/>
                    <w:color w:val="auto"/>
                    <w:highlight w:val="none"/>
                  </w:rPr>
                  <m:t>max</m:t>
                </m:r>
                <m:ctrlPr>
                  <w:rPr>
                    <w:rFonts w:ascii="Cambria Math" w:hAnsi="Cambria Math"/>
                    <w:i/>
                    <w:color w:val="auto"/>
                    <w:highlight w:val="none"/>
                  </w:rPr>
                </m:ctrlPr>
              </m:sub>
            </m:sSub>
            <m:ctrlPr>
              <w:rPr>
                <w:rFonts w:ascii="Cambria Math" w:hAnsi="Cambria Math"/>
                <w:i/>
                <w:color w:val="auto"/>
                <w:highlight w:val="none"/>
              </w:rPr>
            </m:ctrlPr>
          </m:den>
        </m:f>
        <m:r>
          <m:rPr/>
          <w:rPr>
            <w:rFonts w:ascii="Cambria Math" w:hAnsi="Cambria Math"/>
            <w:color w:val="auto"/>
            <w:highlight w:val="none"/>
          </w:rPr>
          <m:t>×100%</m:t>
        </m:r>
      </m:oMath>
      <w:r>
        <w:rPr>
          <w:rFonts w:hint="eastAsia" w:ascii="Times New Roman" w:hAnsi="Times New Roman"/>
          <w:color w:val="auto"/>
          <w:highlight w:val="none"/>
        </w:rPr>
        <w:t xml:space="preserve">    -------------------------------------------------------(2)</w:t>
      </w:r>
    </w:p>
    <w:p w14:paraId="1CE949AA">
      <w:pPr>
        <w:spacing w:line="276" w:lineRule="auto"/>
        <w:ind w:firstLine="420" w:firstLineChars="200"/>
        <w:rPr>
          <w:rFonts w:ascii="Times New Roman" w:hAnsi="Times New Roman"/>
          <w:color w:val="auto"/>
          <w:highlight w:val="none"/>
        </w:rPr>
      </w:pPr>
    </w:p>
    <w:p w14:paraId="04A41BD7">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式中：</w:t>
      </w:r>
    </w:p>
    <w:p w14:paraId="7CEF44A6">
      <w:pPr>
        <w:spacing w:line="276" w:lineRule="auto"/>
        <w:ind w:firstLine="420" w:firstLineChars="200"/>
        <w:rPr>
          <w:rFonts w:ascii="Times New Roman" w:hAnsi="Times New Roman"/>
          <w:color w:val="auto"/>
          <w:highlight w:val="none"/>
        </w:rPr>
      </w:pPr>
      <m:oMath>
        <m:sSub>
          <m:sSubPr>
            <m:ctrlPr>
              <w:rPr>
                <w:rFonts w:ascii="Cambria Math" w:hAnsi="Cambria Math"/>
                <w:i/>
                <w:color w:val="auto"/>
                <w:highlight w:val="none"/>
              </w:rPr>
            </m:ctrlPr>
          </m:sSubPr>
          <m:e>
            <m:r>
              <m:rPr/>
              <w:rPr>
                <w:rFonts w:ascii="Cambria Math" w:hAnsi="Cambria Math"/>
                <w:color w:val="auto"/>
                <w:highlight w:val="none"/>
              </w:rPr>
              <m:t>γ</m:t>
            </m:r>
            <m:ctrlPr>
              <w:rPr>
                <w:rFonts w:ascii="Cambria Math" w:hAnsi="Cambria Math"/>
                <w:i/>
                <w:color w:val="auto"/>
                <w:highlight w:val="none"/>
              </w:rPr>
            </m:ctrlPr>
          </m:e>
          <m:sub>
            <m:r>
              <m:rPr/>
              <w:rPr>
                <w:rFonts w:hint="eastAsia" w:ascii="Cambria Math" w:hAnsi="Cambria Math"/>
                <w:color w:val="auto"/>
                <w:highlight w:val="none"/>
              </w:rPr>
              <m:t>i</m:t>
            </m:r>
            <m:ctrlPr>
              <w:rPr>
                <w:rFonts w:ascii="Cambria Math" w:hAnsi="Cambria Math"/>
                <w:i/>
                <w:color w:val="auto"/>
                <w:highlight w:val="none"/>
              </w:rPr>
            </m:ctrlPr>
          </m:sub>
        </m:sSub>
      </m:oMath>
      <w:r>
        <w:rPr>
          <w:rFonts w:hint="eastAsia" w:ascii="Times New Roman" w:hAnsi="Times New Roman"/>
          <w:color w:val="auto"/>
          <w:highlight w:val="none"/>
        </w:rPr>
        <w:t>——第i个试验点的基本误差；</w:t>
      </w:r>
    </w:p>
    <w:p w14:paraId="5153DDE0">
      <w:pPr>
        <w:spacing w:line="276" w:lineRule="auto"/>
        <w:ind w:firstLine="420" w:firstLineChars="200"/>
        <w:rPr>
          <w:rFonts w:ascii="Times New Roman" w:hAnsi="Times New Roman"/>
          <w:color w:val="auto"/>
          <w:highlight w:val="none"/>
        </w:rPr>
      </w:pPr>
      <m:oMath>
        <m:sSub>
          <m:sSubPr>
            <m:ctrlPr>
              <w:rPr>
                <w:rFonts w:ascii="Cambria Math" w:hAnsi="Cambria Math"/>
                <w:i/>
                <w:color w:val="auto"/>
                <w:highlight w:val="none"/>
              </w:rPr>
            </m:ctrlPr>
          </m:sSubPr>
          <m:e>
            <m:r>
              <m:rPr/>
              <w:rPr>
                <w:rFonts w:ascii="Cambria Math" w:hAnsi="Cambria Math"/>
                <w:color w:val="auto"/>
                <w:highlight w:val="none"/>
              </w:rPr>
              <m:t>Q</m:t>
            </m:r>
            <m:ctrlPr>
              <w:rPr>
                <w:rFonts w:ascii="Cambria Math" w:hAnsi="Cambria Math"/>
                <w:i/>
                <w:color w:val="auto"/>
                <w:highlight w:val="none"/>
              </w:rPr>
            </m:ctrlPr>
          </m:e>
          <m:sub>
            <m:r>
              <m:rPr/>
              <w:rPr>
                <w:rFonts w:ascii="Cambria Math" w:hAnsi="Cambria Math"/>
                <w:color w:val="auto"/>
                <w:highlight w:val="none"/>
              </w:rPr>
              <m:t>i</m:t>
            </m:r>
            <m:ctrlPr>
              <w:rPr>
                <w:rFonts w:ascii="Cambria Math" w:hAnsi="Cambria Math"/>
                <w:i/>
                <w:color w:val="auto"/>
                <w:highlight w:val="none"/>
              </w:rPr>
            </m:ctrlPr>
          </m:sub>
        </m:sSub>
      </m:oMath>
      <w:r>
        <w:rPr>
          <w:rFonts w:hint="eastAsia" w:ascii="Times New Roman" w:hAnsi="Times New Roman"/>
          <w:color w:val="auto"/>
          <w:highlight w:val="none"/>
        </w:rPr>
        <w:t>——第 i个试验点在同行程</w:t>
      </w:r>
      <w:r>
        <w:rPr>
          <w:rFonts w:hint="eastAsia" w:ascii="Times New Roman" w:hAnsi="Times New Roman"/>
          <w:color w:val="auto"/>
          <w:highlight w:val="none"/>
          <w:lang w:val="en-US" w:eastAsia="zh-CN"/>
        </w:rPr>
        <w:t>n</w:t>
      </w:r>
      <w:r>
        <w:rPr>
          <w:rFonts w:hint="eastAsia" w:ascii="Times New Roman" w:hAnsi="Times New Roman"/>
          <w:color w:val="auto"/>
          <w:highlight w:val="none"/>
        </w:rPr>
        <w:t>次测量中被试流量计示值流量（或输出信号所对应的流量）的算术</w:t>
      </w:r>
    </w:p>
    <w:p w14:paraId="19FDB5A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平均值，单位为立方米每小时（m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0A646048">
      <w:pPr>
        <w:spacing w:line="276" w:lineRule="auto"/>
        <w:ind w:firstLine="420" w:firstLineChars="200"/>
        <w:rPr>
          <w:rFonts w:ascii="Times New Roman" w:hAnsi="Times New Roman"/>
          <w:color w:val="auto"/>
          <w:highlight w:val="none"/>
        </w:rPr>
      </w:pPr>
      <m:oMath>
        <m:sSub>
          <m:sSubPr>
            <m:ctrlPr>
              <w:rPr>
                <w:rFonts w:ascii="Cambria Math" w:hAnsi="Cambria Math"/>
                <w:i/>
                <w:color w:val="auto"/>
                <w:highlight w:val="none"/>
              </w:rPr>
            </m:ctrlPr>
          </m:sSubPr>
          <m:e>
            <m:r>
              <m:rPr/>
              <w:rPr>
                <w:rFonts w:ascii="Cambria Math" w:hAnsi="Cambria Math"/>
                <w:color w:val="auto"/>
                <w:highlight w:val="none"/>
              </w:rPr>
              <m:t>Q</m:t>
            </m:r>
            <m:ctrlPr>
              <w:rPr>
                <w:rFonts w:ascii="Cambria Math" w:hAnsi="Cambria Math"/>
                <w:i/>
                <w:color w:val="auto"/>
                <w:highlight w:val="none"/>
              </w:rPr>
            </m:ctrlPr>
          </m:e>
          <m:sub>
            <m:r>
              <m:rPr/>
              <w:rPr>
                <w:rFonts w:ascii="Cambria Math" w:hAnsi="Cambria Math"/>
                <w:color w:val="auto"/>
                <w:highlight w:val="none"/>
              </w:rPr>
              <m:t>si</m:t>
            </m:r>
            <m:ctrlPr>
              <w:rPr>
                <w:rFonts w:ascii="Cambria Math" w:hAnsi="Cambria Math"/>
                <w:i/>
                <w:color w:val="auto"/>
                <w:highlight w:val="none"/>
              </w:rPr>
            </m:ctrlPr>
          </m:sub>
        </m:sSub>
      </m:oMath>
      <w:r>
        <w:rPr>
          <w:rFonts w:hint="eastAsia" w:ascii="Times New Roman" w:hAnsi="Times New Roman"/>
          <w:color w:val="auto"/>
          <w:highlight w:val="none"/>
        </w:rPr>
        <w:t>——第i个试验点在同行程n次测量中流量标准装置测定流量的算术平均值，单位为立方米每小</w:t>
      </w:r>
    </w:p>
    <w:p w14:paraId="4E40174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16CD0CEB">
      <w:pPr>
        <w:spacing w:line="276" w:lineRule="auto"/>
        <w:ind w:firstLine="420" w:firstLineChars="200"/>
        <w:rPr>
          <w:rFonts w:ascii="Times New Roman" w:hAnsi="Times New Roman"/>
          <w:color w:val="auto"/>
          <w:highlight w:val="none"/>
        </w:rPr>
      </w:pPr>
      <m:oMath>
        <m:sSub>
          <m:sSubPr>
            <m:ctrlPr>
              <w:rPr>
                <w:rFonts w:ascii="Cambria Math" w:hAnsi="Cambria Math"/>
                <w:i/>
                <w:color w:val="auto"/>
                <w:highlight w:val="none"/>
              </w:rPr>
            </m:ctrlPr>
          </m:sSubPr>
          <m:e>
            <m:r>
              <m:rPr/>
              <w:rPr>
                <w:rFonts w:ascii="Cambria Math" w:hAnsi="Cambria Math"/>
                <w:color w:val="auto"/>
                <w:highlight w:val="none"/>
              </w:rPr>
              <m:t>Q</m:t>
            </m:r>
            <m:ctrlPr>
              <w:rPr>
                <w:rFonts w:ascii="Cambria Math" w:hAnsi="Cambria Math"/>
                <w:i/>
                <w:color w:val="auto"/>
                <w:highlight w:val="none"/>
              </w:rPr>
            </m:ctrlPr>
          </m:e>
          <m:sub>
            <m:r>
              <m:rPr/>
              <w:rPr>
                <w:rFonts w:ascii="Cambria Math" w:hAnsi="Cambria Math"/>
                <w:color w:val="auto"/>
                <w:highlight w:val="none"/>
              </w:rPr>
              <m:t>max</m:t>
            </m:r>
            <m:ctrlPr>
              <w:rPr>
                <w:rFonts w:ascii="Cambria Math" w:hAnsi="Cambria Math"/>
                <w:i/>
                <w:color w:val="auto"/>
                <w:highlight w:val="none"/>
              </w:rPr>
            </m:ctrlPr>
          </m:sub>
        </m:sSub>
      </m:oMath>
      <w:r>
        <w:rPr>
          <w:rFonts w:hint="eastAsia" w:ascii="Times New Roman" w:hAnsi="Times New Roman"/>
          <w:color w:val="auto"/>
          <w:highlight w:val="none"/>
        </w:rPr>
        <w:t>——流量测量范围上限值，单位为立方米每小时(m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4EC20F48">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每个流量点的每次测试（含正、反行程）中的最大误差值为该流量计的基本误差。</w:t>
      </w:r>
    </w:p>
    <w:p w14:paraId="00AA6D89">
      <w:pPr>
        <w:spacing w:line="276" w:lineRule="auto"/>
        <w:rPr>
          <w:rFonts w:ascii="Times New Roman" w:hAnsi="Times New Roman"/>
          <w:b/>
          <w:bCs/>
          <w:color w:val="auto"/>
          <w:highlight w:val="none"/>
        </w:rPr>
      </w:pPr>
      <w:r>
        <w:rPr>
          <w:rFonts w:hint="eastAsia" w:ascii="Times New Roman" w:hAnsi="Times New Roman"/>
          <w:b/>
          <w:bCs/>
          <w:color w:val="auto"/>
          <w:highlight w:val="none"/>
        </w:rPr>
        <w:t>5.2.2 回差试验</w:t>
      </w:r>
    </w:p>
    <w:p w14:paraId="017777FE">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流量计的回差试验与基本误差试验同时进行。</w:t>
      </w:r>
    </w:p>
    <w:p w14:paraId="2F3B6934">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72576" behindDoc="1" locked="0" layoutInCell="1" allowOverlap="1">
            <wp:simplePos x="0" y="0"/>
            <wp:positionH relativeFrom="column">
              <wp:posOffset>571500</wp:posOffset>
            </wp:positionH>
            <wp:positionV relativeFrom="paragraph">
              <wp:posOffset>227330</wp:posOffset>
            </wp:positionV>
            <wp:extent cx="4305300" cy="523875"/>
            <wp:effectExtent l="0" t="0" r="0" b="9525"/>
            <wp:wrapNone/>
            <wp:docPr id="161109057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090577" name="图片 1"/>
                    <pic:cNvPicPr>
                      <a:picLocks noChangeAspect="1"/>
                    </pic:cNvPicPr>
                  </pic:nvPicPr>
                  <pic:blipFill>
                    <a:blip r:embed="rId15"/>
                    <a:stretch>
                      <a:fillRect/>
                    </a:stretch>
                  </pic:blipFill>
                  <pic:spPr>
                    <a:xfrm>
                      <a:off x="0" y="0"/>
                      <a:ext cx="4305300" cy="523875"/>
                    </a:xfrm>
                    <a:prstGeom prst="rect">
                      <a:avLst/>
                    </a:prstGeom>
                  </pic:spPr>
                </pic:pic>
              </a:graphicData>
            </a:graphic>
          </wp:anchor>
        </w:drawing>
      </w:r>
      <w:r>
        <w:rPr>
          <w:rFonts w:hint="eastAsia" w:ascii="Times New Roman" w:hAnsi="Times New Roman"/>
          <w:color w:val="auto"/>
          <w:highlight w:val="none"/>
        </w:rPr>
        <w:t>流量计各试验点的</w:t>
      </w:r>
      <w:bookmarkStart w:id="69" w:name="OLE_LINK6"/>
      <w:r>
        <w:rPr>
          <w:rFonts w:hint="eastAsia" w:ascii="Times New Roman" w:hAnsi="Times New Roman"/>
          <w:color w:val="auto"/>
          <w:highlight w:val="none"/>
        </w:rPr>
        <w:t>回差</w:t>
      </w:r>
      <w:bookmarkEnd w:id="69"/>
      <w:r>
        <w:rPr>
          <w:rFonts w:hint="eastAsia" w:ascii="Times New Roman" w:hAnsi="Times New Roman"/>
          <w:color w:val="auto"/>
          <w:highlight w:val="none"/>
        </w:rPr>
        <w:t>按公式（3）计算。</w:t>
      </w:r>
    </w:p>
    <w:p w14:paraId="3016DE60">
      <w:pPr>
        <w:spacing w:line="276" w:lineRule="auto"/>
        <w:ind w:firstLine="420" w:firstLineChars="200"/>
        <w:rPr>
          <w:rFonts w:ascii="Times New Roman" w:hAnsi="Times New Roman"/>
          <w:color w:val="auto"/>
          <w:highlight w:val="none"/>
        </w:rPr>
      </w:pPr>
    </w:p>
    <w:p w14:paraId="20FF3340">
      <w:pPr>
        <w:spacing w:line="276" w:lineRule="auto"/>
        <w:ind w:firstLine="420" w:firstLineChars="200"/>
        <w:rPr>
          <w:rFonts w:ascii="Times New Roman" w:hAnsi="Times New Roman"/>
          <w:color w:val="auto"/>
          <w:highlight w:val="none"/>
        </w:rPr>
      </w:pPr>
    </w:p>
    <w:p w14:paraId="4D41D992">
      <w:pPr>
        <w:spacing w:line="276" w:lineRule="auto"/>
        <w:ind w:firstLine="420" w:firstLineChars="200"/>
        <w:rPr>
          <w:rFonts w:ascii="Times New Roman" w:hAnsi="Times New Roman"/>
          <w:color w:val="auto"/>
          <w:highlight w:val="none"/>
        </w:rPr>
      </w:pPr>
    </w:p>
    <w:p w14:paraId="4ED6650C">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式中：</w:t>
      </w:r>
    </w:p>
    <w:p w14:paraId="65782C2B">
      <w:pPr>
        <w:spacing w:line="276" w:lineRule="auto"/>
        <w:ind w:firstLine="420" w:firstLineChars="200"/>
        <w:rPr>
          <w:rFonts w:ascii="Times New Roman" w:hAnsi="Times New Roman"/>
          <w:color w:val="auto"/>
          <w:highlight w:val="none"/>
        </w:rPr>
      </w:pPr>
    </w:p>
    <w:p w14:paraId="1E6FA93B">
      <w:pPr>
        <w:spacing w:line="276" w:lineRule="auto"/>
        <w:ind w:firstLine="630" w:firstLineChars="300"/>
        <w:rPr>
          <w:rFonts w:ascii="Times New Roman" w:hAnsi="Times New Roman"/>
          <w:color w:val="auto"/>
          <w:highlight w:val="none"/>
        </w:rPr>
      </w:pPr>
      <w:r>
        <w:rPr>
          <w:color w:val="auto"/>
          <w:highlight w:val="none"/>
        </w:rPr>
        <w:drawing>
          <wp:anchor distT="0" distB="0" distL="114300" distR="114300" simplePos="0" relativeHeight="251673600" behindDoc="1" locked="0" layoutInCell="1" allowOverlap="1">
            <wp:simplePos x="0" y="0"/>
            <wp:positionH relativeFrom="column">
              <wp:posOffset>227965</wp:posOffset>
            </wp:positionH>
            <wp:positionV relativeFrom="paragraph">
              <wp:posOffset>19050</wp:posOffset>
            </wp:positionV>
            <wp:extent cx="172085" cy="190500"/>
            <wp:effectExtent l="0" t="0" r="18415" b="0"/>
            <wp:wrapNone/>
            <wp:docPr id="12632090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20906" name="图片 1"/>
                    <pic:cNvPicPr>
                      <a:picLocks noChangeAspect="1"/>
                    </pic:cNvPicPr>
                  </pic:nvPicPr>
                  <pic:blipFill>
                    <a:blip r:embed="rId16"/>
                    <a:stretch>
                      <a:fillRect/>
                    </a:stretch>
                  </pic:blipFill>
                  <pic:spPr>
                    <a:xfrm>
                      <a:off x="0" y="0"/>
                      <a:ext cx="171789" cy="190195"/>
                    </a:xfrm>
                    <a:prstGeom prst="rect">
                      <a:avLst/>
                    </a:prstGeom>
                  </pic:spPr>
                </pic:pic>
              </a:graphicData>
            </a:graphic>
          </wp:anchor>
        </w:drawing>
      </w:r>
      <w:r>
        <w:rPr>
          <w:rFonts w:hint="eastAsia" w:ascii="Times New Roman" w:hAnsi="Times New Roman"/>
          <w:color w:val="auto"/>
          <w:highlight w:val="none"/>
        </w:rPr>
        <w:t>——第 i个试验点的回差；</w:t>
      </w:r>
    </w:p>
    <w:p w14:paraId="79946ED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fi</w:t>
      </w:r>
      <w:r>
        <w:rPr>
          <w:rFonts w:hint="eastAsia" w:ascii="Times New Roman" w:hAnsi="Times New Roman"/>
          <w:color w:val="auto"/>
          <w:highlight w:val="none"/>
        </w:rPr>
        <w:t>——第i个试验点正行程的Q</w:t>
      </w:r>
      <w:r>
        <w:rPr>
          <w:rFonts w:hint="eastAsia" w:ascii="Times New Roman" w:hAnsi="Times New Roman"/>
          <w:color w:val="auto"/>
          <w:highlight w:val="none"/>
          <w:vertAlign w:val="subscript"/>
        </w:rPr>
        <w:t>i</w:t>
      </w:r>
      <w:r>
        <w:rPr>
          <w:rFonts w:hint="eastAsia" w:ascii="Times New Roman" w:hAnsi="Times New Roman"/>
          <w:color w:val="auto"/>
          <w:highlight w:val="none"/>
        </w:rPr>
        <w:t>值，单位为立方米每小时（m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7E0194B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ri</w:t>
      </w:r>
      <w:r>
        <w:rPr>
          <w:rFonts w:hint="eastAsia" w:ascii="Times New Roman" w:hAnsi="Times New Roman"/>
          <w:color w:val="auto"/>
          <w:highlight w:val="none"/>
        </w:rPr>
        <w:t>——第i个试验点反行程的Q</w:t>
      </w:r>
      <w:r>
        <w:rPr>
          <w:rFonts w:hint="eastAsia" w:ascii="Times New Roman" w:hAnsi="Times New Roman"/>
          <w:color w:val="auto"/>
          <w:highlight w:val="none"/>
          <w:vertAlign w:val="subscript"/>
        </w:rPr>
        <w:t>i</w:t>
      </w:r>
      <w:r>
        <w:rPr>
          <w:rFonts w:hint="eastAsia" w:ascii="Times New Roman" w:hAnsi="Times New Roman"/>
          <w:color w:val="auto"/>
          <w:highlight w:val="none"/>
        </w:rPr>
        <w:t>值，单位为立方米每小时（m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0501579D">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所有试验点中的最大回差值为流量计的回差。</w:t>
      </w:r>
    </w:p>
    <w:p w14:paraId="158AE406">
      <w:pPr>
        <w:spacing w:line="276" w:lineRule="auto"/>
        <w:rPr>
          <w:rFonts w:ascii="Times New Roman" w:hAnsi="Times New Roman"/>
          <w:b/>
          <w:bCs/>
          <w:color w:val="auto"/>
          <w:highlight w:val="none"/>
        </w:rPr>
      </w:pPr>
      <w:r>
        <w:rPr>
          <w:rFonts w:hint="eastAsia" w:ascii="Times New Roman" w:hAnsi="Times New Roman"/>
          <w:b/>
          <w:bCs/>
          <w:color w:val="auto"/>
          <w:highlight w:val="none"/>
        </w:rPr>
        <w:t>5.2.3 报警设定点误差试验</w:t>
      </w:r>
    </w:p>
    <w:p w14:paraId="4BCE864E">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具有报警功能的流量计在报警范围内，试验点是设定点，正行程或反行程测量次数均不少于 3 次。</w:t>
      </w:r>
    </w:p>
    <w:p w14:paraId="35E4DE3F">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74624" behindDoc="1" locked="0" layoutInCell="1" allowOverlap="1">
            <wp:simplePos x="0" y="0"/>
            <wp:positionH relativeFrom="column">
              <wp:posOffset>398145</wp:posOffset>
            </wp:positionH>
            <wp:positionV relativeFrom="paragraph">
              <wp:posOffset>207010</wp:posOffset>
            </wp:positionV>
            <wp:extent cx="4248150" cy="476250"/>
            <wp:effectExtent l="0" t="0" r="0" b="0"/>
            <wp:wrapNone/>
            <wp:docPr id="12032341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3234117" name="图片 1"/>
                    <pic:cNvPicPr>
                      <a:picLocks noChangeAspect="1"/>
                    </pic:cNvPicPr>
                  </pic:nvPicPr>
                  <pic:blipFill>
                    <a:blip r:embed="rId17"/>
                    <a:stretch>
                      <a:fillRect/>
                    </a:stretch>
                  </pic:blipFill>
                  <pic:spPr>
                    <a:xfrm>
                      <a:off x="0" y="0"/>
                      <a:ext cx="4248150" cy="476250"/>
                    </a:xfrm>
                    <a:prstGeom prst="rect">
                      <a:avLst/>
                    </a:prstGeom>
                  </pic:spPr>
                </pic:pic>
              </a:graphicData>
            </a:graphic>
          </wp:anchor>
        </w:drawing>
      </w:r>
      <w:r>
        <w:rPr>
          <w:rFonts w:hint="eastAsia" w:ascii="Times New Roman" w:hAnsi="Times New Roman"/>
          <w:color w:val="auto"/>
          <w:highlight w:val="none"/>
        </w:rPr>
        <w:t>报警设定点误差按公式（4）计算。</w:t>
      </w:r>
    </w:p>
    <w:p w14:paraId="573B25A4">
      <w:pPr>
        <w:spacing w:line="276" w:lineRule="auto"/>
        <w:ind w:firstLine="420" w:firstLineChars="200"/>
        <w:rPr>
          <w:rFonts w:ascii="Times New Roman" w:hAnsi="Times New Roman"/>
          <w:color w:val="auto"/>
          <w:highlight w:val="none"/>
        </w:rPr>
      </w:pPr>
    </w:p>
    <w:p w14:paraId="4E0556C4">
      <w:pPr>
        <w:spacing w:line="276" w:lineRule="auto"/>
        <w:ind w:firstLine="420" w:firstLineChars="200"/>
        <w:rPr>
          <w:rFonts w:ascii="Times New Roman" w:hAnsi="Times New Roman"/>
          <w:color w:val="auto"/>
          <w:highlight w:val="none"/>
        </w:rPr>
      </w:pPr>
    </w:p>
    <w:p w14:paraId="64C08098">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式中：</w:t>
      </w:r>
    </w:p>
    <w:p w14:paraId="40C75C89">
      <w:pPr>
        <w:spacing w:line="276" w:lineRule="auto"/>
        <w:ind w:firstLine="420" w:firstLineChars="200"/>
        <w:rPr>
          <w:rFonts w:ascii="Times New Roman" w:hAnsi="Times New Roman"/>
          <w:color w:val="auto"/>
          <w:highlight w:val="none"/>
        </w:rPr>
      </w:pPr>
      <w:r>
        <w:rPr>
          <w:rFonts w:ascii="Times New Roman" w:hAnsi="Times New Roman"/>
          <w:color w:val="auto"/>
          <w:highlight w:val="none"/>
        </w:rPr>
        <w:t>r</w:t>
      </w:r>
      <w:r>
        <w:rPr>
          <w:rFonts w:hint="eastAsia" w:ascii="Times New Roman" w:hAnsi="Times New Roman"/>
          <w:color w:val="auto"/>
          <w:highlight w:val="none"/>
        </w:rPr>
        <w:t xml:space="preserve"> ------- 报警设定点误差；</w:t>
      </w:r>
    </w:p>
    <w:p w14:paraId="1C4EB5F0">
      <w:pPr>
        <w:spacing w:line="276" w:lineRule="auto"/>
        <w:ind w:left="1133" w:leftChars="203" w:hanging="707" w:hangingChars="337"/>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ni</w:t>
      </w:r>
      <w:r>
        <w:rPr>
          <w:rFonts w:hint="eastAsia" w:ascii="Times New Roman" w:hAnsi="Times New Roman"/>
          <w:color w:val="auto"/>
          <w:highlight w:val="none"/>
        </w:rPr>
        <w:t xml:space="preserve"> ——第i个设定点同行程n次测量中报警发讯瞬间示值所对应流量的算术平均值，单位为立方米每小时（m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117045A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0</w:t>
      </w:r>
      <w:r>
        <w:rPr>
          <w:rFonts w:hint="eastAsia" w:ascii="Times New Roman" w:hAnsi="Times New Roman"/>
          <w:color w:val="auto"/>
          <w:highlight w:val="none"/>
        </w:rPr>
        <w:t>—— 报警设定点的报警值所对应的流量值，单位为立方米每小时(m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3A2F39C7">
      <w:pPr>
        <w:spacing w:line="276" w:lineRule="auto"/>
        <w:rPr>
          <w:rFonts w:ascii="Times New Roman" w:hAnsi="Times New Roman"/>
          <w:b/>
          <w:bCs/>
          <w:color w:val="auto"/>
          <w:highlight w:val="none"/>
        </w:rPr>
      </w:pPr>
      <w:r>
        <w:rPr>
          <w:rFonts w:hint="eastAsia" w:ascii="Times New Roman" w:hAnsi="Times New Roman"/>
          <w:b/>
          <w:bCs/>
          <w:color w:val="auto"/>
          <w:highlight w:val="none"/>
        </w:rPr>
        <w:t>5.2.4 报警设定点切换差试验</w:t>
      </w:r>
    </w:p>
    <w:p w14:paraId="4AC3178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报警设定点切换差试验与报警设定点误差试验同时进行。</w:t>
      </w:r>
    </w:p>
    <w:p w14:paraId="368659EE">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75648" behindDoc="1" locked="0" layoutInCell="1" allowOverlap="1">
            <wp:simplePos x="0" y="0"/>
            <wp:positionH relativeFrom="column">
              <wp:posOffset>842645</wp:posOffset>
            </wp:positionH>
            <wp:positionV relativeFrom="paragraph">
              <wp:posOffset>225425</wp:posOffset>
            </wp:positionV>
            <wp:extent cx="3450590" cy="372745"/>
            <wp:effectExtent l="0" t="0" r="16510" b="8255"/>
            <wp:wrapNone/>
            <wp:docPr id="7262416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24164" name="图片 1"/>
                    <pic:cNvPicPr>
                      <a:picLocks noChangeAspect="1"/>
                    </pic:cNvPicPr>
                  </pic:nvPicPr>
                  <pic:blipFill>
                    <a:blip r:embed="rId18"/>
                    <a:stretch>
                      <a:fillRect/>
                    </a:stretch>
                  </pic:blipFill>
                  <pic:spPr>
                    <a:xfrm>
                      <a:off x="0" y="0"/>
                      <a:ext cx="3478639" cy="375762"/>
                    </a:xfrm>
                    <a:prstGeom prst="rect">
                      <a:avLst/>
                    </a:prstGeom>
                  </pic:spPr>
                </pic:pic>
              </a:graphicData>
            </a:graphic>
          </wp:anchor>
        </w:drawing>
      </w:r>
      <w:r>
        <w:rPr>
          <w:rFonts w:hint="eastAsia" w:ascii="Times New Roman" w:hAnsi="Times New Roman"/>
          <w:color w:val="auto"/>
          <w:highlight w:val="none"/>
        </w:rPr>
        <w:t>报警设定点切换差按公式（5）计算。</w:t>
      </w:r>
    </w:p>
    <w:p w14:paraId="5B7996F3">
      <w:pPr>
        <w:spacing w:line="276" w:lineRule="auto"/>
        <w:ind w:firstLine="420" w:firstLineChars="200"/>
        <w:rPr>
          <w:rFonts w:ascii="Times New Roman" w:hAnsi="Times New Roman"/>
          <w:color w:val="auto"/>
          <w:highlight w:val="none"/>
        </w:rPr>
      </w:pPr>
    </w:p>
    <w:p w14:paraId="5708096E">
      <w:pPr>
        <w:spacing w:line="276" w:lineRule="auto"/>
        <w:rPr>
          <w:rFonts w:ascii="Times New Roman" w:hAnsi="Times New Roman"/>
          <w:color w:val="auto"/>
          <w:highlight w:val="none"/>
        </w:rPr>
      </w:pPr>
    </w:p>
    <w:p w14:paraId="3D6922F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式中：</w:t>
      </w:r>
    </w:p>
    <w:p w14:paraId="3D1FEEE5">
      <w:pPr>
        <w:spacing w:line="276" w:lineRule="auto"/>
        <w:ind w:firstLine="630" w:firstLineChars="300"/>
        <w:rPr>
          <w:rFonts w:ascii="Times New Roman" w:hAnsi="Times New Roman"/>
          <w:color w:val="auto"/>
          <w:highlight w:val="none"/>
        </w:rPr>
      </w:pPr>
      <w:r>
        <w:rPr>
          <w:color w:val="auto"/>
          <w:highlight w:val="none"/>
        </w:rPr>
        <w:drawing>
          <wp:anchor distT="0" distB="0" distL="114300" distR="114300" simplePos="0" relativeHeight="251676672" behindDoc="1" locked="0" layoutInCell="1" allowOverlap="1">
            <wp:simplePos x="0" y="0"/>
            <wp:positionH relativeFrom="column">
              <wp:posOffset>278765</wp:posOffset>
            </wp:positionH>
            <wp:positionV relativeFrom="paragraph">
              <wp:posOffset>52705</wp:posOffset>
            </wp:positionV>
            <wp:extent cx="168275" cy="161290"/>
            <wp:effectExtent l="0" t="0" r="3175" b="10160"/>
            <wp:wrapNone/>
            <wp:docPr id="15149689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968927" name="图片 1"/>
                    <pic:cNvPicPr>
                      <a:picLocks noChangeAspect="1"/>
                    </pic:cNvPicPr>
                  </pic:nvPicPr>
                  <pic:blipFill>
                    <a:blip r:embed="rId19"/>
                    <a:stretch>
                      <a:fillRect/>
                    </a:stretch>
                  </pic:blipFill>
                  <pic:spPr>
                    <a:xfrm>
                      <a:off x="0" y="0"/>
                      <a:ext cx="168249" cy="161239"/>
                    </a:xfrm>
                    <a:prstGeom prst="rect">
                      <a:avLst/>
                    </a:prstGeom>
                  </pic:spPr>
                </pic:pic>
              </a:graphicData>
            </a:graphic>
          </wp:anchor>
        </w:drawing>
      </w:r>
      <w:r>
        <w:rPr>
          <w:rFonts w:hint="eastAsia" w:ascii="Times New Roman" w:hAnsi="Times New Roman"/>
          <w:color w:val="auto"/>
          <w:highlight w:val="none"/>
        </w:rPr>
        <w:t>——第 i个报警设定点的切换差；</w:t>
      </w:r>
    </w:p>
    <w:p w14:paraId="1B4BCDE8">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fai</w:t>
      </w:r>
      <w:r>
        <w:rPr>
          <w:rFonts w:hint="eastAsia" w:ascii="Times New Roman" w:hAnsi="Times New Roman"/>
          <w:color w:val="auto"/>
          <w:highlight w:val="none"/>
        </w:rPr>
        <w:t>——报警发讯瞬间的流量算术平均值，单位为立方米每小时（m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09EB0BCE">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rai</w:t>
      </w:r>
      <w:r>
        <w:rPr>
          <w:rFonts w:hint="eastAsia" w:ascii="Times New Roman" w:hAnsi="Times New Roman"/>
          <w:color w:val="auto"/>
          <w:highlight w:val="none"/>
        </w:rPr>
        <w:t>——报警解除瞬间的流</w:t>
      </w:r>
      <w:r>
        <w:rPr>
          <w:rFonts w:hint="eastAsia" w:ascii="Times New Roman" w:hAnsi="Times New Roman"/>
          <w:color w:val="auto"/>
          <w:highlight w:val="none"/>
          <w:lang w:eastAsia="zh-CN"/>
        </w:rPr>
        <w:t>量</w:t>
      </w:r>
      <w:r>
        <w:rPr>
          <w:rFonts w:hint="eastAsia" w:ascii="Times New Roman" w:hAnsi="Times New Roman"/>
          <w:color w:val="auto"/>
          <w:highlight w:val="none"/>
        </w:rPr>
        <w:t>算术平均值，单位为立方米每小时（m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270C8CB9">
      <w:pPr>
        <w:spacing w:line="276" w:lineRule="auto"/>
        <w:rPr>
          <w:rFonts w:ascii="Times New Roman" w:hAnsi="Times New Roman"/>
          <w:b/>
          <w:bCs/>
          <w:color w:val="auto"/>
          <w:highlight w:val="none"/>
        </w:rPr>
      </w:pPr>
      <w:r>
        <w:rPr>
          <w:rFonts w:hint="eastAsia" w:ascii="Times New Roman" w:hAnsi="Times New Roman"/>
          <w:b/>
          <w:bCs/>
          <w:color w:val="auto"/>
          <w:highlight w:val="none"/>
        </w:rPr>
        <w:t>5.2.5 报警设定点重复性误差试验</w:t>
      </w:r>
    </w:p>
    <w:p w14:paraId="1B3E336D">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报警设定点重复性误差试验与报警设定点误差试验同时进行。</w:t>
      </w:r>
    </w:p>
    <w:p w14:paraId="508BA24F">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77696" behindDoc="1" locked="0" layoutInCell="1" allowOverlap="1">
            <wp:simplePos x="0" y="0"/>
            <wp:positionH relativeFrom="column">
              <wp:posOffset>1844675</wp:posOffset>
            </wp:positionH>
            <wp:positionV relativeFrom="paragraph">
              <wp:posOffset>230505</wp:posOffset>
            </wp:positionV>
            <wp:extent cx="3060065" cy="453390"/>
            <wp:effectExtent l="0" t="0" r="6985" b="3810"/>
            <wp:wrapNone/>
            <wp:docPr id="736266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2662" name="图片 1"/>
                    <pic:cNvPicPr>
                      <a:picLocks noChangeAspect="1"/>
                    </pic:cNvPicPr>
                  </pic:nvPicPr>
                  <pic:blipFill>
                    <a:blip r:embed="rId20"/>
                    <a:stretch>
                      <a:fillRect/>
                    </a:stretch>
                  </pic:blipFill>
                  <pic:spPr>
                    <a:xfrm>
                      <a:off x="0" y="0"/>
                      <a:ext cx="3081568" cy="456540"/>
                    </a:xfrm>
                    <a:prstGeom prst="rect">
                      <a:avLst/>
                    </a:prstGeom>
                  </pic:spPr>
                </pic:pic>
              </a:graphicData>
            </a:graphic>
          </wp:anchor>
        </w:drawing>
      </w:r>
      <w:r>
        <w:rPr>
          <w:rFonts w:hint="eastAsia" w:ascii="Times New Roman" w:hAnsi="Times New Roman"/>
          <w:color w:val="auto"/>
          <w:highlight w:val="none"/>
        </w:rPr>
        <w:t>具有报警功能的流量计的报警设定点重复性误差按公式（6）计算。</w:t>
      </w:r>
    </w:p>
    <w:p w14:paraId="7482242F">
      <w:pPr>
        <w:spacing w:line="276" w:lineRule="auto"/>
        <w:ind w:firstLine="420" w:firstLineChars="200"/>
        <w:rPr>
          <w:rFonts w:ascii="Times New Roman" w:hAnsi="Times New Roman"/>
          <w:color w:val="auto"/>
          <w:highlight w:val="none"/>
        </w:rPr>
      </w:pPr>
    </w:p>
    <w:p w14:paraId="5B7ACF95">
      <w:pPr>
        <w:spacing w:line="276" w:lineRule="auto"/>
        <w:ind w:firstLine="420" w:firstLineChars="200"/>
        <w:rPr>
          <w:rFonts w:ascii="Times New Roman" w:hAnsi="Times New Roman"/>
          <w:color w:val="auto"/>
          <w:highlight w:val="none"/>
        </w:rPr>
      </w:pPr>
    </w:p>
    <w:p w14:paraId="7DB22CF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式中：</w:t>
      </w:r>
    </w:p>
    <w:p w14:paraId="2D5EA24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σ——报警设定点重复性误差；</w:t>
      </w:r>
    </w:p>
    <w:p w14:paraId="6978774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aj</w:t>
      </w:r>
      <w:r>
        <w:rPr>
          <w:rFonts w:hint="eastAsia" w:ascii="Times New Roman" w:hAnsi="Times New Roman"/>
          <w:color w:val="auto"/>
          <w:highlight w:val="none"/>
        </w:rPr>
        <w:t>——报警点同行程第j次试验中报警发讯瞬间示值所对应的流量（j=l，2，…，n)，单位为立方米每小时（m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2528D46F">
      <w:pPr>
        <w:spacing w:line="276" w:lineRule="auto"/>
        <w:rPr>
          <w:rFonts w:ascii="Times New Roman" w:hAnsi="Times New Roman"/>
          <w:b/>
          <w:bCs/>
          <w:color w:val="auto"/>
          <w:highlight w:val="none"/>
        </w:rPr>
      </w:pPr>
      <w:r>
        <w:rPr>
          <w:rFonts w:hint="eastAsia" w:ascii="Times New Roman" w:hAnsi="Times New Roman"/>
          <w:b/>
          <w:bCs/>
          <w:color w:val="auto"/>
          <w:highlight w:val="none"/>
        </w:rPr>
        <w:t>5.2.6 压力损失试验</w:t>
      </w:r>
    </w:p>
    <w:p w14:paraId="097E83F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流量计运行在规定的流量范围上限值，用准确度等级不低于1级的差压计测量上、下游压力。取压孔位于流量计入口上游 1D 和下游 4D 处管道截面上，呈水平状态正交管壁，其圆筒形长度不小于孔径的 2 倍，入口处应无毛刺和凸起，且应有半径不大于孔径 0.1%的倒角。孔径选择范围 3 mm～12 mm。</w:t>
      </w:r>
    </w:p>
    <w:p w14:paraId="5DD7C6EA">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78720" behindDoc="1" locked="0" layoutInCell="1" allowOverlap="1">
            <wp:simplePos x="0" y="0"/>
            <wp:positionH relativeFrom="column">
              <wp:posOffset>1523365</wp:posOffset>
            </wp:positionH>
            <wp:positionV relativeFrom="paragraph">
              <wp:posOffset>226060</wp:posOffset>
            </wp:positionV>
            <wp:extent cx="2735580" cy="234315"/>
            <wp:effectExtent l="0" t="0" r="7620" b="13335"/>
            <wp:wrapNone/>
            <wp:docPr id="157835408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8354088" name="图片 1"/>
                    <pic:cNvPicPr>
                      <a:picLocks noChangeAspect="1"/>
                    </pic:cNvPicPr>
                  </pic:nvPicPr>
                  <pic:blipFill>
                    <a:blip r:embed="rId21"/>
                    <a:stretch>
                      <a:fillRect/>
                    </a:stretch>
                  </pic:blipFill>
                  <pic:spPr>
                    <a:xfrm>
                      <a:off x="0" y="0"/>
                      <a:ext cx="2749710" cy="235295"/>
                    </a:xfrm>
                    <a:prstGeom prst="rect">
                      <a:avLst/>
                    </a:prstGeom>
                  </pic:spPr>
                </pic:pic>
              </a:graphicData>
            </a:graphic>
          </wp:anchor>
        </w:drawing>
      </w:r>
      <w:r>
        <w:rPr>
          <w:rFonts w:hint="eastAsia" w:ascii="Times New Roman" w:hAnsi="Times New Roman"/>
          <w:color w:val="auto"/>
          <w:highlight w:val="none"/>
        </w:rPr>
        <w:t>按公式（7）计算压力损失。</w:t>
      </w:r>
    </w:p>
    <w:p w14:paraId="030E40F6">
      <w:pPr>
        <w:spacing w:line="276" w:lineRule="auto"/>
        <w:ind w:firstLine="420" w:firstLineChars="200"/>
        <w:rPr>
          <w:rFonts w:ascii="Times New Roman" w:hAnsi="Times New Roman"/>
          <w:color w:val="auto"/>
          <w:highlight w:val="none"/>
        </w:rPr>
      </w:pPr>
    </w:p>
    <w:p w14:paraId="6672F931">
      <w:pPr>
        <w:spacing w:line="276" w:lineRule="auto"/>
        <w:rPr>
          <w:rFonts w:ascii="Times New Roman" w:hAnsi="Times New Roman"/>
          <w:color w:val="auto"/>
          <w:highlight w:val="none"/>
        </w:rPr>
      </w:pPr>
    </w:p>
    <w:p w14:paraId="373A5D0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式中：</w:t>
      </w:r>
    </w:p>
    <w:p w14:paraId="034FCBF4">
      <w:pPr>
        <w:spacing w:line="276" w:lineRule="auto"/>
        <w:ind w:firstLine="525" w:firstLineChars="250"/>
        <w:rPr>
          <w:rFonts w:ascii="Times New Roman" w:hAnsi="Times New Roman"/>
          <w:color w:val="auto"/>
          <w:highlight w:val="none"/>
        </w:rPr>
      </w:pPr>
      <w:r>
        <w:rPr>
          <w:color w:val="auto"/>
          <w:highlight w:val="none"/>
        </w:rPr>
        <w:drawing>
          <wp:anchor distT="0" distB="0" distL="114300" distR="114300" simplePos="0" relativeHeight="251679744" behindDoc="1" locked="0" layoutInCell="1" allowOverlap="1">
            <wp:simplePos x="0" y="0"/>
            <wp:positionH relativeFrom="column">
              <wp:posOffset>205740</wp:posOffset>
            </wp:positionH>
            <wp:positionV relativeFrom="paragraph">
              <wp:posOffset>38735</wp:posOffset>
            </wp:positionV>
            <wp:extent cx="147955" cy="168275"/>
            <wp:effectExtent l="0" t="0" r="4445" b="3175"/>
            <wp:wrapNone/>
            <wp:docPr id="17030942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094258" name="图片 1"/>
                    <pic:cNvPicPr>
                      <a:picLocks noChangeAspect="1"/>
                    </pic:cNvPicPr>
                  </pic:nvPicPr>
                  <pic:blipFill>
                    <a:blip r:embed="rId22"/>
                    <a:stretch>
                      <a:fillRect/>
                    </a:stretch>
                  </pic:blipFill>
                  <pic:spPr>
                    <a:xfrm>
                      <a:off x="0" y="0"/>
                      <a:ext cx="148059" cy="168249"/>
                    </a:xfrm>
                    <a:prstGeom prst="rect">
                      <a:avLst/>
                    </a:prstGeom>
                  </pic:spPr>
                </pic:pic>
              </a:graphicData>
            </a:graphic>
          </wp:anchor>
        </w:drawing>
      </w:r>
      <w:r>
        <w:rPr>
          <w:rFonts w:hint="eastAsia" w:ascii="Times New Roman" w:hAnsi="Times New Roman"/>
          <w:color w:val="auto"/>
          <w:highlight w:val="none"/>
        </w:rPr>
        <w:t>——流量计的压力损失，单位为帕（Pa）；</w:t>
      </w:r>
    </w:p>
    <w:p w14:paraId="604608F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P</w:t>
      </w:r>
      <w:r>
        <w:rPr>
          <w:rFonts w:hint="eastAsia" w:ascii="Times New Roman" w:hAnsi="Times New Roman"/>
          <w:color w:val="auto"/>
          <w:highlight w:val="none"/>
          <w:vertAlign w:val="subscript"/>
        </w:rPr>
        <w:t>1</w:t>
      </w:r>
      <w:r>
        <w:rPr>
          <w:rFonts w:hint="eastAsia" w:ascii="Times New Roman" w:hAnsi="Times New Roman"/>
          <w:color w:val="auto"/>
          <w:highlight w:val="none"/>
        </w:rPr>
        <w:t>——上游取压孔处测定的压力，单位为帕（Pa）；</w:t>
      </w:r>
    </w:p>
    <w:p w14:paraId="14DC4429">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P</w:t>
      </w:r>
      <w:r>
        <w:rPr>
          <w:rFonts w:hint="eastAsia" w:ascii="Times New Roman" w:hAnsi="Times New Roman"/>
          <w:color w:val="auto"/>
          <w:highlight w:val="none"/>
          <w:vertAlign w:val="subscript"/>
        </w:rPr>
        <w:t>2</w:t>
      </w:r>
      <w:r>
        <w:rPr>
          <w:rFonts w:hint="eastAsia" w:ascii="Times New Roman" w:hAnsi="Times New Roman"/>
          <w:color w:val="auto"/>
          <w:highlight w:val="none"/>
        </w:rPr>
        <w:t>——下游取压孔处测定的压力，单位为帕（Pa）</w:t>
      </w:r>
      <w:r>
        <w:rPr>
          <w:rFonts w:hint="eastAsia" w:ascii="Times New Roman" w:hAnsi="Times New Roman"/>
          <w:color w:val="auto"/>
          <w:highlight w:val="none"/>
          <w:lang w:eastAsia="zh-CN"/>
        </w:rPr>
        <w:t>；</w:t>
      </w:r>
    </w:p>
    <w:p w14:paraId="2284BC4F">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g——重力加速度，g=9.81m/s</w:t>
      </w:r>
      <w:r>
        <w:rPr>
          <w:rFonts w:hint="eastAsia" w:ascii="Times New Roman" w:hAnsi="Times New Roman"/>
          <w:color w:val="auto"/>
          <w:highlight w:val="none"/>
          <w:vertAlign w:val="superscript"/>
        </w:rPr>
        <w:t>2</w:t>
      </w:r>
      <w:r>
        <w:rPr>
          <w:rFonts w:hint="eastAsia" w:ascii="Times New Roman" w:hAnsi="Times New Roman"/>
          <w:color w:val="auto"/>
          <w:highlight w:val="none"/>
        </w:rPr>
        <w:t>；</w:t>
      </w:r>
    </w:p>
    <w:p w14:paraId="5DBDCAA0">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ρ——被测液体的密度，单位为千克每立方米（kg/m</w:t>
      </w:r>
      <w:r>
        <w:rPr>
          <w:rFonts w:hint="eastAsia" w:ascii="Times New Roman" w:hAnsi="Times New Roman"/>
          <w:color w:val="auto"/>
          <w:highlight w:val="none"/>
          <w:vertAlign w:val="superscript"/>
        </w:rPr>
        <w:t>3</w:t>
      </w:r>
      <w:r>
        <w:rPr>
          <w:rFonts w:hint="eastAsia" w:ascii="Times New Roman" w:hAnsi="Times New Roman"/>
          <w:color w:val="auto"/>
          <w:highlight w:val="none"/>
        </w:rPr>
        <w:t>）；</w:t>
      </w:r>
    </w:p>
    <w:p w14:paraId="62D1911C">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h——上、下游取压孔轴线之间的垂直距离，单位为米（m）。</w:t>
      </w:r>
    </w:p>
    <w:p w14:paraId="666BC2D1">
      <w:pPr>
        <w:spacing w:line="276" w:lineRule="auto"/>
        <w:rPr>
          <w:rFonts w:ascii="Times New Roman" w:hAnsi="Times New Roman"/>
          <w:b/>
          <w:bCs/>
          <w:color w:val="auto"/>
          <w:highlight w:val="none"/>
        </w:rPr>
      </w:pPr>
      <w:r>
        <w:rPr>
          <w:rFonts w:hint="eastAsia" w:ascii="Times New Roman" w:hAnsi="Times New Roman"/>
          <w:b/>
          <w:bCs/>
          <w:color w:val="auto"/>
          <w:highlight w:val="none"/>
        </w:rPr>
        <w:t>5.2.7 稳定性试验</w:t>
      </w:r>
    </w:p>
    <w:p w14:paraId="65DBF1D9">
      <w:pPr>
        <w:spacing w:line="276" w:lineRule="auto"/>
        <w:rPr>
          <w:rFonts w:ascii="Times New Roman" w:hAnsi="Times New Roman"/>
          <w:b/>
          <w:bCs/>
          <w:color w:val="auto"/>
          <w:highlight w:val="none"/>
        </w:rPr>
      </w:pPr>
      <w:r>
        <w:rPr>
          <w:rFonts w:hint="eastAsia" w:ascii="Times New Roman" w:hAnsi="Times New Roman"/>
          <w:b/>
          <w:bCs/>
          <w:color w:val="auto"/>
          <w:highlight w:val="none"/>
        </w:rPr>
        <w:t>5.2.7.1 始动漂移试验</w:t>
      </w:r>
    </w:p>
    <w:p w14:paraId="12CC327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试验前，流量计应不接通电源，在参比试验大气条件下放置 24 h，然后在流量计上施加 10%量程的模拟浮子位移输入</w:t>
      </w:r>
      <w:r>
        <w:rPr>
          <w:rFonts w:hint="eastAsia" w:ascii="Times New Roman" w:hAnsi="Times New Roman"/>
          <w:color w:val="auto"/>
          <w:highlight w:val="none"/>
          <w:lang w:eastAsia="zh-CN"/>
        </w:rPr>
        <w:t>，接</w:t>
      </w:r>
      <w:r>
        <w:rPr>
          <w:rFonts w:hint="eastAsia" w:ascii="Times New Roman" w:hAnsi="Times New Roman"/>
          <w:color w:val="auto"/>
          <w:highlight w:val="none"/>
        </w:rPr>
        <w:t>通电源，记录 5 min、1 h 和4h 的示值，相邻两时间的最大差值为低输入量程时的始动漂移。断开电源，流量计再在参比试验条件下放置 24 h，然后用 90%</w:t>
      </w:r>
      <w:r>
        <w:rPr>
          <w:rFonts w:hint="eastAsia" w:ascii="Times New Roman" w:hAnsi="Times New Roman"/>
          <w:color w:val="auto"/>
          <w:highlight w:val="none"/>
          <w:lang w:eastAsia="zh-CN"/>
        </w:rPr>
        <w:t>量</w:t>
      </w:r>
      <w:r>
        <w:rPr>
          <w:rFonts w:hint="eastAsia" w:ascii="Times New Roman" w:hAnsi="Times New Roman"/>
          <w:color w:val="auto"/>
          <w:highlight w:val="none"/>
        </w:rPr>
        <w:t>程的模拟浮子位移输入重复上述试验，由此测得高输入量程时的始动漂移。</w:t>
      </w:r>
    </w:p>
    <w:p w14:paraId="0E23C4C1">
      <w:pPr>
        <w:spacing w:line="276" w:lineRule="auto"/>
        <w:rPr>
          <w:rFonts w:ascii="Times New Roman" w:hAnsi="Times New Roman"/>
          <w:b/>
          <w:bCs/>
          <w:color w:val="auto"/>
          <w:highlight w:val="none"/>
        </w:rPr>
      </w:pPr>
      <w:r>
        <w:rPr>
          <w:rFonts w:hint="eastAsia" w:ascii="Times New Roman" w:hAnsi="Times New Roman"/>
          <w:b/>
          <w:bCs/>
          <w:color w:val="auto"/>
          <w:highlight w:val="none"/>
        </w:rPr>
        <w:t>5.2.7.2 长期漂移试验</w:t>
      </w:r>
    </w:p>
    <w:p w14:paraId="71441980">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试验前，流量计在参比试验大气条件下放置 24 h，测量流量计的输出下限值和输出量程。然后将流量计置于一般试验大气条件下，用 90%量程的模拟浮子位移输入，连续运行 120 h。试验期间观察流量计工作是否正常。流量计连续运行后,再置于参比试验条件下放置 24h，并测量输出下限值和输出量程。连续运行前后的输出下限值和输出量程的变化为长期漂移。</w:t>
      </w:r>
    </w:p>
    <w:p w14:paraId="2F615F65">
      <w:pPr>
        <w:spacing w:line="276" w:lineRule="auto"/>
        <w:outlineLvl w:val="1"/>
        <w:rPr>
          <w:rFonts w:ascii="Times New Roman" w:hAnsi="Times New Roman"/>
          <w:b/>
          <w:bCs/>
          <w:color w:val="auto"/>
          <w:highlight w:val="none"/>
        </w:rPr>
      </w:pPr>
      <w:bookmarkStart w:id="70" w:name="_Toc24977"/>
      <w:r>
        <w:rPr>
          <w:rFonts w:hint="eastAsia" w:ascii="Times New Roman" w:hAnsi="Times New Roman"/>
          <w:b/>
          <w:bCs/>
          <w:color w:val="auto"/>
          <w:highlight w:val="none"/>
        </w:rPr>
        <w:t>5.3 与影响量有关的试验</w:t>
      </w:r>
      <w:bookmarkEnd w:id="70"/>
    </w:p>
    <w:p w14:paraId="60EB2C35">
      <w:pPr>
        <w:spacing w:line="276" w:lineRule="auto"/>
        <w:rPr>
          <w:rFonts w:ascii="Times New Roman" w:hAnsi="Times New Roman"/>
          <w:b/>
          <w:bCs/>
          <w:color w:val="auto"/>
          <w:highlight w:val="none"/>
        </w:rPr>
      </w:pPr>
      <w:r>
        <w:rPr>
          <w:rFonts w:hint="eastAsia" w:ascii="Times New Roman" w:hAnsi="Times New Roman"/>
          <w:b/>
          <w:bCs/>
          <w:color w:val="auto"/>
          <w:highlight w:val="none"/>
        </w:rPr>
        <w:t>5.3.1 环境温度影响试验</w:t>
      </w:r>
    </w:p>
    <w:p w14:paraId="199159D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本试验在温度试验箱中进行，试验温度和顺序如下：</w:t>
      </w:r>
    </w:p>
    <w:p w14:paraId="4C33F9FF">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——工作环境温度为-10℃～55℃的流量计：</w:t>
      </w:r>
    </w:p>
    <w:p w14:paraId="025641D8">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20℃(参比)、40℃、55℃、20℃、0℃、-10℃、20℃。</w:t>
      </w:r>
    </w:p>
    <w:p w14:paraId="18F64E00">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——工作环境温度为-25℃～55℃的流量计：</w:t>
      </w:r>
    </w:p>
    <w:p w14:paraId="73368E2A">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20℃(参比)、40℃、55℃、20℃、0℃、-25℃、20℃。</w:t>
      </w:r>
    </w:p>
    <w:p w14:paraId="0E511DC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温度应逐渐变化，其变化速率应不大于 1℃/min。每一温度的允差为±2℃。每一温度保温时间不少于2h。</w:t>
      </w:r>
    </w:p>
    <w:p w14:paraId="285350D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在每个温度保温时间终了时，采用模拟浮子位移输入的方法测量具有电远传功能的流量计的输出下限值和输出量程，并计算相邻温度每变化 10℃时的变化量。</w:t>
      </w:r>
    </w:p>
    <w:p w14:paraId="197851C5">
      <w:pPr>
        <w:spacing w:line="276" w:lineRule="auto"/>
        <w:rPr>
          <w:rFonts w:ascii="Times New Roman" w:hAnsi="Times New Roman"/>
          <w:b/>
          <w:bCs/>
          <w:color w:val="auto"/>
          <w:highlight w:val="none"/>
        </w:rPr>
      </w:pPr>
      <w:r>
        <w:rPr>
          <w:rFonts w:hint="eastAsia" w:ascii="Times New Roman" w:hAnsi="Times New Roman"/>
          <w:b/>
          <w:bCs/>
          <w:color w:val="auto"/>
          <w:highlight w:val="none"/>
        </w:rPr>
        <w:t>5.3.2 湿热影响试验</w:t>
      </w:r>
    </w:p>
    <w:p w14:paraId="661541CC">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将具有电远传或报警功能的流量计先放在参比试验条件下不少于 24 h，并采用模拟浮子位移输入的方法测量输出下限值和输出量程或报警设定点的报警示值。然后将流量计放入湿热试验箱内，使试验箱温度为 40℃±2℃，相对湿度为 91%～95%，并保持 48 h。在上述周期的最后 4 h，接通电源。周期结束后，立即采用模拟浮子位移输入的方法测量输出下限值和输出量程或报警设定点的报警示值，并计算相应的变化。</w:t>
      </w:r>
    </w:p>
    <w:p w14:paraId="3033635D">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将流量计从试验箱中取出，立即检查流量计是否有冷凝水聚集和元件、部件有无损坏，并按 5.4.2的规定测量绝缘电阻，按 5.4.3 的规定测量绝缘强度。</w:t>
      </w:r>
    </w:p>
    <w:p w14:paraId="36C0E968">
      <w:pPr>
        <w:spacing w:line="276" w:lineRule="auto"/>
        <w:rPr>
          <w:rFonts w:ascii="Times New Roman" w:hAnsi="Times New Roman"/>
          <w:b/>
          <w:bCs/>
          <w:color w:val="auto"/>
          <w:highlight w:val="none"/>
        </w:rPr>
      </w:pPr>
      <w:r>
        <w:rPr>
          <w:rFonts w:hint="eastAsia" w:ascii="Times New Roman" w:hAnsi="Times New Roman"/>
          <w:b/>
          <w:bCs/>
          <w:color w:val="auto"/>
          <w:highlight w:val="none"/>
        </w:rPr>
        <w:t>5.3.3 机械振动影响试验</w:t>
      </w:r>
    </w:p>
    <w:p w14:paraId="01163C1C">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按照 GB/T 18271.3 规定的方法进行。</w:t>
      </w:r>
    </w:p>
    <w:p w14:paraId="4DDCA59D">
      <w:pPr>
        <w:spacing w:line="276" w:lineRule="auto"/>
        <w:rPr>
          <w:rFonts w:ascii="Times New Roman" w:hAnsi="Times New Roman"/>
          <w:b/>
          <w:bCs/>
          <w:color w:val="auto"/>
          <w:highlight w:val="none"/>
        </w:rPr>
      </w:pPr>
      <w:r>
        <w:rPr>
          <w:rFonts w:hint="eastAsia" w:ascii="Times New Roman" w:hAnsi="Times New Roman"/>
          <w:b/>
          <w:bCs/>
          <w:color w:val="auto"/>
          <w:highlight w:val="none"/>
        </w:rPr>
        <w:t>5.3.4 电源电压变化影响试验</w:t>
      </w:r>
    </w:p>
    <w:p w14:paraId="299B64A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具有电远传功能的流量计，当供电电源按表 3 组合变化时，采用模拟浮子位移输入方法，测量并计算电源电压-频率变化引起的输出下限值和输出量程的变化。</w:t>
      </w:r>
    </w:p>
    <w:p w14:paraId="0A89EFF5">
      <w:pPr>
        <w:spacing w:line="276" w:lineRule="auto"/>
        <w:ind w:firstLine="420" w:firstLineChars="200"/>
        <w:jc w:val="center"/>
        <w:rPr>
          <w:rFonts w:ascii="Times New Roman" w:hAnsi="Times New Roman"/>
          <w:color w:val="auto"/>
          <w:highlight w:val="none"/>
        </w:rPr>
      </w:pPr>
      <w:r>
        <w:rPr>
          <w:rFonts w:hint="eastAsia" w:ascii="Times New Roman" w:hAnsi="Times New Roman"/>
          <w:color w:val="auto"/>
          <w:highlight w:val="none"/>
        </w:rPr>
        <w:t>表 3电源电压和频率组合变化试验参数</w:t>
      </w:r>
    </w:p>
    <w:tbl>
      <w:tblPr>
        <w:tblStyle w:val="28"/>
        <w:tblW w:w="7240" w:type="dxa"/>
        <w:jc w:val="center"/>
        <w:tblLayout w:type="fixed"/>
        <w:tblCellMar>
          <w:top w:w="0" w:type="dxa"/>
          <w:left w:w="108" w:type="dxa"/>
          <w:bottom w:w="0" w:type="dxa"/>
          <w:right w:w="108" w:type="dxa"/>
        </w:tblCellMar>
      </w:tblPr>
      <w:tblGrid>
        <w:gridCol w:w="960"/>
        <w:gridCol w:w="2400"/>
        <w:gridCol w:w="3880"/>
      </w:tblGrid>
      <w:tr w14:paraId="380C7B7C">
        <w:tblPrEx>
          <w:tblCellMar>
            <w:top w:w="0" w:type="dxa"/>
            <w:left w:w="108" w:type="dxa"/>
            <w:bottom w:w="0" w:type="dxa"/>
            <w:right w:w="108" w:type="dxa"/>
          </w:tblCellMar>
        </w:tblPrEx>
        <w:trPr>
          <w:trHeight w:val="255" w:hRule="atLeast"/>
          <w:jc w:val="center"/>
        </w:trPr>
        <w:tc>
          <w:tcPr>
            <w:tcW w:w="9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C4DE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序号</w:t>
            </w:r>
          </w:p>
        </w:tc>
        <w:tc>
          <w:tcPr>
            <w:tcW w:w="2400" w:type="dxa"/>
            <w:tcBorders>
              <w:top w:val="single" w:color="000000" w:sz="4" w:space="0"/>
              <w:left w:val="nil"/>
              <w:bottom w:val="single" w:color="000000" w:sz="4" w:space="0"/>
              <w:right w:val="single" w:color="000000" w:sz="4" w:space="0"/>
            </w:tcBorders>
            <w:shd w:val="clear" w:color="auto" w:fill="auto"/>
            <w:noWrap/>
            <w:vAlign w:val="center"/>
          </w:tcPr>
          <w:p w14:paraId="50E817A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交流电源</w:t>
            </w:r>
          </w:p>
        </w:tc>
        <w:tc>
          <w:tcPr>
            <w:tcW w:w="3880" w:type="dxa"/>
            <w:tcBorders>
              <w:top w:val="single" w:color="000000" w:sz="4" w:space="0"/>
              <w:left w:val="nil"/>
              <w:bottom w:val="single" w:color="000000" w:sz="4" w:space="0"/>
              <w:right w:val="single" w:color="000000" w:sz="4" w:space="0"/>
            </w:tcBorders>
            <w:shd w:val="clear" w:color="auto" w:fill="auto"/>
            <w:noWrap/>
            <w:vAlign w:val="center"/>
          </w:tcPr>
          <w:p w14:paraId="54427D8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直流电源</w:t>
            </w:r>
          </w:p>
        </w:tc>
      </w:tr>
      <w:tr w14:paraId="527104FB">
        <w:tblPrEx>
          <w:tblCellMar>
            <w:top w:w="0" w:type="dxa"/>
            <w:left w:w="108" w:type="dxa"/>
            <w:bottom w:w="0" w:type="dxa"/>
            <w:right w:w="108" w:type="dxa"/>
          </w:tblCellMar>
        </w:tblPrEx>
        <w:trPr>
          <w:trHeight w:val="255" w:hRule="atLeast"/>
          <w:jc w:val="center"/>
        </w:trPr>
        <w:tc>
          <w:tcPr>
            <w:tcW w:w="960" w:type="dxa"/>
            <w:tcBorders>
              <w:top w:val="nil"/>
              <w:left w:val="single" w:color="000000" w:sz="4" w:space="0"/>
              <w:bottom w:val="single" w:color="000000" w:sz="4" w:space="0"/>
              <w:right w:val="single" w:color="000000" w:sz="4" w:space="0"/>
            </w:tcBorders>
            <w:shd w:val="clear" w:color="auto" w:fill="auto"/>
            <w:noWrap/>
            <w:vAlign w:val="center"/>
          </w:tcPr>
          <w:p w14:paraId="5FA718C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w:t>
            </w:r>
          </w:p>
        </w:tc>
        <w:tc>
          <w:tcPr>
            <w:tcW w:w="2400" w:type="dxa"/>
            <w:tcBorders>
              <w:top w:val="nil"/>
              <w:left w:val="nil"/>
              <w:bottom w:val="single" w:color="000000" w:sz="4" w:space="0"/>
              <w:right w:val="single" w:color="000000" w:sz="4" w:space="0"/>
            </w:tcBorders>
            <w:shd w:val="clear" w:color="auto" w:fill="auto"/>
            <w:noWrap/>
            <w:vAlign w:val="center"/>
          </w:tcPr>
          <w:p w14:paraId="638FC0B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220V，50Hz（公称值）</w:t>
            </w:r>
          </w:p>
        </w:tc>
        <w:tc>
          <w:tcPr>
            <w:tcW w:w="3880" w:type="dxa"/>
            <w:tcBorders>
              <w:top w:val="nil"/>
              <w:left w:val="nil"/>
              <w:bottom w:val="single" w:color="000000" w:sz="4" w:space="0"/>
              <w:right w:val="single" w:color="000000" w:sz="4" w:space="0"/>
            </w:tcBorders>
            <w:shd w:val="clear" w:color="auto" w:fill="auto"/>
            <w:noWrap/>
            <w:vAlign w:val="center"/>
          </w:tcPr>
          <w:p w14:paraId="212C6C0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12V（或3.6V，24V，36V）（公称值）</w:t>
            </w:r>
          </w:p>
        </w:tc>
      </w:tr>
      <w:tr w14:paraId="57FA7751">
        <w:tblPrEx>
          <w:tblCellMar>
            <w:top w:w="0" w:type="dxa"/>
            <w:left w:w="108" w:type="dxa"/>
            <w:bottom w:w="0" w:type="dxa"/>
            <w:right w:w="108" w:type="dxa"/>
          </w:tblCellMar>
        </w:tblPrEx>
        <w:trPr>
          <w:trHeight w:val="255" w:hRule="atLeast"/>
          <w:jc w:val="center"/>
        </w:trPr>
        <w:tc>
          <w:tcPr>
            <w:tcW w:w="960" w:type="dxa"/>
            <w:tcBorders>
              <w:top w:val="nil"/>
              <w:left w:val="single" w:color="000000" w:sz="4" w:space="0"/>
              <w:bottom w:val="single" w:color="000000" w:sz="4" w:space="0"/>
              <w:right w:val="single" w:color="000000" w:sz="4" w:space="0"/>
            </w:tcBorders>
            <w:shd w:val="clear" w:color="auto" w:fill="auto"/>
            <w:noWrap/>
            <w:vAlign w:val="center"/>
          </w:tcPr>
          <w:p w14:paraId="0ED5A1E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w:t>
            </w:r>
          </w:p>
        </w:tc>
        <w:tc>
          <w:tcPr>
            <w:tcW w:w="2400" w:type="dxa"/>
            <w:tcBorders>
              <w:top w:val="nil"/>
              <w:left w:val="nil"/>
              <w:bottom w:val="single" w:color="000000" w:sz="4" w:space="0"/>
              <w:right w:val="single" w:color="000000" w:sz="4" w:space="0"/>
            </w:tcBorders>
            <w:shd w:val="clear" w:color="auto" w:fill="auto"/>
            <w:noWrap/>
            <w:vAlign w:val="center"/>
          </w:tcPr>
          <w:p w14:paraId="18D9351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242V,52.5 Hz</w:t>
            </w:r>
          </w:p>
        </w:tc>
        <w:tc>
          <w:tcPr>
            <w:tcW w:w="3880" w:type="dxa"/>
            <w:tcBorders>
              <w:top w:val="nil"/>
              <w:left w:val="nil"/>
              <w:bottom w:val="single" w:color="000000" w:sz="4" w:space="0"/>
              <w:right w:val="single" w:color="000000" w:sz="4" w:space="0"/>
            </w:tcBorders>
            <w:shd w:val="clear" w:color="auto" w:fill="auto"/>
            <w:noWrap/>
            <w:vAlign w:val="center"/>
          </w:tcPr>
          <w:p w14:paraId="1B9134A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13.2 V（或3.96 V, 26.4 V, 39.6 V)</w:t>
            </w:r>
          </w:p>
        </w:tc>
      </w:tr>
      <w:tr w14:paraId="26A06E0D">
        <w:tblPrEx>
          <w:tblCellMar>
            <w:top w:w="0" w:type="dxa"/>
            <w:left w:w="108" w:type="dxa"/>
            <w:bottom w:w="0" w:type="dxa"/>
            <w:right w:w="108" w:type="dxa"/>
          </w:tblCellMar>
        </w:tblPrEx>
        <w:trPr>
          <w:trHeight w:val="255" w:hRule="atLeast"/>
          <w:jc w:val="center"/>
        </w:trPr>
        <w:tc>
          <w:tcPr>
            <w:tcW w:w="960" w:type="dxa"/>
            <w:tcBorders>
              <w:top w:val="nil"/>
              <w:left w:val="single" w:color="000000" w:sz="4" w:space="0"/>
              <w:bottom w:val="single" w:color="000000" w:sz="4" w:space="0"/>
              <w:right w:val="single" w:color="000000" w:sz="4" w:space="0"/>
            </w:tcBorders>
            <w:shd w:val="clear" w:color="auto" w:fill="auto"/>
            <w:noWrap/>
            <w:vAlign w:val="center"/>
          </w:tcPr>
          <w:p w14:paraId="15BE21E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w:t>
            </w:r>
          </w:p>
        </w:tc>
        <w:tc>
          <w:tcPr>
            <w:tcW w:w="2400" w:type="dxa"/>
            <w:tcBorders>
              <w:top w:val="nil"/>
              <w:left w:val="nil"/>
              <w:bottom w:val="single" w:color="000000" w:sz="4" w:space="0"/>
              <w:right w:val="single" w:color="000000" w:sz="4" w:space="0"/>
            </w:tcBorders>
            <w:shd w:val="clear" w:color="auto" w:fill="auto"/>
            <w:noWrap/>
            <w:vAlign w:val="center"/>
          </w:tcPr>
          <w:p w14:paraId="029F9BA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242V,47.5 Hz</w:t>
            </w:r>
          </w:p>
        </w:tc>
        <w:tc>
          <w:tcPr>
            <w:tcW w:w="3880" w:type="dxa"/>
            <w:tcBorders>
              <w:top w:val="nil"/>
              <w:left w:val="nil"/>
              <w:bottom w:val="single" w:color="000000" w:sz="4" w:space="0"/>
              <w:right w:val="single" w:color="000000" w:sz="4" w:space="0"/>
            </w:tcBorders>
            <w:shd w:val="clear" w:color="auto" w:fill="auto"/>
            <w:noWrap/>
            <w:vAlign w:val="center"/>
          </w:tcPr>
          <w:p w14:paraId="01A64AB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10.2 V(或 3.24 V, 20.4 V, 30.6 V)</w:t>
            </w:r>
          </w:p>
        </w:tc>
      </w:tr>
      <w:tr w14:paraId="453AD83F">
        <w:tblPrEx>
          <w:tblCellMar>
            <w:top w:w="0" w:type="dxa"/>
            <w:left w:w="108" w:type="dxa"/>
            <w:bottom w:w="0" w:type="dxa"/>
            <w:right w:w="108" w:type="dxa"/>
          </w:tblCellMar>
        </w:tblPrEx>
        <w:trPr>
          <w:trHeight w:val="255" w:hRule="atLeast"/>
          <w:jc w:val="center"/>
        </w:trPr>
        <w:tc>
          <w:tcPr>
            <w:tcW w:w="960" w:type="dxa"/>
            <w:tcBorders>
              <w:top w:val="nil"/>
              <w:left w:val="single" w:color="000000" w:sz="4" w:space="0"/>
              <w:bottom w:val="single" w:color="000000" w:sz="4" w:space="0"/>
              <w:right w:val="single" w:color="000000" w:sz="4" w:space="0"/>
            </w:tcBorders>
            <w:shd w:val="clear" w:color="auto" w:fill="auto"/>
            <w:noWrap/>
            <w:vAlign w:val="center"/>
          </w:tcPr>
          <w:p w14:paraId="2CF4D86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w:t>
            </w:r>
          </w:p>
        </w:tc>
        <w:tc>
          <w:tcPr>
            <w:tcW w:w="2400" w:type="dxa"/>
            <w:tcBorders>
              <w:top w:val="nil"/>
              <w:left w:val="nil"/>
              <w:bottom w:val="single" w:color="000000" w:sz="4" w:space="0"/>
              <w:right w:val="single" w:color="000000" w:sz="4" w:space="0"/>
            </w:tcBorders>
            <w:shd w:val="clear" w:color="auto" w:fill="auto"/>
            <w:noWrap/>
            <w:vAlign w:val="center"/>
          </w:tcPr>
          <w:p w14:paraId="7A8E9CB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187V,52.5 Hz</w:t>
            </w:r>
          </w:p>
        </w:tc>
        <w:tc>
          <w:tcPr>
            <w:tcW w:w="3880" w:type="dxa"/>
            <w:tcBorders>
              <w:top w:val="nil"/>
              <w:left w:val="nil"/>
              <w:bottom w:val="single" w:color="000000" w:sz="4" w:space="0"/>
              <w:right w:val="single" w:color="000000" w:sz="4" w:space="0"/>
            </w:tcBorders>
            <w:shd w:val="clear" w:color="auto" w:fill="auto"/>
            <w:noWrap/>
            <w:vAlign w:val="center"/>
          </w:tcPr>
          <w:p w14:paraId="1D740FE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w:t>
            </w:r>
          </w:p>
        </w:tc>
      </w:tr>
      <w:tr w14:paraId="29D5506A">
        <w:tblPrEx>
          <w:tblCellMar>
            <w:top w:w="0" w:type="dxa"/>
            <w:left w:w="108" w:type="dxa"/>
            <w:bottom w:w="0" w:type="dxa"/>
            <w:right w:w="108" w:type="dxa"/>
          </w:tblCellMar>
        </w:tblPrEx>
        <w:trPr>
          <w:trHeight w:val="255" w:hRule="atLeast"/>
          <w:jc w:val="center"/>
        </w:trPr>
        <w:tc>
          <w:tcPr>
            <w:tcW w:w="960" w:type="dxa"/>
            <w:tcBorders>
              <w:top w:val="nil"/>
              <w:left w:val="single" w:color="000000" w:sz="4" w:space="0"/>
              <w:bottom w:val="single" w:color="000000" w:sz="4" w:space="0"/>
              <w:right w:val="single" w:color="000000" w:sz="4" w:space="0"/>
            </w:tcBorders>
            <w:shd w:val="clear" w:color="auto" w:fill="auto"/>
            <w:noWrap/>
            <w:vAlign w:val="center"/>
          </w:tcPr>
          <w:p w14:paraId="5403AAE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w:t>
            </w:r>
          </w:p>
        </w:tc>
        <w:tc>
          <w:tcPr>
            <w:tcW w:w="2400" w:type="dxa"/>
            <w:tcBorders>
              <w:top w:val="nil"/>
              <w:left w:val="nil"/>
              <w:bottom w:val="single" w:color="000000" w:sz="4" w:space="0"/>
              <w:right w:val="single" w:color="000000" w:sz="4" w:space="0"/>
            </w:tcBorders>
            <w:shd w:val="clear" w:color="auto" w:fill="auto"/>
            <w:noWrap/>
            <w:vAlign w:val="center"/>
          </w:tcPr>
          <w:p w14:paraId="067CC05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187V,47.5 Hz</w:t>
            </w:r>
          </w:p>
        </w:tc>
        <w:tc>
          <w:tcPr>
            <w:tcW w:w="3880" w:type="dxa"/>
            <w:tcBorders>
              <w:top w:val="nil"/>
              <w:left w:val="nil"/>
              <w:bottom w:val="single" w:color="000000" w:sz="4" w:space="0"/>
              <w:right w:val="single" w:color="000000" w:sz="4" w:space="0"/>
            </w:tcBorders>
            <w:shd w:val="clear" w:color="auto" w:fill="auto"/>
            <w:noWrap/>
            <w:vAlign w:val="center"/>
          </w:tcPr>
          <w:p w14:paraId="2E104D2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w:t>
            </w:r>
          </w:p>
        </w:tc>
      </w:tr>
    </w:tbl>
    <w:p w14:paraId="4D07880E">
      <w:pPr>
        <w:spacing w:line="276" w:lineRule="auto"/>
        <w:rPr>
          <w:rFonts w:ascii="Times New Roman" w:hAnsi="Times New Roman"/>
          <w:b/>
          <w:bCs/>
          <w:color w:val="auto"/>
          <w:highlight w:val="none"/>
        </w:rPr>
      </w:pPr>
      <w:r>
        <w:rPr>
          <w:rFonts w:hint="eastAsia" w:ascii="Times New Roman" w:hAnsi="Times New Roman"/>
          <w:b/>
          <w:bCs/>
          <w:color w:val="auto"/>
          <w:highlight w:val="none"/>
        </w:rPr>
        <w:t>5.3.5 电源短时中断试验</w:t>
      </w:r>
    </w:p>
    <w:p w14:paraId="43F4DF4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按照 GB/T 17626.11 规定的方法进行。</w:t>
      </w:r>
    </w:p>
    <w:p w14:paraId="3B1E957F">
      <w:pPr>
        <w:spacing w:line="276" w:lineRule="auto"/>
        <w:rPr>
          <w:rFonts w:ascii="Times New Roman" w:hAnsi="Times New Roman"/>
          <w:b/>
          <w:bCs/>
          <w:color w:val="auto"/>
          <w:highlight w:val="none"/>
        </w:rPr>
      </w:pPr>
      <w:r>
        <w:rPr>
          <w:rFonts w:hint="eastAsia" w:ascii="Times New Roman" w:hAnsi="Times New Roman"/>
          <w:b/>
          <w:bCs/>
          <w:color w:val="auto"/>
          <w:highlight w:val="none"/>
        </w:rPr>
        <w:t>5.3.6 静电放电抗扰度试验</w:t>
      </w:r>
    </w:p>
    <w:p w14:paraId="28EDC9CC">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按照 GB/T 17626.2 规定的方法进行。</w:t>
      </w:r>
    </w:p>
    <w:p w14:paraId="3B655A76">
      <w:pPr>
        <w:spacing w:line="276" w:lineRule="auto"/>
        <w:rPr>
          <w:rFonts w:ascii="Times New Roman" w:hAnsi="Times New Roman"/>
          <w:b/>
          <w:bCs/>
          <w:color w:val="auto"/>
          <w:highlight w:val="none"/>
        </w:rPr>
      </w:pPr>
      <w:r>
        <w:rPr>
          <w:rFonts w:hint="eastAsia" w:ascii="Times New Roman" w:hAnsi="Times New Roman"/>
          <w:b/>
          <w:bCs/>
          <w:color w:val="auto"/>
          <w:highlight w:val="none"/>
        </w:rPr>
        <w:t>5.3.7 射频电磁场辐射抗扰度试验</w:t>
      </w:r>
    </w:p>
    <w:p w14:paraId="7A0CA0EF">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按照 GB/T 17626.3 规定的方法进行。</w:t>
      </w:r>
    </w:p>
    <w:p w14:paraId="0A5A1872">
      <w:pPr>
        <w:spacing w:line="276" w:lineRule="auto"/>
        <w:rPr>
          <w:rFonts w:ascii="Times New Roman" w:hAnsi="Times New Roman"/>
          <w:b/>
          <w:bCs/>
          <w:color w:val="auto"/>
          <w:highlight w:val="none"/>
        </w:rPr>
      </w:pPr>
      <w:r>
        <w:rPr>
          <w:rFonts w:hint="eastAsia" w:ascii="Times New Roman" w:hAnsi="Times New Roman"/>
          <w:b/>
          <w:bCs/>
          <w:color w:val="auto"/>
          <w:highlight w:val="none"/>
        </w:rPr>
        <w:t>5.3.8 工频磁场抗扰度试验</w:t>
      </w:r>
    </w:p>
    <w:p w14:paraId="6F24F0F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试验前，采用模拟浮子位移输入的方法测量具有电远传功能的流量计的输出下限值和输出量程,</w:t>
      </w:r>
    </w:p>
    <w:p w14:paraId="4DAE06F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试验时，输入设在量程的 50%处。</w:t>
      </w:r>
    </w:p>
    <w:p w14:paraId="062058E1">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将被测流量计放到磁场线圈的中心转台上，测量仪器应离开磁场至少 3 m。转动中心转台和磁场线圈，还应调整移相器(0°~  360°)，受流量计处于最不利的磁场方向和相位上，再重复试验前的测量，并计算出相应的变化。</w:t>
      </w:r>
    </w:p>
    <w:p w14:paraId="1B60A084">
      <w:pPr>
        <w:spacing w:line="276" w:lineRule="auto"/>
        <w:outlineLvl w:val="1"/>
        <w:rPr>
          <w:rFonts w:ascii="Times New Roman" w:hAnsi="Times New Roman"/>
          <w:b/>
          <w:bCs/>
          <w:color w:val="auto"/>
          <w:highlight w:val="none"/>
        </w:rPr>
      </w:pPr>
      <w:bookmarkStart w:id="71" w:name="_Toc494"/>
      <w:r>
        <w:rPr>
          <w:rFonts w:hint="eastAsia" w:ascii="Times New Roman" w:hAnsi="Times New Roman"/>
          <w:b/>
          <w:bCs/>
          <w:color w:val="auto"/>
          <w:highlight w:val="none"/>
        </w:rPr>
        <w:t>5.4 安全性能试验</w:t>
      </w:r>
      <w:bookmarkEnd w:id="71"/>
    </w:p>
    <w:p w14:paraId="4A3D0BEE">
      <w:pPr>
        <w:spacing w:line="276" w:lineRule="auto"/>
        <w:rPr>
          <w:rFonts w:ascii="Times New Roman" w:hAnsi="Times New Roman"/>
          <w:b/>
          <w:bCs/>
          <w:color w:val="auto"/>
          <w:highlight w:val="none"/>
        </w:rPr>
      </w:pPr>
      <w:r>
        <w:rPr>
          <w:rFonts w:hint="eastAsia" w:ascii="Times New Roman" w:hAnsi="Times New Roman"/>
          <w:b/>
          <w:bCs/>
          <w:color w:val="auto"/>
          <w:highlight w:val="none"/>
        </w:rPr>
        <w:t>5.4.1 耐压强度试验</w:t>
      </w:r>
    </w:p>
    <w:p w14:paraId="45897891">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用水注满流量计的传感器内腔，排除内部空气，两端密封，然后逐渐加压至规定公称工作压力的1.5 倍，并保持该压力 5 min，观测并记录有无泄漏或损坏。</w:t>
      </w:r>
    </w:p>
    <w:p w14:paraId="628804BC">
      <w:pPr>
        <w:spacing w:line="276" w:lineRule="auto"/>
        <w:rPr>
          <w:rFonts w:ascii="Times New Roman" w:hAnsi="Times New Roman"/>
          <w:b/>
          <w:bCs/>
          <w:color w:val="auto"/>
          <w:highlight w:val="none"/>
        </w:rPr>
      </w:pPr>
      <w:r>
        <w:rPr>
          <w:rFonts w:hint="eastAsia" w:ascii="Times New Roman" w:hAnsi="Times New Roman"/>
          <w:b/>
          <w:bCs/>
          <w:color w:val="auto"/>
          <w:highlight w:val="none"/>
        </w:rPr>
        <w:t>5.4.2 绝缘电阻试验</w:t>
      </w:r>
    </w:p>
    <w:p w14:paraId="5CB0DB3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供电工作的流量计在温度为 15℃～35℃、相对湿度不大于 85%的环境条件以及在不接通电源的情况下进行试验。将流量计的电源端子、输出端子分别短路，然后用额定直流电压为 500 V 的绝缘电阻表依次测量 4.3.2 规定端子之间的绝缘电阻。绝缘电阻的值应在施加全试验电压且在读数稳定后再从绝缘电阻表上读取。</w:t>
      </w:r>
    </w:p>
    <w:p w14:paraId="40A11AA9">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本试验仅适用于输入端子、输出端子、电源端子对地绝缘的流量计。</w:t>
      </w:r>
    </w:p>
    <w:p w14:paraId="2967E355">
      <w:pPr>
        <w:spacing w:line="276" w:lineRule="auto"/>
        <w:rPr>
          <w:rFonts w:ascii="Times New Roman" w:hAnsi="Times New Roman"/>
          <w:b/>
          <w:bCs/>
          <w:color w:val="auto"/>
          <w:highlight w:val="none"/>
        </w:rPr>
      </w:pPr>
      <w:r>
        <w:rPr>
          <w:rFonts w:hint="eastAsia" w:ascii="Times New Roman" w:hAnsi="Times New Roman"/>
          <w:b/>
          <w:bCs/>
          <w:color w:val="auto"/>
          <w:highlight w:val="none"/>
        </w:rPr>
        <w:t>5.4.3 绝缘强度试验</w:t>
      </w:r>
    </w:p>
    <w:p w14:paraId="56DEE91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供电工作的流量计在温度为 15℃～35℃、相对湿度不大于 85%的环境条件以及在不接通电源的情况下进行试验。将流量计的电源端子、输出端子分别短路，然后将试验设备的空载电压设定在 4.3.3 规定的试验电压的 50%接入流量计的相关端子之间。试验设备的功率应足以使所设定的电压在被试流量计接入后下降不超过 10%。试验时应使试验电压由零逐步平稳地上升到规定值，并保持 1 min，观察并记录是否出现击穿或飞弧。然后使试验电压平稳地下降到零，并切断电源。</w:t>
      </w:r>
    </w:p>
    <w:p w14:paraId="5C04B02C">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本试验仅适用于输入端子、输出端子、电源端子对地绝缘的流量计。</w:t>
      </w:r>
    </w:p>
    <w:p w14:paraId="00399C7F">
      <w:pPr>
        <w:spacing w:line="276" w:lineRule="auto"/>
        <w:rPr>
          <w:rFonts w:ascii="Times New Roman" w:hAnsi="Times New Roman"/>
          <w:b/>
          <w:bCs/>
          <w:color w:val="auto"/>
          <w:highlight w:val="none"/>
        </w:rPr>
      </w:pPr>
      <w:r>
        <w:rPr>
          <w:rFonts w:hint="eastAsia" w:ascii="Times New Roman" w:hAnsi="Times New Roman"/>
          <w:b/>
          <w:bCs/>
          <w:color w:val="auto"/>
          <w:highlight w:val="none"/>
        </w:rPr>
        <w:t>5.4.4 直流反向保护试验</w:t>
      </w:r>
    </w:p>
    <w:p w14:paraId="3B1E723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在二线制直流供电工作的流量计的电源端子间反向施加 1.1 倍公称直流电压，并保持5 min。然后正向供电，采用模拟浮子位移输入的方法检查流量计工作是否正常，元件和零件有无损坏。</w:t>
      </w:r>
    </w:p>
    <w:p w14:paraId="1299F6CF">
      <w:pPr>
        <w:spacing w:line="276" w:lineRule="auto"/>
        <w:rPr>
          <w:rFonts w:ascii="Times New Roman" w:hAnsi="Times New Roman"/>
          <w:b/>
          <w:bCs/>
          <w:color w:val="auto"/>
          <w:highlight w:val="none"/>
        </w:rPr>
      </w:pPr>
      <w:r>
        <w:rPr>
          <w:rFonts w:hint="eastAsia" w:ascii="Times New Roman" w:hAnsi="Times New Roman"/>
          <w:b/>
          <w:bCs/>
          <w:color w:val="auto"/>
          <w:highlight w:val="none"/>
        </w:rPr>
        <w:t>5.4.5 防爆性能试验</w:t>
      </w:r>
    </w:p>
    <w:p w14:paraId="653B6A8E">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防爆型流量计应由国家指定的防爆质最检验机构</w:t>
      </w:r>
      <w:r>
        <w:rPr>
          <w:rFonts w:hint="eastAsia" w:ascii="Times New Roman" w:hAnsi="Times New Roman"/>
          <w:color w:val="auto"/>
          <w:highlight w:val="none"/>
          <w:lang w:eastAsia="zh-CN"/>
        </w:rPr>
        <w:t>按</w:t>
      </w:r>
      <w:r>
        <w:rPr>
          <w:rFonts w:hint="eastAsia" w:ascii="Times New Roman" w:hAnsi="Times New Roman"/>
          <w:color w:val="auto"/>
          <w:highlight w:val="none"/>
        </w:rPr>
        <w:t>GB</w:t>
      </w:r>
      <w:r>
        <w:rPr>
          <w:rFonts w:hint="eastAsia" w:ascii="Times New Roman" w:hAnsi="Times New Roman"/>
          <w:color w:val="auto"/>
          <w:highlight w:val="none"/>
          <w:lang w:val="en-US" w:eastAsia="zh-CN"/>
        </w:rPr>
        <w:t>/T</w:t>
      </w:r>
      <w:r>
        <w:rPr>
          <w:rFonts w:hint="eastAsia" w:ascii="Times New Roman" w:hAnsi="Times New Roman"/>
          <w:color w:val="auto"/>
          <w:highlight w:val="none"/>
        </w:rPr>
        <w:t xml:space="preserve"> 3836.1、GB</w:t>
      </w:r>
      <w:r>
        <w:rPr>
          <w:rFonts w:hint="eastAsia" w:ascii="Times New Roman" w:hAnsi="Times New Roman"/>
          <w:color w:val="auto"/>
          <w:highlight w:val="none"/>
          <w:lang w:val="en-US" w:eastAsia="zh-CN"/>
        </w:rPr>
        <w:t>/T</w:t>
      </w:r>
      <w:r>
        <w:rPr>
          <w:rFonts w:hint="eastAsia" w:ascii="Times New Roman" w:hAnsi="Times New Roman"/>
          <w:color w:val="auto"/>
          <w:highlight w:val="none"/>
        </w:rPr>
        <w:t xml:space="preserve"> 3836.2 和 GB</w:t>
      </w:r>
      <w:r>
        <w:rPr>
          <w:rFonts w:hint="eastAsia" w:ascii="Times New Roman" w:hAnsi="Times New Roman"/>
          <w:color w:val="auto"/>
          <w:highlight w:val="none"/>
          <w:lang w:val="en-US" w:eastAsia="zh-CN"/>
        </w:rPr>
        <w:t>/T</w:t>
      </w:r>
      <w:r>
        <w:rPr>
          <w:rFonts w:hint="eastAsia" w:ascii="Times New Roman" w:hAnsi="Times New Roman"/>
          <w:color w:val="auto"/>
          <w:highlight w:val="none"/>
        </w:rPr>
        <w:t xml:space="preserve"> 3836.4 的规定进行检验，并取得防爆合格证。</w:t>
      </w:r>
    </w:p>
    <w:p w14:paraId="30F5CBC8">
      <w:pPr>
        <w:spacing w:line="276" w:lineRule="auto"/>
        <w:rPr>
          <w:rFonts w:ascii="Times New Roman" w:hAnsi="Times New Roman"/>
          <w:b/>
          <w:bCs/>
          <w:color w:val="auto"/>
          <w:highlight w:val="none"/>
        </w:rPr>
      </w:pPr>
      <w:r>
        <w:rPr>
          <w:rFonts w:hint="eastAsia" w:ascii="Times New Roman" w:hAnsi="Times New Roman"/>
          <w:b/>
          <w:bCs/>
          <w:color w:val="auto"/>
          <w:highlight w:val="none"/>
        </w:rPr>
        <w:t>5.4.6 外壳防护试验</w:t>
      </w:r>
    </w:p>
    <w:p w14:paraId="2A7863F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流量计的外壳防护性能按 GB</w:t>
      </w:r>
      <w:r>
        <w:rPr>
          <w:rFonts w:hint="eastAsia" w:ascii="Times New Roman" w:hAnsi="Times New Roman"/>
          <w:color w:val="auto"/>
          <w:highlight w:val="none"/>
          <w:lang w:val="en-US" w:eastAsia="zh-CN"/>
        </w:rPr>
        <w:t>/T</w:t>
      </w:r>
      <w:r>
        <w:rPr>
          <w:rFonts w:hint="eastAsia" w:ascii="Times New Roman" w:hAnsi="Times New Roman"/>
          <w:color w:val="auto"/>
          <w:highlight w:val="none"/>
        </w:rPr>
        <w:t xml:space="preserve"> 4208 中的规定进行试验。</w:t>
      </w:r>
    </w:p>
    <w:p w14:paraId="728AFFF7">
      <w:pPr>
        <w:spacing w:line="276" w:lineRule="auto"/>
        <w:outlineLvl w:val="1"/>
        <w:rPr>
          <w:rFonts w:ascii="Times New Roman" w:hAnsi="Times New Roman"/>
          <w:b/>
          <w:bCs/>
          <w:color w:val="auto"/>
          <w:highlight w:val="none"/>
        </w:rPr>
      </w:pPr>
      <w:bookmarkStart w:id="72" w:name="_Toc17487"/>
      <w:r>
        <w:rPr>
          <w:rFonts w:hint="eastAsia" w:ascii="Times New Roman" w:hAnsi="Times New Roman"/>
          <w:b/>
          <w:bCs/>
          <w:color w:val="auto"/>
          <w:highlight w:val="none"/>
        </w:rPr>
        <w:t>5.5 其他性能试验</w:t>
      </w:r>
      <w:bookmarkEnd w:id="72"/>
    </w:p>
    <w:p w14:paraId="4ED725C3">
      <w:pPr>
        <w:spacing w:line="276" w:lineRule="auto"/>
        <w:rPr>
          <w:rFonts w:ascii="Times New Roman" w:hAnsi="Times New Roman"/>
          <w:color w:val="auto"/>
          <w:highlight w:val="none"/>
        </w:rPr>
      </w:pPr>
      <w:r>
        <w:rPr>
          <w:rFonts w:hint="eastAsia" w:ascii="Times New Roman" w:hAnsi="Times New Roman"/>
          <w:color w:val="auto"/>
          <w:highlight w:val="none"/>
        </w:rPr>
        <w:t>5.5.1 抗运输环境性能试验</w:t>
      </w:r>
    </w:p>
    <w:p w14:paraId="18FC163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按 GB/T 25480—2010 规定的方法进行。</w:t>
      </w:r>
    </w:p>
    <w:p w14:paraId="34ED051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试验后</w:t>
      </w:r>
      <w:r>
        <w:rPr>
          <w:rFonts w:hint="eastAsia" w:ascii="Times New Roman" w:hAnsi="Times New Roman"/>
          <w:color w:val="auto"/>
          <w:highlight w:val="none"/>
          <w:lang w:eastAsia="zh-CN"/>
        </w:rPr>
        <w:t>，</w:t>
      </w:r>
      <w:r>
        <w:rPr>
          <w:rFonts w:hint="eastAsia" w:ascii="Times New Roman" w:hAnsi="Times New Roman"/>
          <w:color w:val="auto"/>
          <w:highlight w:val="none"/>
        </w:rPr>
        <w:t>将流量计从包装箱中取出</w:t>
      </w:r>
      <w:r>
        <w:rPr>
          <w:rFonts w:hint="eastAsia" w:ascii="Times New Roman" w:hAnsi="Times New Roman"/>
          <w:color w:val="auto"/>
          <w:highlight w:val="none"/>
          <w:lang w:eastAsia="zh-CN"/>
        </w:rPr>
        <w:t>，</w:t>
      </w:r>
      <w:r>
        <w:rPr>
          <w:rFonts w:hint="eastAsia" w:ascii="Times New Roman" w:hAnsi="Times New Roman"/>
          <w:color w:val="auto"/>
          <w:highlight w:val="none"/>
        </w:rPr>
        <w:t>仔细检查流量计有无损坏</w:t>
      </w:r>
      <w:r>
        <w:rPr>
          <w:rFonts w:hint="eastAsia" w:ascii="Times New Roman" w:hAnsi="Times New Roman"/>
          <w:color w:val="auto"/>
          <w:highlight w:val="none"/>
          <w:lang w:eastAsia="zh-CN"/>
        </w:rPr>
        <w:t>，</w:t>
      </w:r>
      <w:r>
        <w:rPr>
          <w:rFonts w:hint="eastAsia" w:ascii="Times New Roman" w:hAnsi="Times New Roman"/>
          <w:color w:val="auto"/>
          <w:highlight w:val="none"/>
        </w:rPr>
        <w:t>并重复本标准中 5.2.1～5.2.5 和 5.5.2的试验。</w:t>
      </w:r>
    </w:p>
    <w:p w14:paraId="278A20E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如有需要，可通过合同或协商，在保证判别无争议的情况下，对高环境温度、低环境温度、自由跌落、连续冲击进行一次性试验和一次性总测试。</w:t>
      </w:r>
    </w:p>
    <w:p w14:paraId="619E87F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注：经过 55℃环境温度影响试验的流量计可免做55℃的抗运输环境温度性能的试验。经过-25℃环境温度影响试验的流量计可免做-25℃的抗运输环境温度性能的试验。</w:t>
      </w:r>
    </w:p>
    <w:p w14:paraId="74996CE6">
      <w:pPr>
        <w:spacing w:line="276" w:lineRule="auto"/>
        <w:rPr>
          <w:rFonts w:ascii="Times New Roman" w:hAnsi="Times New Roman"/>
          <w:b/>
          <w:bCs/>
          <w:color w:val="auto"/>
          <w:highlight w:val="none"/>
        </w:rPr>
      </w:pPr>
      <w:r>
        <w:rPr>
          <w:rFonts w:hint="eastAsia" w:ascii="Times New Roman" w:hAnsi="Times New Roman"/>
          <w:b/>
          <w:bCs/>
          <w:color w:val="auto"/>
          <w:highlight w:val="none"/>
        </w:rPr>
        <w:t>5.5.2 外观检查</w:t>
      </w:r>
    </w:p>
    <w:p w14:paraId="4BC68DB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流量计的外观按 4.4.2 的要求采用目检法进行检查。</w:t>
      </w:r>
    </w:p>
    <w:p w14:paraId="2618300B">
      <w:pPr>
        <w:spacing w:line="276" w:lineRule="auto"/>
        <w:outlineLvl w:val="0"/>
        <w:rPr>
          <w:rFonts w:ascii="Times New Roman" w:hAnsi="Times New Roman"/>
          <w:b/>
          <w:bCs/>
          <w:color w:val="auto"/>
          <w:highlight w:val="none"/>
        </w:rPr>
      </w:pPr>
      <w:bookmarkStart w:id="73" w:name="_Toc28185_WPSOffice_Level2"/>
      <w:bookmarkStart w:id="74" w:name="_Toc16690"/>
      <w:r>
        <w:rPr>
          <w:rFonts w:hint="eastAsia" w:ascii="Times New Roman" w:hAnsi="Times New Roman"/>
          <w:b/>
          <w:bCs/>
          <w:color w:val="auto"/>
          <w:highlight w:val="none"/>
        </w:rPr>
        <w:t>6 检验规则</w:t>
      </w:r>
      <w:bookmarkEnd w:id="73"/>
      <w:bookmarkEnd w:id="74"/>
    </w:p>
    <w:p w14:paraId="4C1C7968">
      <w:pPr>
        <w:spacing w:line="276" w:lineRule="auto"/>
        <w:outlineLvl w:val="1"/>
        <w:rPr>
          <w:rFonts w:ascii="Times New Roman" w:hAnsi="Times New Roman"/>
          <w:b/>
          <w:bCs/>
          <w:color w:val="auto"/>
          <w:highlight w:val="none"/>
        </w:rPr>
      </w:pPr>
      <w:bookmarkStart w:id="75" w:name="_Toc13095"/>
      <w:r>
        <w:rPr>
          <w:rFonts w:hint="eastAsia" w:ascii="Times New Roman" w:hAnsi="Times New Roman"/>
          <w:b/>
          <w:bCs/>
          <w:color w:val="auto"/>
          <w:highlight w:val="none"/>
        </w:rPr>
        <w:t>6.1 出厂检验</w:t>
      </w:r>
      <w:bookmarkEnd w:id="75"/>
    </w:p>
    <w:p w14:paraId="1A2C2A1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每台流量计必须经产品质量检验部门检验合格，并附有检验合格证书后方能出厂。</w:t>
      </w:r>
    </w:p>
    <w:p w14:paraId="676E853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流量计出厂检验项目见表 4。</w:t>
      </w:r>
    </w:p>
    <w:p w14:paraId="7D00D2E5">
      <w:pPr>
        <w:spacing w:line="276" w:lineRule="auto"/>
        <w:ind w:firstLine="420" w:firstLineChars="200"/>
        <w:jc w:val="center"/>
        <w:rPr>
          <w:rFonts w:ascii="Times New Roman" w:hAnsi="Times New Roman"/>
          <w:color w:val="auto"/>
          <w:highlight w:val="none"/>
        </w:rPr>
      </w:pPr>
      <w:r>
        <w:rPr>
          <w:rFonts w:hint="eastAsia" w:ascii="Times New Roman" w:hAnsi="Times New Roman"/>
          <w:color w:val="auto"/>
          <w:highlight w:val="none"/>
        </w:rPr>
        <w:t>表4 出厂检验项目</w:t>
      </w:r>
    </w:p>
    <w:tbl>
      <w:tblPr>
        <w:tblStyle w:val="28"/>
        <w:tblW w:w="9536" w:type="dxa"/>
        <w:tblInd w:w="113" w:type="dxa"/>
        <w:tblLayout w:type="fixed"/>
        <w:tblCellMar>
          <w:top w:w="0" w:type="dxa"/>
          <w:left w:w="108" w:type="dxa"/>
          <w:bottom w:w="0" w:type="dxa"/>
          <w:right w:w="108" w:type="dxa"/>
        </w:tblCellMar>
      </w:tblPr>
      <w:tblGrid>
        <w:gridCol w:w="600"/>
        <w:gridCol w:w="1947"/>
        <w:gridCol w:w="1276"/>
        <w:gridCol w:w="1134"/>
        <w:gridCol w:w="992"/>
        <w:gridCol w:w="1701"/>
        <w:gridCol w:w="1886"/>
      </w:tblGrid>
      <w:tr w14:paraId="12F833A6">
        <w:tblPrEx>
          <w:tblCellMar>
            <w:top w:w="0" w:type="dxa"/>
            <w:left w:w="108" w:type="dxa"/>
            <w:bottom w:w="0" w:type="dxa"/>
            <w:right w:w="108" w:type="dxa"/>
          </w:tblCellMar>
        </w:tblPrEx>
        <w:trPr>
          <w:trHeight w:val="255" w:hRule="atLeast"/>
        </w:trPr>
        <w:tc>
          <w:tcPr>
            <w:tcW w:w="6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5403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序号</w:t>
            </w:r>
          </w:p>
        </w:tc>
        <w:tc>
          <w:tcPr>
            <w:tcW w:w="1947" w:type="dxa"/>
            <w:tcBorders>
              <w:top w:val="single" w:color="000000" w:sz="4" w:space="0"/>
              <w:left w:val="nil"/>
              <w:bottom w:val="single" w:color="000000" w:sz="4" w:space="0"/>
              <w:right w:val="single" w:color="000000" w:sz="4" w:space="0"/>
            </w:tcBorders>
            <w:shd w:val="clear" w:color="auto" w:fill="auto"/>
            <w:noWrap/>
            <w:vAlign w:val="center"/>
          </w:tcPr>
          <w:p w14:paraId="5D19DCD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检验项目</w:t>
            </w:r>
          </w:p>
        </w:tc>
        <w:tc>
          <w:tcPr>
            <w:tcW w:w="1276" w:type="dxa"/>
            <w:tcBorders>
              <w:top w:val="single" w:color="000000" w:sz="4" w:space="0"/>
              <w:left w:val="nil"/>
              <w:bottom w:val="single" w:color="000000" w:sz="4" w:space="0"/>
              <w:right w:val="single" w:color="000000" w:sz="4" w:space="0"/>
            </w:tcBorders>
            <w:shd w:val="clear" w:color="auto" w:fill="auto"/>
            <w:noWrap/>
            <w:vAlign w:val="center"/>
          </w:tcPr>
          <w:p w14:paraId="01637BD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现场指示型流量计</w:t>
            </w:r>
          </w:p>
        </w:tc>
        <w:tc>
          <w:tcPr>
            <w:tcW w:w="1134" w:type="dxa"/>
            <w:tcBorders>
              <w:top w:val="single" w:color="000000" w:sz="4" w:space="0"/>
              <w:left w:val="nil"/>
              <w:bottom w:val="single" w:color="000000" w:sz="4" w:space="0"/>
              <w:right w:val="single" w:color="000000" w:sz="4" w:space="0"/>
            </w:tcBorders>
            <w:shd w:val="clear" w:color="auto" w:fill="auto"/>
            <w:noWrap/>
            <w:vAlign w:val="center"/>
          </w:tcPr>
          <w:p w14:paraId="1ED752A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电远传型流量计</w:t>
            </w:r>
          </w:p>
        </w:tc>
        <w:tc>
          <w:tcPr>
            <w:tcW w:w="992" w:type="dxa"/>
            <w:tcBorders>
              <w:top w:val="single" w:color="000000" w:sz="4" w:space="0"/>
              <w:left w:val="nil"/>
              <w:bottom w:val="single" w:color="000000" w:sz="4" w:space="0"/>
              <w:right w:val="single" w:color="000000" w:sz="4" w:space="0"/>
            </w:tcBorders>
            <w:shd w:val="clear" w:color="auto" w:fill="auto"/>
            <w:noWrap/>
            <w:vAlign w:val="center"/>
          </w:tcPr>
          <w:p w14:paraId="0C9428F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报警型流量计</w:t>
            </w:r>
          </w:p>
        </w:tc>
        <w:tc>
          <w:tcPr>
            <w:tcW w:w="1701" w:type="dxa"/>
            <w:tcBorders>
              <w:top w:val="single" w:color="000000" w:sz="4" w:space="0"/>
              <w:left w:val="nil"/>
              <w:bottom w:val="single" w:color="000000" w:sz="4" w:space="0"/>
              <w:right w:val="single" w:color="000000" w:sz="4" w:space="0"/>
            </w:tcBorders>
            <w:shd w:val="clear" w:color="auto" w:fill="auto"/>
            <w:noWrap/>
            <w:vAlign w:val="center"/>
          </w:tcPr>
          <w:p w14:paraId="51CF747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技术要求条款号</w:t>
            </w:r>
          </w:p>
        </w:tc>
        <w:tc>
          <w:tcPr>
            <w:tcW w:w="1886" w:type="dxa"/>
            <w:tcBorders>
              <w:top w:val="single" w:color="000000" w:sz="4" w:space="0"/>
              <w:left w:val="nil"/>
              <w:bottom w:val="single" w:color="000000" w:sz="4" w:space="0"/>
              <w:right w:val="single" w:color="000000" w:sz="4" w:space="0"/>
            </w:tcBorders>
            <w:shd w:val="clear" w:color="auto" w:fill="auto"/>
            <w:noWrap/>
            <w:vAlign w:val="center"/>
          </w:tcPr>
          <w:p w14:paraId="47D9E6C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试验方法条款号</w:t>
            </w:r>
          </w:p>
        </w:tc>
      </w:tr>
      <w:tr w14:paraId="3F0F9653">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000000" w:sz="4" w:space="0"/>
              <w:right w:val="single" w:color="000000" w:sz="4" w:space="0"/>
            </w:tcBorders>
            <w:shd w:val="clear" w:color="auto" w:fill="auto"/>
            <w:noWrap/>
            <w:vAlign w:val="center"/>
          </w:tcPr>
          <w:p w14:paraId="3B8FC71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w:t>
            </w:r>
          </w:p>
        </w:tc>
        <w:tc>
          <w:tcPr>
            <w:tcW w:w="1947" w:type="dxa"/>
            <w:tcBorders>
              <w:top w:val="nil"/>
              <w:left w:val="nil"/>
              <w:bottom w:val="single" w:color="000000" w:sz="4" w:space="0"/>
              <w:right w:val="single" w:color="000000" w:sz="4" w:space="0"/>
            </w:tcBorders>
            <w:shd w:val="clear" w:color="auto" w:fill="auto"/>
            <w:noWrap/>
            <w:vAlign w:val="center"/>
          </w:tcPr>
          <w:p w14:paraId="7796DE0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基本误差</w:t>
            </w:r>
          </w:p>
        </w:tc>
        <w:tc>
          <w:tcPr>
            <w:tcW w:w="1276" w:type="dxa"/>
            <w:tcBorders>
              <w:top w:val="nil"/>
              <w:left w:val="nil"/>
              <w:bottom w:val="single" w:color="000000" w:sz="4" w:space="0"/>
              <w:right w:val="single" w:color="000000" w:sz="4" w:space="0"/>
            </w:tcBorders>
            <w:shd w:val="clear" w:color="auto" w:fill="auto"/>
            <w:noWrap/>
            <w:vAlign w:val="center"/>
          </w:tcPr>
          <w:p w14:paraId="095ED14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71D7F1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992" w:type="dxa"/>
            <w:tcBorders>
              <w:top w:val="nil"/>
              <w:left w:val="nil"/>
              <w:bottom w:val="single" w:color="000000" w:sz="4" w:space="0"/>
              <w:right w:val="single" w:color="000000" w:sz="4" w:space="0"/>
            </w:tcBorders>
            <w:shd w:val="clear" w:color="auto" w:fill="auto"/>
            <w:noWrap/>
            <w:vAlign w:val="center"/>
          </w:tcPr>
          <w:p w14:paraId="3E66F50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000000" w:sz="4" w:space="0"/>
              <w:right w:val="single" w:color="000000" w:sz="4" w:space="0"/>
            </w:tcBorders>
            <w:shd w:val="clear" w:color="auto" w:fill="auto"/>
            <w:noWrap/>
            <w:vAlign w:val="center"/>
          </w:tcPr>
          <w:p w14:paraId="6CAA864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4.1.1</w:t>
            </w:r>
          </w:p>
        </w:tc>
        <w:tc>
          <w:tcPr>
            <w:tcW w:w="1886" w:type="dxa"/>
            <w:tcBorders>
              <w:top w:val="nil"/>
              <w:left w:val="nil"/>
              <w:bottom w:val="single" w:color="000000" w:sz="4" w:space="0"/>
              <w:right w:val="single" w:color="000000" w:sz="4" w:space="0"/>
            </w:tcBorders>
            <w:shd w:val="clear" w:color="auto" w:fill="auto"/>
            <w:noWrap/>
            <w:vAlign w:val="center"/>
          </w:tcPr>
          <w:p w14:paraId="57D196D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5.2.1</w:t>
            </w:r>
          </w:p>
        </w:tc>
      </w:tr>
      <w:tr w14:paraId="3A82BD75">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000000" w:sz="4" w:space="0"/>
              <w:right w:val="single" w:color="000000" w:sz="4" w:space="0"/>
            </w:tcBorders>
            <w:shd w:val="clear" w:color="auto" w:fill="auto"/>
            <w:noWrap/>
            <w:vAlign w:val="center"/>
          </w:tcPr>
          <w:p w14:paraId="4D96332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w:t>
            </w:r>
          </w:p>
        </w:tc>
        <w:tc>
          <w:tcPr>
            <w:tcW w:w="1947" w:type="dxa"/>
            <w:tcBorders>
              <w:top w:val="nil"/>
              <w:left w:val="nil"/>
              <w:bottom w:val="single" w:color="000000" w:sz="4" w:space="0"/>
              <w:right w:val="single" w:color="000000" w:sz="4" w:space="0"/>
            </w:tcBorders>
            <w:shd w:val="clear" w:color="auto" w:fill="auto"/>
            <w:noWrap/>
            <w:vAlign w:val="center"/>
          </w:tcPr>
          <w:p w14:paraId="6069794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回差</w:t>
            </w:r>
          </w:p>
        </w:tc>
        <w:tc>
          <w:tcPr>
            <w:tcW w:w="1276" w:type="dxa"/>
            <w:tcBorders>
              <w:top w:val="nil"/>
              <w:left w:val="nil"/>
              <w:bottom w:val="single" w:color="000000" w:sz="4" w:space="0"/>
              <w:right w:val="single" w:color="000000" w:sz="4" w:space="0"/>
            </w:tcBorders>
            <w:shd w:val="clear" w:color="auto" w:fill="auto"/>
            <w:noWrap/>
            <w:vAlign w:val="center"/>
          </w:tcPr>
          <w:p w14:paraId="1BD4240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085EC1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992" w:type="dxa"/>
            <w:tcBorders>
              <w:top w:val="nil"/>
              <w:left w:val="nil"/>
              <w:bottom w:val="single" w:color="000000" w:sz="4" w:space="0"/>
              <w:right w:val="single" w:color="000000" w:sz="4" w:space="0"/>
            </w:tcBorders>
            <w:shd w:val="clear" w:color="auto" w:fill="auto"/>
            <w:noWrap/>
            <w:vAlign w:val="center"/>
          </w:tcPr>
          <w:p w14:paraId="6300AC4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000000" w:sz="4" w:space="0"/>
              <w:right w:val="single" w:color="000000" w:sz="4" w:space="0"/>
            </w:tcBorders>
            <w:shd w:val="clear" w:color="auto" w:fill="auto"/>
            <w:noWrap/>
            <w:vAlign w:val="center"/>
          </w:tcPr>
          <w:p w14:paraId="61CE25E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4.1.2</w:t>
            </w:r>
          </w:p>
        </w:tc>
        <w:tc>
          <w:tcPr>
            <w:tcW w:w="1886" w:type="dxa"/>
            <w:tcBorders>
              <w:top w:val="nil"/>
              <w:left w:val="nil"/>
              <w:bottom w:val="single" w:color="000000" w:sz="4" w:space="0"/>
              <w:right w:val="single" w:color="000000" w:sz="4" w:space="0"/>
            </w:tcBorders>
            <w:shd w:val="clear" w:color="auto" w:fill="auto"/>
            <w:noWrap/>
            <w:vAlign w:val="center"/>
          </w:tcPr>
          <w:p w14:paraId="0FCACBD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5.2.2</w:t>
            </w:r>
          </w:p>
        </w:tc>
      </w:tr>
      <w:tr w14:paraId="72BDE36F">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000000" w:sz="4" w:space="0"/>
              <w:right w:val="single" w:color="000000" w:sz="4" w:space="0"/>
            </w:tcBorders>
            <w:shd w:val="clear" w:color="auto" w:fill="auto"/>
            <w:noWrap/>
            <w:vAlign w:val="center"/>
          </w:tcPr>
          <w:p w14:paraId="46F9AB3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w:t>
            </w:r>
          </w:p>
        </w:tc>
        <w:tc>
          <w:tcPr>
            <w:tcW w:w="1947" w:type="dxa"/>
            <w:tcBorders>
              <w:top w:val="nil"/>
              <w:left w:val="nil"/>
              <w:bottom w:val="single" w:color="000000" w:sz="4" w:space="0"/>
              <w:right w:val="single" w:color="000000" w:sz="4" w:space="0"/>
            </w:tcBorders>
            <w:shd w:val="clear" w:color="auto" w:fill="auto"/>
            <w:noWrap/>
            <w:vAlign w:val="center"/>
          </w:tcPr>
          <w:p w14:paraId="67911AE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报警设定点误差</w:t>
            </w:r>
          </w:p>
        </w:tc>
        <w:tc>
          <w:tcPr>
            <w:tcW w:w="1276" w:type="dxa"/>
            <w:tcBorders>
              <w:top w:val="nil"/>
              <w:left w:val="nil"/>
              <w:bottom w:val="single" w:color="000000" w:sz="4" w:space="0"/>
              <w:right w:val="single" w:color="000000" w:sz="4" w:space="0"/>
            </w:tcBorders>
            <w:shd w:val="clear" w:color="auto" w:fill="auto"/>
            <w:noWrap/>
            <w:vAlign w:val="center"/>
          </w:tcPr>
          <w:p w14:paraId="71034B9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638A95D8">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992" w:type="dxa"/>
            <w:tcBorders>
              <w:top w:val="nil"/>
              <w:left w:val="nil"/>
              <w:bottom w:val="single" w:color="000000" w:sz="4" w:space="0"/>
              <w:right w:val="single" w:color="000000" w:sz="4" w:space="0"/>
            </w:tcBorders>
            <w:shd w:val="clear" w:color="auto" w:fill="auto"/>
            <w:noWrap/>
            <w:vAlign w:val="center"/>
          </w:tcPr>
          <w:p w14:paraId="6B3F576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000000" w:sz="4" w:space="0"/>
              <w:right w:val="single" w:color="000000" w:sz="4" w:space="0"/>
            </w:tcBorders>
            <w:shd w:val="clear" w:color="auto" w:fill="auto"/>
            <w:noWrap/>
            <w:vAlign w:val="center"/>
          </w:tcPr>
          <w:p w14:paraId="144FD34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4.1.3</w:t>
            </w:r>
          </w:p>
        </w:tc>
        <w:tc>
          <w:tcPr>
            <w:tcW w:w="1886" w:type="dxa"/>
            <w:tcBorders>
              <w:top w:val="nil"/>
              <w:left w:val="nil"/>
              <w:bottom w:val="single" w:color="000000" w:sz="4" w:space="0"/>
              <w:right w:val="single" w:color="000000" w:sz="4" w:space="0"/>
            </w:tcBorders>
            <w:shd w:val="clear" w:color="auto" w:fill="auto"/>
            <w:noWrap/>
            <w:vAlign w:val="center"/>
          </w:tcPr>
          <w:p w14:paraId="7B9B0B8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5.2.3</w:t>
            </w:r>
          </w:p>
        </w:tc>
      </w:tr>
      <w:tr w14:paraId="0FA8D414">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000000" w:sz="4" w:space="0"/>
              <w:right w:val="single" w:color="000000" w:sz="4" w:space="0"/>
            </w:tcBorders>
            <w:shd w:val="clear" w:color="auto" w:fill="auto"/>
            <w:noWrap/>
            <w:vAlign w:val="center"/>
          </w:tcPr>
          <w:p w14:paraId="71EB169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w:t>
            </w:r>
          </w:p>
        </w:tc>
        <w:tc>
          <w:tcPr>
            <w:tcW w:w="1947" w:type="dxa"/>
            <w:tcBorders>
              <w:top w:val="nil"/>
              <w:left w:val="nil"/>
              <w:bottom w:val="single" w:color="000000" w:sz="4" w:space="0"/>
              <w:right w:val="single" w:color="000000" w:sz="4" w:space="0"/>
            </w:tcBorders>
            <w:shd w:val="clear" w:color="auto" w:fill="auto"/>
            <w:noWrap/>
            <w:vAlign w:val="center"/>
          </w:tcPr>
          <w:p w14:paraId="55FAF93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报警设定点切换差</w:t>
            </w:r>
          </w:p>
        </w:tc>
        <w:tc>
          <w:tcPr>
            <w:tcW w:w="1276" w:type="dxa"/>
            <w:tcBorders>
              <w:top w:val="nil"/>
              <w:left w:val="nil"/>
              <w:bottom w:val="single" w:color="000000" w:sz="4" w:space="0"/>
              <w:right w:val="single" w:color="000000" w:sz="4" w:space="0"/>
            </w:tcBorders>
            <w:shd w:val="clear" w:color="auto" w:fill="auto"/>
            <w:noWrap/>
            <w:vAlign w:val="center"/>
          </w:tcPr>
          <w:p w14:paraId="38C7A73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5A34982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992" w:type="dxa"/>
            <w:tcBorders>
              <w:top w:val="nil"/>
              <w:left w:val="nil"/>
              <w:bottom w:val="single" w:color="000000" w:sz="4" w:space="0"/>
              <w:right w:val="single" w:color="000000" w:sz="4" w:space="0"/>
            </w:tcBorders>
            <w:shd w:val="clear" w:color="auto" w:fill="auto"/>
            <w:noWrap/>
            <w:vAlign w:val="center"/>
          </w:tcPr>
          <w:p w14:paraId="7A90BD0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000000" w:sz="4" w:space="0"/>
              <w:right w:val="single" w:color="000000" w:sz="4" w:space="0"/>
            </w:tcBorders>
            <w:shd w:val="clear" w:color="auto" w:fill="auto"/>
            <w:noWrap/>
            <w:vAlign w:val="center"/>
          </w:tcPr>
          <w:p w14:paraId="281155E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4.1.4</w:t>
            </w:r>
          </w:p>
        </w:tc>
        <w:tc>
          <w:tcPr>
            <w:tcW w:w="1886" w:type="dxa"/>
            <w:tcBorders>
              <w:top w:val="nil"/>
              <w:left w:val="nil"/>
              <w:bottom w:val="single" w:color="000000" w:sz="4" w:space="0"/>
              <w:right w:val="single" w:color="000000" w:sz="4" w:space="0"/>
            </w:tcBorders>
            <w:shd w:val="clear" w:color="auto" w:fill="auto"/>
            <w:noWrap/>
            <w:vAlign w:val="center"/>
          </w:tcPr>
          <w:p w14:paraId="655538B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5.2.4</w:t>
            </w:r>
          </w:p>
        </w:tc>
      </w:tr>
      <w:tr w14:paraId="20B3D4F0">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000000" w:sz="4" w:space="0"/>
              <w:right w:val="single" w:color="000000" w:sz="4" w:space="0"/>
            </w:tcBorders>
            <w:shd w:val="clear" w:color="auto" w:fill="auto"/>
            <w:noWrap/>
            <w:vAlign w:val="center"/>
          </w:tcPr>
          <w:p w14:paraId="2C6F652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w:t>
            </w:r>
          </w:p>
        </w:tc>
        <w:tc>
          <w:tcPr>
            <w:tcW w:w="1947" w:type="dxa"/>
            <w:tcBorders>
              <w:top w:val="nil"/>
              <w:left w:val="nil"/>
              <w:bottom w:val="single" w:color="000000" w:sz="4" w:space="0"/>
              <w:right w:val="single" w:color="000000" w:sz="4" w:space="0"/>
            </w:tcBorders>
            <w:shd w:val="clear" w:color="auto" w:fill="auto"/>
            <w:noWrap/>
            <w:vAlign w:val="center"/>
          </w:tcPr>
          <w:p w14:paraId="4A7DFE0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报警设定点重复性</w:t>
            </w:r>
          </w:p>
        </w:tc>
        <w:tc>
          <w:tcPr>
            <w:tcW w:w="1276" w:type="dxa"/>
            <w:tcBorders>
              <w:top w:val="nil"/>
              <w:left w:val="nil"/>
              <w:bottom w:val="single" w:color="000000" w:sz="4" w:space="0"/>
              <w:right w:val="single" w:color="000000" w:sz="4" w:space="0"/>
            </w:tcBorders>
            <w:shd w:val="clear" w:color="auto" w:fill="auto"/>
            <w:noWrap/>
            <w:vAlign w:val="center"/>
          </w:tcPr>
          <w:p w14:paraId="709BCD49">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A2E2B38">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992" w:type="dxa"/>
            <w:tcBorders>
              <w:top w:val="nil"/>
              <w:left w:val="nil"/>
              <w:bottom w:val="single" w:color="000000" w:sz="4" w:space="0"/>
              <w:right w:val="single" w:color="000000" w:sz="4" w:space="0"/>
            </w:tcBorders>
            <w:shd w:val="clear" w:color="auto" w:fill="auto"/>
            <w:noWrap/>
            <w:vAlign w:val="center"/>
          </w:tcPr>
          <w:p w14:paraId="2D5B1CF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000000" w:sz="4" w:space="0"/>
              <w:right w:val="single" w:color="000000" w:sz="4" w:space="0"/>
            </w:tcBorders>
            <w:shd w:val="clear" w:color="auto" w:fill="auto"/>
            <w:noWrap/>
            <w:vAlign w:val="center"/>
          </w:tcPr>
          <w:p w14:paraId="4566243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4.1.5</w:t>
            </w:r>
          </w:p>
        </w:tc>
        <w:tc>
          <w:tcPr>
            <w:tcW w:w="1886" w:type="dxa"/>
            <w:tcBorders>
              <w:top w:val="nil"/>
              <w:left w:val="nil"/>
              <w:bottom w:val="single" w:color="000000" w:sz="4" w:space="0"/>
              <w:right w:val="single" w:color="000000" w:sz="4" w:space="0"/>
            </w:tcBorders>
            <w:shd w:val="clear" w:color="auto" w:fill="auto"/>
            <w:noWrap/>
            <w:vAlign w:val="center"/>
          </w:tcPr>
          <w:p w14:paraId="116C939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5.2.5</w:t>
            </w:r>
          </w:p>
        </w:tc>
      </w:tr>
      <w:tr w14:paraId="02CAE6DA">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000000" w:sz="4" w:space="0"/>
              <w:right w:val="single" w:color="000000" w:sz="4" w:space="0"/>
            </w:tcBorders>
            <w:shd w:val="clear" w:color="auto" w:fill="auto"/>
            <w:noWrap/>
            <w:vAlign w:val="center"/>
          </w:tcPr>
          <w:p w14:paraId="3CD7283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6</w:t>
            </w:r>
          </w:p>
        </w:tc>
        <w:tc>
          <w:tcPr>
            <w:tcW w:w="1947" w:type="dxa"/>
            <w:tcBorders>
              <w:top w:val="nil"/>
              <w:left w:val="nil"/>
              <w:bottom w:val="single" w:color="000000" w:sz="4" w:space="0"/>
              <w:right w:val="single" w:color="000000" w:sz="4" w:space="0"/>
            </w:tcBorders>
            <w:shd w:val="clear" w:color="auto" w:fill="auto"/>
            <w:noWrap/>
            <w:vAlign w:val="center"/>
          </w:tcPr>
          <w:p w14:paraId="1B355CF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耐压强度</w:t>
            </w:r>
          </w:p>
        </w:tc>
        <w:tc>
          <w:tcPr>
            <w:tcW w:w="1276" w:type="dxa"/>
            <w:tcBorders>
              <w:top w:val="nil"/>
              <w:left w:val="nil"/>
              <w:bottom w:val="single" w:color="000000" w:sz="4" w:space="0"/>
              <w:right w:val="single" w:color="000000" w:sz="4" w:space="0"/>
            </w:tcBorders>
            <w:shd w:val="clear" w:color="auto" w:fill="auto"/>
            <w:noWrap/>
            <w:vAlign w:val="center"/>
          </w:tcPr>
          <w:p w14:paraId="7346E11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1119E3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992" w:type="dxa"/>
            <w:tcBorders>
              <w:top w:val="nil"/>
              <w:left w:val="nil"/>
              <w:bottom w:val="single" w:color="000000" w:sz="4" w:space="0"/>
              <w:right w:val="single" w:color="000000" w:sz="4" w:space="0"/>
            </w:tcBorders>
            <w:shd w:val="clear" w:color="auto" w:fill="auto"/>
            <w:noWrap/>
            <w:vAlign w:val="center"/>
          </w:tcPr>
          <w:p w14:paraId="2DD98F9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000000" w:sz="4" w:space="0"/>
              <w:right w:val="single" w:color="000000" w:sz="4" w:space="0"/>
            </w:tcBorders>
            <w:shd w:val="clear" w:color="auto" w:fill="auto"/>
            <w:noWrap/>
            <w:vAlign w:val="center"/>
          </w:tcPr>
          <w:p w14:paraId="0A8B020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4.3.1</w:t>
            </w:r>
          </w:p>
        </w:tc>
        <w:tc>
          <w:tcPr>
            <w:tcW w:w="1886" w:type="dxa"/>
            <w:tcBorders>
              <w:top w:val="nil"/>
              <w:left w:val="nil"/>
              <w:bottom w:val="single" w:color="000000" w:sz="4" w:space="0"/>
              <w:right w:val="single" w:color="000000" w:sz="4" w:space="0"/>
            </w:tcBorders>
            <w:shd w:val="clear" w:color="auto" w:fill="auto"/>
            <w:noWrap/>
            <w:vAlign w:val="center"/>
          </w:tcPr>
          <w:p w14:paraId="3E9F389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5.4.1</w:t>
            </w:r>
          </w:p>
        </w:tc>
      </w:tr>
      <w:tr w14:paraId="5F2FE086">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000000" w:sz="4" w:space="0"/>
              <w:right w:val="single" w:color="000000" w:sz="4" w:space="0"/>
            </w:tcBorders>
            <w:shd w:val="clear" w:color="auto" w:fill="auto"/>
            <w:noWrap/>
            <w:vAlign w:val="center"/>
          </w:tcPr>
          <w:p w14:paraId="01DB1C8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7</w:t>
            </w:r>
          </w:p>
        </w:tc>
        <w:tc>
          <w:tcPr>
            <w:tcW w:w="1947" w:type="dxa"/>
            <w:tcBorders>
              <w:top w:val="nil"/>
              <w:left w:val="nil"/>
              <w:bottom w:val="single" w:color="000000" w:sz="4" w:space="0"/>
              <w:right w:val="single" w:color="000000" w:sz="4" w:space="0"/>
            </w:tcBorders>
            <w:shd w:val="clear" w:color="auto" w:fill="auto"/>
            <w:noWrap/>
            <w:vAlign w:val="center"/>
          </w:tcPr>
          <w:p w14:paraId="6FE9266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绝缘电阻</w:t>
            </w:r>
          </w:p>
        </w:tc>
        <w:tc>
          <w:tcPr>
            <w:tcW w:w="1276" w:type="dxa"/>
            <w:tcBorders>
              <w:top w:val="nil"/>
              <w:left w:val="nil"/>
              <w:bottom w:val="single" w:color="000000" w:sz="4" w:space="0"/>
              <w:right w:val="single" w:color="000000" w:sz="4" w:space="0"/>
            </w:tcBorders>
            <w:shd w:val="clear" w:color="auto" w:fill="auto"/>
            <w:noWrap/>
            <w:vAlign w:val="center"/>
          </w:tcPr>
          <w:p w14:paraId="5B1325D5">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01F5703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xml:space="preserve">▲ </w:t>
            </w:r>
          </w:p>
        </w:tc>
        <w:tc>
          <w:tcPr>
            <w:tcW w:w="992" w:type="dxa"/>
            <w:tcBorders>
              <w:top w:val="nil"/>
              <w:left w:val="nil"/>
              <w:bottom w:val="single" w:color="000000" w:sz="4" w:space="0"/>
              <w:right w:val="single" w:color="000000" w:sz="4" w:space="0"/>
            </w:tcBorders>
            <w:shd w:val="clear" w:color="auto" w:fill="auto"/>
            <w:noWrap/>
            <w:vAlign w:val="center"/>
          </w:tcPr>
          <w:p w14:paraId="577B708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000000" w:sz="4" w:space="0"/>
              <w:right w:val="single" w:color="000000" w:sz="4" w:space="0"/>
            </w:tcBorders>
            <w:shd w:val="clear" w:color="auto" w:fill="auto"/>
            <w:noWrap/>
            <w:vAlign w:val="center"/>
          </w:tcPr>
          <w:p w14:paraId="2102785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4.3.2</w:t>
            </w:r>
          </w:p>
        </w:tc>
        <w:tc>
          <w:tcPr>
            <w:tcW w:w="1886" w:type="dxa"/>
            <w:tcBorders>
              <w:top w:val="nil"/>
              <w:left w:val="nil"/>
              <w:bottom w:val="single" w:color="000000" w:sz="4" w:space="0"/>
              <w:right w:val="single" w:color="000000" w:sz="4" w:space="0"/>
            </w:tcBorders>
            <w:shd w:val="clear" w:color="auto" w:fill="auto"/>
            <w:noWrap/>
            <w:vAlign w:val="center"/>
          </w:tcPr>
          <w:p w14:paraId="1F0384E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5.4.2</w:t>
            </w:r>
          </w:p>
        </w:tc>
      </w:tr>
      <w:tr w14:paraId="09CB79E8">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000000" w:sz="4" w:space="0"/>
              <w:right w:val="single" w:color="000000" w:sz="4" w:space="0"/>
            </w:tcBorders>
            <w:shd w:val="clear" w:color="auto" w:fill="auto"/>
            <w:noWrap/>
            <w:vAlign w:val="center"/>
          </w:tcPr>
          <w:p w14:paraId="55A2383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8</w:t>
            </w:r>
          </w:p>
        </w:tc>
        <w:tc>
          <w:tcPr>
            <w:tcW w:w="1947" w:type="dxa"/>
            <w:tcBorders>
              <w:top w:val="nil"/>
              <w:left w:val="nil"/>
              <w:bottom w:val="single" w:color="000000" w:sz="4" w:space="0"/>
              <w:right w:val="single" w:color="000000" w:sz="4" w:space="0"/>
            </w:tcBorders>
            <w:shd w:val="clear" w:color="auto" w:fill="auto"/>
            <w:noWrap/>
            <w:vAlign w:val="center"/>
          </w:tcPr>
          <w:p w14:paraId="44C8216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绝缘强度</w:t>
            </w:r>
          </w:p>
        </w:tc>
        <w:tc>
          <w:tcPr>
            <w:tcW w:w="1276" w:type="dxa"/>
            <w:tcBorders>
              <w:top w:val="nil"/>
              <w:left w:val="nil"/>
              <w:bottom w:val="single" w:color="000000" w:sz="4" w:space="0"/>
              <w:right w:val="single" w:color="000000" w:sz="4" w:space="0"/>
            </w:tcBorders>
            <w:shd w:val="clear" w:color="auto" w:fill="auto"/>
            <w:noWrap/>
            <w:vAlign w:val="center"/>
          </w:tcPr>
          <w:p w14:paraId="4D4C2DB5">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64FD3A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992" w:type="dxa"/>
            <w:tcBorders>
              <w:top w:val="nil"/>
              <w:left w:val="nil"/>
              <w:bottom w:val="single" w:color="000000" w:sz="4" w:space="0"/>
              <w:right w:val="single" w:color="000000" w:sz="4" w:space="0"/>
            </w:tcBorders>
            <w:shd w:val="clear" w:color="auto" w:fill="auto"/>
            <w:noWrap/>
            <w:vAlign w:val="center"/>
          </w:tcPr>
          <w:p w14:paraId="3544BD4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000000" w:sz="4" w:space="0"/>
              <w:right w:val="single" w:color="000000" w:sz="4" w:space="0"/>
            </w:tcBorders>
            <w:shd w:val="clear" w:color="auto" w:fill="auto"/>
            <w:noWrap/>
            <w:vAlign w:val="center"/>
          </w:tcPr>
          <w:p w14:paraId="7A35A0E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4.3.3</w:t>
            </w:r>
          </w:p>
        </w:tc>
        <w:tc>
          <w:tcPr>
            <w:tcW w:w="1886" w:type="dxa"/>
            <w:tcBorders>
              <w:top w:val="nil"/>
              <w:left w:val="nil"/>
              <w:bottom w:val="single" w:color="000000" w:sz="4" w:space="0"/>
              <w:right w:val="single" w:color="000000" w:sz="4" w:space="0"/>
            </w:tcBorders>
            <w:shd w:val="clear" w:color="auto" w:fill="auto"/>
            <w:noWrap/>
            <w:vAlign w:val="center"/>
          </w:tcPr>
          <w:p w14:paraId="7132458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5.4.3</w:t>
            </w:r>
          </w:p>
        </w:tc>
      </w:tr>
      <w:tr w14:paraId="3BBC65AA">
        <w:tblPrEx>
          <w:tblCellMar>
            <w:top w:w="0" w:type="dxa"/>
            <w:left w:w="108" w:type="dxa"/>
            <w:bottom w:w="0" w:type="dxa"/>
            <w:right w:w="108" w:type="dxa"/>
          </w:tblCellMar>
        </w:tblPrEx>
        <w:trPr>
          <w:trHeight w:val="255" w:hRule="atLeast"/>
        </w:trPr>
        <w:tc>
          <w:tcPr>
            <w:tcW w:w="600" w:type="dxa"/>
            <w:tcBorders>
              <w:top w:val="nil"/>
              <w:left w:val="single" w:color="000000" w:sz="4" w:space="0"/>
              <w:bottom w:val="single" w:color="auto" w:sz="4" w:space="0"/>
              <w:right w:val="single" w:color="000000" w:sz="4" w:space="0"/>
            </w:tcBorders>
            <w:shd w:val="clear" w:color="auto" w:fill="auto"/>
            <w:noWrap/>
            <w:vAlign w:val="center"/>
          </w:tcPr>
          <w:p w14:paraId="31D46E1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xml:space="preserve">9 </w:t>
            </w:r>
          </w:p>
        </w:tc>
        <w:tc>
          <w:tcPr>
            <w:tcW w:w="1947" w:type="dxa"/>
            <w:tcBorders>
              <w:top w:val="nil"/>
              <w:left w:val="nil"/>
              <w:bottom w:val="single" w:color="auto" w:sz="4" w:space="0"/>
              <w:right w:val="single" w:color="000000" w:sz="4" w:space="0"/>
            </w:tcBorders>
            <w:shd w:val="clear" w:color="auto" w:fill="auto"/>
            <w:noWrap/>
            <w:vAlign w:val="center"/>
          </w:tcPr>
          <w:p w14:paraId="036AB37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外观。</w:t>
            </w:r>
          </w:p>
        </w:tc>
        <w:tc>
          <w:tcPr>
            <w:tcW w:w="1276" w:type="dxa"/>
            <w:tcBorders>
              <w:top w:val="nil"/>
              <w:left w:val="nil"/>
              <w:bottom w:val="single" w:color="auto" w:sz="4" w:space="0"/>
              <w:right w:val="single" w:color="000000" w:sz="4" w:space="0"/>
            </w:tcBorders>
            <w:shd w:val="clear" w:color="auto" w:fill="auto"/>
            <w:noWrap/>
            <w:vAlign w:val="center"/>
          </w:tcPr>
          <w:p w14:paraId="646FE0C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auto" w:sz="4" w:space="0"/>
              <w:right w:val="single" w:color="000000" w:sz="4" w:space="0"/>
            </w:tcBorders>
            <w:shd w:val="clear" w:color="auto" w:fill="auto"/>
            <w:noWrap/>
            <w:vAlign w:val="center"/>
          </w:tcPr>
          <w:p w14:paraId="5577480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992" w:type="dxa"/>
            <w:tcBorders>
              <w:top w:val="nil"/>
              <w:left w:val="nil"/>
              <w:bottom w:val="single" w:color="auto" w:sz="4" w:space="0"/>
              <w:right w:val="single" w:color="000000" w:sz="4" w:space="0"/>
            </w:tcBorders>
            <w:shd w:val="clear" w:color="auto" w:fill="auto"/>
            <w:noWrap/>
            <w:vAlign w:val="center"/>
          </w:tcPr>
          <w:p w14:paraId="0A7F9CA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701" w:type="dxa"/>
            <w:tcBorders>
              <w:top w:val="nil"/>
              <w:left w:val="nil"/>
              <w:bottom w:val="single" w:color="auto" w:sz="4" w:space="0"/>
              <w:right w:val="single" w:color="000000" w:sz="4" w:space="0"/>
            </w:tcBorders>
            <w:shd w:val="clear" w:color="auto" w:fill="auto"/>
            <w:noWrap/>
            <w:vAlign w:val="center"/>
          </w:tcPr>
          <w:p w14:paraId="4726EFD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4.4.2</w:t>
            </w:r>
          </w:p>
        </w:tc>
        <w:tc>
          <w:tcPr>
            <w:tcW w:w="1886" w:type="dxa"/>
            <w:tcBorders>
              <w:top w:val="nil"/>
              <w:left w:val="nil"/>
              <w:bottom w:val="nil"/>
              <w:right w:val="single" w:color="000000" w:sz="4" w:space="0"/>
            </w:tcBorders>
            <w:shd w:val="clear" w:color="auto" w:fill="auto"/>
            <w:noWrap/>
            <w:vAlign w:val="center"/>
          </w:tcPr>
          <w:p w14:paraId="40EA892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5.5.2</w:t>
            </w:r>
          </w:p>
        </w:tc>
      </w:tr>
      <w:tr w14:paraId="77CE3365">
        <w:tblPrEx>
          <w:tblCellMar>
            <w:top w:w="0" w:type="dxa"/>
            <w:left w:w="108" w:type="dxa"/>
            <w:bottom w:w="0" w:type="dxa"/>
            <w:right w:w="108" w:type="dxa"/>
          </w:tblCellMar>
        </w:tblPrEx>
        <w:trPr>
          <w:trHeight w:val="255" w:hRule="atLeast"/>
        </w:trPr>
        <w:tc>
          <w:tcPr>
            <w:tcW w:w="9536" w:type="dxa"/>
            <w:gridSpan w:val="7"/>
            <w:tcBorders>
              <w:top w:val="single" w:color="auto" w:sz="4" w:space="0"/>
              <w:left w:val="single" w:color="000000" w:sz="4" w:space="0"/>
              <w:bottom w:val="single" w:color="000000" w:sz="4" w:space="0"/>
              <w:right w:val="single" w:color="000000" w:sz="4" w:space="0"/>
            </w:tcBorders>
            <w:shd w:val="clear" w:color="auto" w:fill="auto"/>
            <w:noWrap/>
            <w:vAlign w:val="center"/>
          </w:tcPr>
          <w:p w14:paraId="3CB62B7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注: “▲”表示应检验项目：“-”表示不检验项目</w:t>
            </w:r>
          </w:p>
        </w:tc>
      </w:tr>
    </w:tbl>
    <w:p w14:paraId="643378AD">
      <w:pPr>
        <w:spacing w:line="276" w:lineRule="auto"/>
        <w:outlineLvl w:val="1"/>
        <w:rPr>
          <w:rFonts w:ascii="Times New Roman" w:hAnsi="Times New Roman"/>
          <w:b/>
          <w:bCs/>
          <w:color w:val="auto"/>
          <w:highlight w:val="none"/>
        </w:rPr>
      </w:pPr>
      <w:bookmarkStart w:id="76" w:name="_Toc17754"/>
      <w:r>
        <w:rPr>
          <w:rFonts w:hint="eastAsia" w:ascii="Times New Roman" w:hAnsi="Times New Roman"/>
          <w:b/>
          <w:bCs/>
          <w:color w:val="auto"/>
          <w:highlight w:val="none"/>
        </w:rPr>
        <w:t>6.2 型式检验</w:t>
      </w:r>
      <w:bookmarkEnd w:id="76"/>
    </w:p>
    <w:p w14:paraId="27BD66CF">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有下列情况之一时，应进行型式检验：</w:t>
      </w:r>
    </w:p>
    <w:p w14:paraId="72CA52B0">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a）新产品鉴定或老产品转厂定型；</w:t>
      </w:r>
    </w:p>
    <w:p w14:paraId="21C2C7C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b）正式生产后，如结构、材料、工艺有较大改变</w:t>
      </w:r>
      <w:r>
        <w:rPr>
          <w:rFonts w:hint="eastAsia" w:ascii="Times New Roman" w:hAnsi="Times New Roman"/>
          <w:color w:val="auto"/>
          <w:highlight w:val="none"/>
          <w:lang w:eastAsia="zh-CN"/>
        </w:rPr>
        <w:t>；</w:t>
      </w:r>
    </w:p>
    <w:p w14:paraId="38996B3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c）产品长期停产后恢复生产</w:t>
      </w:r>
      <w:r>
        <w:rPr>
          <w:rFonts w:hint="eastAsia" w:ascii="Times New Roman" w:hAnsi="Times New Roman"/>
          <w:color w:val="auto"/>
          <w:highlight w:val="none"/>
          <w:lang w:eastAsia="zh-CN"/>
        </w:rPr>
        <w:t>；</w:t>
      </w:r>
    </w:p>
    <w:p w14:paraId="58B81800">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d）上级质量监督机构提出进行型式检验的要求。</w:t>
      </w:r>
    </w:p>
    <w:p w14:paraId="506A68B7">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型式检验项目见表 5。</w:t>
      </w:r>
    </w:p>
    <w:p w14:paraId="787A3B80">
      <w:pPr>
        <w:spacing w:line="276" w:lineRule="auto"/>
        <w:ind w:firstLine="420" w:firstLineChars="200"/>
        <w:jc w:val="center"/>
        <w:rPr>
          <w:rFonts w:ascii="Times New Roman" w:hAnsi="Times New Roman"/>
          <w:color w:val="auto"/>
          <w:highlight w:val="none"/>
        </w:rPr>
      </w:pPr>
      <w:r>
        <w:rPr>
          <w:rFonts w:hint="eastAsia" w:ascii="Times New Roman" w:hAnsi="Times New Roman"/>
          <w:color w:val="auto"/>
          <w:highlight w:val="none"/>
        </w:rPr>
        <w:t>表5 型式检验项</w:t>
      </w:r>
      <w:r>
        <w:rPr>
          <w:rFonts w:hint="eastAsia" w:ascii="Times New Roman" w:hAnsi="Times New Roman"/>
          <w:color w:val="auto"/>
          <w:highlight w:val="none"/>
          <w:lang w:eastAsia="zh-CN"/>
        </w:rPr>
        <w:t>目</w:t>
      </w:r>
    </w:p>
    <w:tbl>
      <w:tblPr>
        <w:tblStyle w:val="28"/>
        <w:tblW w:w="8813" w:type="dxa"/>
        <w:tblInd w:w="113" w:type="dxa"/>
        <w:tblLayout w:type="fixed"/>
        <w:tblCellMar>
          <w:top w:w="0" w:type="dxa"/>
          <w:left w:w="108" w:type="dxa"/>
          <w:bottom w:w="0" w:type="dxa"/>
          <w:right w:w="108" w:type="dxa"/>
        </w:tblCellMar>
      </w:tblPr>
      <w:tblGrid>
        <w:gridCol w:w="580"/>
        <w:gridCol w:w="2279"/>
        <w:gridCol w:w="1276"/>
        <w:gridCol w:w="1134"/>
        <w:gridCol w:w="1134"/>
        <w:gridCol w:w="1134"/>
        <w:gridCol w:w="1276"/>
      </w:tblGrid>
      <w:tr w14:paraId="44E29331">
        <w:tblPrEx>
          <w:tblCellMar>
            <w:top w:w="0" w:type="dxa"/>
            <w:left w:w="108" w:type="dxa"/>
            <w:bottom w:w="0" w:type="dxa"/>
            <w:right w:w="108" w:type="dxa"/>
          </w:tblCellMar>
        </w:tblPrEx>
        <w:trPr>
          <w:trHeight w:val="255" w:hRule="atLeast"/>
        </w:trPr>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84CA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序号</w:t>
            </w:r>
          </w:p>
        </w:tc>
        <w:tc>
          <w:tcPr>
            <w:tcW w:w="2279" w:type="dxa"/>
            <w:tcBorders>
              <w:top w:val="single" w:color="000000" w:sz="4" w:space="0"/>
              <w:left w:val="nil"/>
              <w:bottom w:val="single" w:color="000000" w:sz="4" w:space="0"/>
              <w:right w:val="single" w:color="000000" w:sz="4" w:space="0"/>
            </w:tcBorders>
            <w:shd w:val="clear" w:color="auto" w:fill="auto"/>
            <w:noWrap/>
            <w:vAlign w:val="center"/>
          </w:tcPr>
          <w:p w14:paraId="4346797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检验项目</w:t>
            </w:r>
          </w:p>
        </w:tc>
        <w:tc>
          <w:tcPr>
            <w:tcW w:w="1276" w:type="dxa"/>
            <w:tcBorders>
              <w:top w:val="single" w:color="000000" w:sz="4" w:space="0"/>
              <w:left w:val="nil"/>
              <w:bottom w:val="single" w:color="000000" w:sz="4" w:space="0"/>
              <w:right w:val="single" w:color="000000" w:sz="4" w:space="0"/>
            </w:tcBorders>
            <w:shd w:val="clear" w:color="auto" w:fill="auto"/>
            <w:noWrap/>
            <w:vAlign w:val="center"/>
          </w:tcPr>
          <w:p w14:paraId="02A756F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现场指示型</w:t>
            </w:r>
          </w:p>
          <w:p w14:paraId="6BD0826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流量计</w:t>
            </w:r>
          </w:p>
        </w:tc>
        <w:tc>
          <w:tcPr>
            <w:tcW w:w="1134" w:type="dxa"/>
            <w:tcBorders>
              <w:top w:val="single" w:color="000000" w:sz="4" w:space="0"/>
              <w:left w:val="nil"/>
              <w:bottom w:val="single" w:color="000000" w:sz="4" w:space="0"/>
              <w:right w:val="single" w:color="000000" w:sz="4" w:space="0"/>
            </w:tcBorders>
            <w:shd w:val="clear" w:color="auto" w:fill="auto"/>
            <w:noWrap/>
            <w:vAlign w:val="center"/>
          </w:tcPr>
          <w:p w14:paraId="66DEDB5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xml:space="preserve">电远传型 </w:t>
            </w:r>
          </w:p>
          <w:p w14:paraId="48E4A99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流量计</w:t>
            </w:r>
          </w:p>
        </w:tc>
        <w:tc>
          <w:tcPr>
            <w:tcW w:w="1134" w:type="dxa"/>
            <w:tcBorders>
              <w:top w:val="single" w:color="000000" w:sz="4" w:space="0"/>
              <w:left w:val="nil"/>
              <w:bottom w:val="single" w:color="000000" w:sz="4" w:space="0"/>
              <w:right w:val="single" w:color="000000" w:sz="4" w:space="0"/>
            </w:tcBorders>
            <w:shd w:val="clear" w:color="auto" w:fill="auto"/>
            <w:noWrap/>
            <w:vAlign w:val="center"/>
          </w:tcPr>
          <w:p w14:paraId="3A901487">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报警</w:t>
            </w:r>
            <w:r>
              <w:rPr>
                <w:rFonts w:ascii="Arial" w:hAnsi="Arial" w:cs="Arial"/>
                <w:color w:val="auto"/>
                <w:kern w:val="0"/>
                <w:sz w:val="20"/>
                <w:szCs w:val="20"/>
                <w:highlight w:val="none"/>
              </w:rPr>
              <w:t xml:space="preserve">型 </w:t>
            </w:r>
          </w:p>
          <w:p w14:paraId="2C12CD8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流量计</w:t>
            </w:r>
          </w:p>
        </w:tc>
        <w:tc>
          <w:tcPr>
            <w:tcW w:w="1134" w:type="dxa"/>
            <w:tcBorders>
              <w:top w:val="single" w:color="000000" w:sz="4" w:space="0"/>
              <w:left w:val="nil"/>
              <w:bottom w:val="single" w:color="000000" w:sz="4" w:space="0"/>
              <w:right w:val="single" w:color="000000" w:sz="4" w:space="0"/>
            </w:tcBorders>
            <w:shd w:val="clear" w:color="auto" w:fill="auto"/>
            <w:noWrap/>
            <w:vAlign w:val="center"/>
          </w:tcPr>
          <w:p w14:paraId="54E19E3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xml:space="preserve">技术要求 </w:t>
            </w:r>
          </w:p>
          <w:p w14:paraId="60B2F95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条款号</w:t>
            </w:r>
          </w:p>
        </w:tc>
        <w:tc>
          <w:tcPr>
            <w:tcW w:w="1276" w:type="dxa"/>
            <w:tcBorders>
              <w:top w:val="single" w:color="000000" w:sz="4" w:space="0"/>
              <w:left w:val="nil"/>
              <w:bottom w:val="single" w:color="000000" w:sz="4" w:space="0"/>
              <w:right w:val="single" w:color="000000" w:sz="4" w:space="0"/>
            </w:tcBorders>
            <w:shd w:val="clear" w:color="auto" w:fill="auto"/>
            <w:noWrap/>
            <w:vAlign w:val="center"/>
          </w:tcPr>
          <w:p w14:paraId="221D35A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xml:space="preserve">试验方法 </w:t>
            </w:r>
          </w:p>
          <w:p w14:paraId="60C3AFD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条款号</w:t>
            </w:r>
          </w:p>
        </w:tc>
      </w:tr>
      <w:tr w14:paraId="685DE9CF">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293620B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w:t>
            </w:r>
          </w:p>
        </w:tc>
        <w:tc>
          <w:tcPr>
            <w:tcW w:w="2279" w:type="dxa"/>
            <w:tcBorders>
              <w:top w:val="nil"/>
              <w:left w:val="nil"/>
              <w:bottom w:val="single" w:color="000000" w:sz="4" w:space="0"/>
              <w:right w:val="single" w:color="000000" w:sz="4" w:space="0"/>
            </w:tcBorders>
            <w:shd w:val="clear" w:color="auto" w:fill="auto"/>
            <w:noWrap/>
            <w:vAlign w:val="center"/>
          </w:tcPr>
          <w:p w14:paraId="2A8E3B5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基本误差</w:t>
            </w:r>
          </w:p>
        </w:tc>
        <w:tc>
          <w:tcPr>
            <w:tcW w:w="1276" w:type="dxa"/>
            <w:tcBorders>
              <w:top w:val="nil"/>
              <w:left w:val="nil"/>
              <w:bottom w:val="single" w:color="000000" w:sz="4" w:space="0"/>
              <w:right w:val="single" w:color="000000" w:sz="4" w:space="0"/>
            </w:tcBorders>
            <w:shd w:val="clear" w:color="auto" w:fill="auto"/>
            <w:noWrap/>
            <w:vAlign w:val="center"/>
          </w:tcPr>
          <w:p w14:paraId="4223E43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B62B92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C1DF066">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8549E9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4.1.1</w:t>
            </w:r>
          </w:p>
        </w:tc>
        <w:tc>
          <w:tcPr>
            <w:tcW w:w="1276" w:type="dxa"/>
            <w:tcBorders>
              <w:top w:val="nil"/>
              <w:left w:val="nil"/>
              <w:bottom w:val="single" w:color="000000" w:sz="4" w:space="0"/>
              <w:right w:val="single" w:color="000000" w:sz="4" w:space="0"/>
            </w:tcBorders>
            <w:shd w:val="clear" w:color="auto" w:fill="auto"/>
            <w:noWrap/>
            <w:vAlign w:val="center"/>
          </w:tcPr>
          <w:p w14:paraId="07907F6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5.2.1</w:t>
            </w:r>
          </w:p>
        </w:tc>
      </w:tr>
      <w:tr w14:paraId="3B05CBF6">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5A2D432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w:t>
            </w:r>
          </w:p>
        </w:tc>
        <w:tc>
          <w:tcPr>
            <w:tcW w:w="2279" w:type="dxa"/>
            <w:tcBorders>
              <w:top w:val="nil"/>
              <w:left w:val="nil"/>
              <w:bottom w:val="single" w:color="000000" w:sz="4" w:space="0"/>
              <w:right w:val="single" w:color="000000" w:sz="4" w:space="0"/>
            </w:tcBorders>
            <w:shd w:val="clear" w:color="auto" w:fill="auto"/>
            <w:noWrap/>
            <w:vAlign w:val="center"/>
          </w:tcPr>
          <w:p w14:paraId="37C17B1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回差</w:t>
            </w:r>
          </w:p>
        </w:tc>
        <w:tc>
          <w:tcPr>
            <w:tcW w:w="1276" w:type="dxa"/>
            <w:tcBorders>
              <w:top w:val="nil"/>
              <w:left w:val="nil"/>
              <w:bottom w:val="single" w:color="000000" w:sz="4" w:space="0"/>
              <w:right w:val="single" w:color="000000" w:sz="4" w:space="0"/>
            </w:tcBorders>
            <w:shd w:val="clear" w:color="auto" w:fill="auto"/>
            <w:noWrap/>
            <w:vAlign w:val="center"/>
          </w:tcPr>
          <w:p w14:paraId="39E3858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536053A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6AA8DA82">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22769E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4.1.2</w:t>
            </w:r>
          </w:p>
        </w:tc>
        <w:tc>
          <w:tcPr>
            <w:tcW w:w="1276" w:type="dxa"/>
            <w:tcBorders>
              <w:top w:val="nil"/>
              <w:left w:val="nil"/>
              <w:bottom w:val="single" w:color="000000" w:sz="4" w:space="0"/>
              <w:right w:val="single" w:color="000000" w:sz="4" w:space="0"/>
            </w:tcBorders>
            <w:shd w:val="clear" w:color="auto" w:fill="auto"/>
            <w:noWrap/>
            <w:vAlign w:val="center"/>
          </w:tcPr>
          <w:p w14:paraId="744EB59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5.2.2</w:t>
            </w:r>
          </w:p>
        </w:tc>
      </w:tr>
      <w:tr w14:paraId="78D3C9C0">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5A4E5BF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w:t>
            </w:r>
          </w:p>
        </w:tc>
        <w:tc>
          <w:tcPr>
            <w:tcW w:w="2279" w:type="dxa"/>
            <w:tcBorders>
              <w:top w:val="nil"/>
              <w:left w:val="nil"/>
              <w:bottom w:val="single" w:color="000000" w:sz="4" w:space="0"/>
              <w:right w:val="single" w:color="000000" w:sz="4" w:space="0"/>
            </w:tcBorders>
            <w:shd w:val="clear" w:color="auto" w:fill="auto"/>
            <w:noWrap/>
            <w:vAlign w:val="center"/>
          </w:tcPr>
          <w:p w14:paraId="12D74B4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报警设定点误差</w:t>
            </w:r>
          </w:p>
        </w:tc>
        <w:tc>
          <w:tcPr>
            <w:tcW w:w="1276" w:type="dxa"/>
            <w:tcBorders>
              <w:top w:val="nil"/>
              <w:left w:val="nil"/>
              <w:bottom w:val="single" w:color="000000" w:sz="4" w:space="0"/>
              <w:right w:val="single" w:color="000000" w:sz="4" w:space="0"/>
            </w:tcBorders>
            <w:shd w:val="clear" w:color="auto" w:fill="auto"/>
            <w:noWrap/>
            <w:vAlign w:val="center"/>
          </w:tcPr>
          <w:p w14:paraId="04550306">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6CE4B3D6">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21983D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89FCD4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4.1.3</w:t>
            </w:r>
          </w:p>
        </w:tc>
        <w:tc>
          <w:tcPr>
            <w:tcW w:w="1276" w:type="dxa"/>
            <w:tcBorders>
              <w:top w:val="nil"/>
              <w:left w:val="nil"/>
              <w:bottom w:val="single" w:color="000000" w:sz="4" w:space="0"/>
              <w:right w:val="single" w:color="000000" w:sz="4" w:space="0"/>
            </w:tcBorders>
            <w:shd w:val="clear" w:color="auto" w:fill="auto"/>
            <w:noWrap/>
            <w:vAlign w:val="center"/>
          </w:tcPr>
          <w:p w14:paraId="03E703B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5.2.3</w:t>
            </w:r>
          </w:p>
        </w:tc>
      </w:tr>
      <w:tr w14:paraId="3ED1643E">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203157A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w:t>
            </w:r>
          </w:p>
        </w:tc>
        <w:tc>
          <w:tcPr>
            <w:tcW w:w="2279" w:type="dxa"/>
            <w:tcBorders>
              <w:top w:val="nil"/>
              <w:left w:val="nil"/>
              <w:bottom w:val="single" w:color="000000" w:sz="4" w:space="0"/>
              <w:right w:val="single" w:color="000000" w:sz="4" w:space="0"/>
            </w:tcBorders>
            <w:shd w:val="clear" w:color="auto" w:fill="auto"/>
            <w:noWrap/>
            <w:vAlign w:val="center"/>
          </w:tcPr>
          <w:p w14:paraId="6114DA6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报警设定点切换差</w:t>
            </w:r>
          </w:p>
        </w:tc>
        <w:tc>
          <w:tcPr>
            <w:tcW w:w="1276" w:type="dxa"/>
            <w:tcBorders>
              <w:top w:val="nil"/>
              <w:left w:val="nil"/>
              <w:bottom w:val="single" w:color="000000" w:sz="4" w:space="0"/>
              <w:right w:val="single" w:color="000000" w:sz="4" w:space="0"/>
            </w:tcBorders>
            <w:shd w:val="clear" w:color="auto" w:fill="auto"/>
            <w:noWrap/>
            <w:vAlign w:val="center"/>
          </w:tcPr>
          <w:p w14:paraId="1C4132CF">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0DFA819D">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718034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91F5DA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4.1.4</w:t>
            </w:r>
          </w:p>
        </w:tc>
        <w:tc>
          <w:tcPr>
            <w:tcW w:w="1276" w:type="dxa"/>
            <w:tcBorders>
              <w:top w:val="nil"/>
              <w:left w:val="nil"/>
              <w:bottom w:val="single" w:color="000000" w:sz="4" w:space="0"/>
              <w:right w:val="single" w:color="000000" w:sz="4" w:space="0"/>
            </w:tcBorders>
            <w:shd w:val="clear" w:color="auto" w:fill="auto"/>
            <w:noWrap/>
            <w:vAlign w:val="center"/>
          </w:tcPr>
          <w:p w14:paraId="3273024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5.2.4</w:t>
            </w:r>
          </w:p>
        </w:tc>
      </w:tr>
      <w:tr w14:paraId="4AE985B1">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0532909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w:t>
            </w:r>
          </w:p>
        </w:tc>
        <w:tc>
          <w:tcPr>
            <w:tcW w:w="2279" w:type="dxa"/>
            <w:tcBorders>
              <w:top w:val="nil"/>
              <w:left w:val="nil"/>
              <w:bottom w:val="single" w:color="000000" w:sz="4" w:space="0"/>
              <w:right w:val="single" w:color="000000" w:sz="4" w:space="0"/>
            </w:tcBorders>
            <w:shd w:val="clear" w:color="auto" w:fill="auto"/>
            <w:noWrap/>
            <w:vAlign w:val="center"/>
          </w:tcPr>
          <w:p w14:paraId="57446DF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报警设定点重复性</w:t>
            </w:r>
          </w:p>
        </w:tc>
        <w:tc>
          <w:tcPr>
            <w:tcW w:w="1276" w:type="dxa"/>
            <w:tcBorders>
              <w:top w:val="nil"/>
              <w:left w:val="nil"/>
              <w:bottom w:val="single" w:color="000000" w:sz="4" w:space="0"/>
              <w:right w:val="single" w:color="000000" w:sz="4" w:space="0"/>
            </w:tcBorders>
            <w:shd w:val="clear" w:color="auto" w:fill="auto"/>
            <w:noWrap/>
            <w:vAlign w:val="center"/>
          </w:tcPr>
          <w:p w14:paraId="7EE9399A">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92779F0">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9D1132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989DC9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4.1.5</w:t>
            </w:r>
          </w:p>
        </w:tc>
        <w:tc>
          <w:tcPr>
            <w:tcW w:w="1276" w:type="dxa"/>
            <w:tcBorders>
              <w:top w:val="nil"/>
              <w:left w:val="nil"/>
              <w:bottom w:val="single" w:color="000000" w:sz="4" w:space="0"/>
              <w:right w:val="single" w:color="000000" w:sz="4" w:space="0"/>
            </w:tcBorders>
            <w:shd w:val="clear" w:color="auto" w:fill="auto"/>
            <w:noWrap/>
            <w:vAlign w:val="center"/>
          </w:tcPr>
          <w:p w14:paraId="1560557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5.2.5</w:t>
            </w:r>
          </w:p>
        </w:tc>
      </w:tr>
      <w:tr w14:paraId="2BC87DB0">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2A7E42E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6</w:t>
            </w:r>
          </w:p>
        </w:tc>
        <w:tc>
          <w:tcPr>
            <w:tcW w:w="2279" w:type="dxa"/>
            <w:tcBorders>
              <w:top w:val="nil"/>
              <w:left w:val="nil"/>
              <w:bottom w:val="single" w:color="000000" w:sz="4" w:space="0"/>
              <w:right w:val="single" w:color="000000" w:sz="4" w:space="0"/>
            </w:tcBorders>
            <w:shd w:val="clear" w:color="auto" w:fill="auto"/>
            <w:noWrap/>
            <w:vAlign w:val="center"/>
          </w:tcPr>
          <w:p w14:paraId="6CC0750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始动漂移</w:t>
            </w:r>
          </w:p>
        </w:tc>
        <w:tc>
          <w:tcPr>
            <w:tcW w:w="1276" w:type="dxa"/>
            <w:tcBorders>
              <w:top w:val="nil"/>
              <w:left w:val="nil"/>
              <w:bottom w:val="single" w:color="000000" w:sz="4" w:space="0"/>
              <w:right w:val="single" w:color="000000" w:sz="4" w:space="0"/>
            </w:tcBorders>
            <w:shd w:val="clear" w:color="auto" w:fill="auto"/>
            <w:noWrap/>
            <w:vAlign w:val="center"/>
          </w:tcPr>
          <w:p w14:paraId="68DFB9B8">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B62F8C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B79B2F8">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5C97A09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4.1.7.1</w:t>
            </w:r>
          </w:p>
        </w:tc>
        <w:tc>
          <w:tcPr>
            <w:tcW w:w="1276" w:type="dxa"/>
            <w:tcBorders>
              <w:top w:val="nil"/>
              <w:left w:val="nil"/>
              <w:bottom w:val="single" w:color="000000" w:sz="4" w:space="0"/>
              <w:right w:val="single" w:color="000000" w:sz="4" w:space="0"/>
            </w:tcBorders>
            <w:shd w:val="clear" w:color="auto" w:fill="auto"/>
            <w:noWrap/>
            <w:vAlign w:val="center"/>
          </w:tcPr>
          <w:p w14:paraId="1D21084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5.2.7.1</w:t>
            </w:r>
          </w:p>
        </w:tc>
      </w:tr>
      <w:tr w14:paraId="3B688602">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1B935B6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7</w:t>
            </w:r>
          </w:p>
        </w:tc>
        <w:tc>
          <w:tcPr>
            <w:tcW w:w="2279" w:type="dxa"/>
            <w:tcBorders>
              <w:top w:val="nil"/>
              <w:left w:val="nil"/>
              <w:bottom w:val="single" w:color="000000" w:sz="4" w:space="0"/>
              <w:right w:val="single" w:color="000000" w:sz="4" w:space="0"/>
            </w:tcBorders>
            <w:shd w:val="clear" w:color="auto" w:fill="auto"/>
            <w:noWrap/>
            <w:vAlign w:val="center"/>
          </w:tcPr>
          <w:p w14:paraId="26B9739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长期漂移</w:t>
            </w:r>
          </w:p>
        </w:tc>
        <w:tc>
          <w:tcPr>
            <w:tcW w:w="1276" w:type="dxa"/>
            <w:tcBorders>
              <w:top w:val="nil"/>
              <w:left w:val="nil"/>
              <w:bottom w:val="single" w:color="000000" w:sz="4" w:space="0"/>
              <w:right w:val="single" w:color="000000" w:sz="4" w:space="0"/>
            </w:tcBorders>
            <w:shd w:val="clear" w:color="auto" w:fill="auto"/>
            <w:noWrap/>
            <w:vAlign w:val="center"/>
          </w:tcPr>
          <w:p w14:paraId="29299D58">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A6F902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58D1C079">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C2168A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4.1.7.2</w:t>
            </w:r>
          </w:p>
        </w:tc>
        <w:tc>
          <w:tcPr>
            <w:tcW w:w="1276" w:type="dxa"/>
            <w:tcBorders>
              <w:top w:val="nil"/>
              <w:left w:val="nil"/>
              <w:bottom w:val="single" w:color="000000" w:sz="4" w:space="0"/>
              <w:right w:val="single" w:color="000000" w:sz="4" w:space="0"/>
            </w:tcBorders>
            <w:shd w:val="clear" w:color="auto" w:fill="auto"/>
            <w:noWrap/>
            <w:vAlign w:val="center"/>
          </w:tcPr>
          <w:p w14:paraId="66089AD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5.2.72</w:t>
            </w:r>
          </w:p>
        </w:tc>
      </w:tr>
      <w:tr w14:paraId="523B993B">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558DA50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8</w:t>
            </w:r>
          </w:p>
        </w:tc>
        <w:tc>
          <w:tcPr>
            <w:tcW w:w="2279" w:type="dxa"/>
            <w:tcBorders>
              <w:top w:val="nil"/>
              <w:left w:val="nil"/>
              <w:bottom w:val="single" w:color="000000" w:sz="4" w:space="0"/>
              <w:right w:val="single" w:color="000000" w:sz="4" w:space="0"/>
            </w:tcBorders>
            <w:shd w:val="clear" w:color="auto" w:fill="auto"/>
            <w:noWrap/>
            <w:vAlign w:val="center"/>
          </w:tcPr>
          <w:p w14:paraId="7E434ED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环境温度影响</w:t>
            </w:r>
          </w:p>
        </w:tc>
        <w:tc>
          <w:tcPr>
            <w:tcW w:w="1276" w:type="dxa"/>
            <w:tcBorders>
              <w:top w:val="nil"/>
              <w:left w:val="nil"/>
              <w:bottom w:val="single" w:color="000000" w:sz="4" w:space="0"/>
              <w:right w:val="single" w:color="000000" w:sz="4" w:space="0"/>
            </w:tcBorders>
            <w:shd w:val="clear" w:color="auto" w:fill="auto"/>
            <w:noWrap/>
            <w:vAlign w:val="center"/>
          </w:tcPr>
          <w:p w14:paraId="4996FC09">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FBB547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ABBA7B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27B932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4.2.1</w:t>
            </w:r>
          </w:p>
        </w:tc>
        <w:tc>
          <w:tcPr>
            <w:tcW w:w="1276" w:type="dxa"/>
            <w:tcBorders>
              <w:top w:val="nil"/>
              <w:left w:val="nil"/>
              <w:bottom w:val="single" w:color="000000" w:sz="4" w:space="0"/>
              <w:right w:val="single" w:color="000000" w:sz="4" w:space="0"/>
            </w:tcBorders>
            <w:shd w:val="clear" w:color="auto" w:fill="auto"/>
            <w:noWrap/>
            <w:vAlign w:val="center"/>
          </w:tcPr>
          <w:p w14:paraId="296670C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5.3.1</w:t>
            </w:r>
          </w:p>
        </w:tc>
      </w:tr>
      <w:tr w14:paraId="20E4037C">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6002967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9</w:t>
            </w:r>
          </w:p>
        </w:tc>
        <w:tc>
          <w:tcPr>
            <w:tcW w:w="2279" w:type="dxa"/>
            <w:tcBorders>
              <w:top w:val="nil"/>
              <w:left w:val="nil"/>
              <w:bottom w:val="single" w:color="000000" w:sz="4" w:space="0"/>
              <w:right w:val="single" w:color="000000" w:sz="4" w:space="0"/>
            </w:tcBorders>
            <w:shd w:val="clear" w:color="auto" w:fill="auto"/>
            <w:noWrap/>
            <w:vAlign w:val="center"/>
          </w:tcPr>
          <w:p w14:paraId="52E76F4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湿热影响</w:t>
            </w:r>
          </w:p>
        </w:tc>
        <w:tc>
          <w:tcPr>
            <w:tcW w:w="1276" w:type="dxa"/>
            <w:tcBorders>
              <w:top w:val="nil"/>
              <w:left w:val="nil"/>
              <w:bottom w:val="single" w:color="000000" w:sz="4" w:space="0"/>
              <w:right w:val="single" w:color="000000" w:sz="4" w:space="0"/>
            </w:tcBorders>
            <w:shd w:val="clear" w:color="auto" w:fill="auto"/>
            <w:noWrap/>
            <w:vAlign w:val="center"/>
          </w:tcPr>
          <w:p w14:paraId="072134A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557D09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1D814F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53A5A2C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4.2.2</w:t>
            </w:r>
          </w:p>
        </w:tc>
        <w:tc>
          <w:tcPr>
            <w:tcW w:w="1276" w:type="dxa"/>
            <w:tcBorders>
              <w:top w:val="nil"/>
              <w:left w:val="nil"/>
              <w:bottom w:val="single" w:color="000000" w:sz="4" w:space="0"/>
              <w:right w:val="single" w:color="000000" w:sz="4" w:space="0"/>
            </w:tcBorders>
            <w:shd w:val="clear" w:color="auto" w:fill="auto"/>
            <w:noWrap/>
            <w:vAlign w:val="center"/>
          </w:tcPr>
          <w:p w14:paraId="7F12AF4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5.3.2</w:t>
            </w:r>
          </w:p>
        </w:tc>
      </w:tr>
      <w:tr w14:paraId="3DD40054">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0652C44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w:t>
            </w:r>
          </w:p>
        </w:tc>
        <w:tc>
          <w:tcPr>
            <w:tcW w:w="2279" w:type="dxa"/>
            <w:tcBorders>
              <w:top w:val="nil"/>
              <w:left w:val="nil"/>
              <w:bottom w:val="single" w:color="000000" w:sz="4" w:space="0"/>
              <w:right w:val="single" w:color="000000" w:sz="4" w:space="0"/>
            </w:tcBorders>
            <w:shd w:val="clear" w:color="auto" w:fill="auto"/>
            <w:noWrap/>
            <w:vAlign w:val="center"/>
          </w:tcPr>
          <w:p w14:paraId="5FF886C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机械振动影响</w:t>
            </w:r>
          </w:p>
        </w:tc>
        <w:tc>
          <w:tcPr>
            <w:tcW w:w="1276" w:type="dxa"/>
            <w:tcBorders>
              <w:top w:val="nil"/>
              <w:left w:val="nil"/>
              <w:bottom w:val="single" w:color="000000" w:sz="4" w:space="0"/>
              <w:right w:val="single" w:color="000000" w:sz="4" w:space="0"/>
            </w:tcBorders>
            <w:shd w:val="clear" w:color="auto" w:fill="auto"/>
            <w:noWrap/>
            <w:vAlign w:val="center"/>
          </w:tcPr>
          <w:p w14:paraId="3BFF0EF0">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F78054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A280D1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0D6801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4.2.3</w:t>
            </w:r>
          </w:p>
        </w:tc>
        <w:tc>
          <w:tcPr>
            <w:tcW w:w="1276" w:type="dxa"/>
            <w:tcBorders>
              <w:top w:val="nil"/>
              <w:left w:val="nil"/>
              <w:bottom w:val="single" w:color="000000" w:sz="4" w:space="0"/>
              <w:right w:val="single" w:color="000000" w:sz="4" w:space="0"/>
            </w:tcBorders>
            <w:shd w:val="clear" w:color="auto" w:fill="auto"/>
            <w:noWrap/>
            <w:vAlign w:val="center"/>
          </w:tcPr>
          <w:p w14:paraId="5B8972D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5.3.3</w:t>
            </w:r>
          </w:p>
        </w:tc>
      </w:tr>
      <w:tr w14:paraId="5137D7EB">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32FA074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11</w:t>
            </w:r>
          </w:p>
        </w:tc>
        <w:tc>
          <w:tcPr>
            <w:tcW w:w="2279" w:type="dxa"/>
            <w:tcBorders>
              <w:top w:val="nil"/>
              <w:left w:val="nil"/>
              <w:bottom w:val="single" w:color="000000" w:sz="4" w:space="0"/>
              <w:right w:val="single" w:color="000000" w:sz="4" w:space="0"/>
            </w:tcBorders>
            <w:shd w:val="clear" w:color="auto" w:fill="auto"/>
            <w:noWrap/>
            <w:vAlign w:val="center"/>
          </w:tcPr>
          <w:p w14:paraId="5A373FB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电源电压变化影响</w:t>
            </w:r>
          </w:p>
        </w:tc>
        <w:tc>
          <w:tcPr>
            <w:tcW w:w="1276" w:type="dxa"/>
            <w:tcBorders>
              <w:top w:val="nil"/>
              <w:left w:val="nil"/>
              <w:bottom w:val="single" w:color="000000" w:sz="4" w:space="0"/>
              <w:right w:val="single" w:color="000000" w:sz="4" w:space="0"/>
            </w:tcBorders>
            <w:shd w:val="clear" w:color="auto" w:fill="auto"/>
            <w:noWrap/>
            <w:vAlign w:val="center"/>
          </w:tcPr>
          <w:p w14:paraId="2D987C4F">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220166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5BDE9202">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711120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4.2.4</w:t>
            </w:r>
          </w:p>
        </w:tc>
        <w:tc>
          <w:tcPr>
            <w:tcW w:w="1276" w:type="dxa"/>
            <w:tcBorders>
              <w:top w:val="nil"/>
              <w:left w:val="nil"/>
              <w:bottom w:val="single" w:color="000000" w:sz="4" w:space="0"/>
              <w:right w:val="single" w:color="000000" w:sz="4" w:space="0"/>
            </w:tcBorders>
            <w:shd w:val="clear" w:color="auto" w:fill="auto"/>
            <w:noWrap/>
            <w:vAlign w:val="center"/>
          </w:tcPr>
          <w:p w14:paraId="6C73B45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5.3.4</w:t>
            </w:r>
          </w:p>
        </w:tc>
      </w:tr>
      <w:tr w14:paraId="1C163CD4">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5EC499E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w:t>
            </w:r>
          </w:p>
        </w:tc>
        <w:tc>
          <w:tcPr>
            <w:tcW w:w="2279" w:type="dxa"/>
            <w:tcBorders>
              <w:top w:val="nil"/>
              <w:left w:val="nil"/>
              <w:bottom w:val="single" w:color="000000" w:sz="4" w:space="0"/>
              <w:right w:val="single" w:color="000000" w:sz="4" w:space="0"/>
            </w:tcBorders>
            <w:shd w:val="clear" w:color="auto" w:fill="auto"/>
            <w:noWrap/>
            <w:vAlign w:val="center"/>
          </w:tcPr>
          <w:p w14:paraId="361A102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电源短时中断</w:t>
            </w:r>
          </w:p>
        </w:tc>
        <w:tc>
          <w:tcPr>
            <w:tcW w:w="1276" w:type="dxa"/>
            <w:tcBorders>
              <w:top w:val="nil"/>
              <w:left w:val="nil"/>
              <w:bottom w:val="single" w:color="000000" w:sz="4" w:space="0"/>
              <w:right w:val="single" w:color="000000" w:sz="4" w:space="0"/>
            </w:tcBorders>
            <w:shd w:val="clear" w:color="auto" w:fill="auto"/>
            <w:noWrap/>
            <w:vAlign w:val="center"/>
          </w:tcPr>
          <w:p w14:paraId="4EE41BBC">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1322FB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068CA5EF">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D861FD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4.2.5</w:t>
            </w:r>
          </w:p>
        </w:tc>
        <w:tc>
          <w:tcPr>
            <w:tcW w:w="1276" w:type="dxa"/>
            <w:tcBorders>
              <w:top w:val="nil"/>
              <w:left w:val="nil"/>
              <w:bottom w:val="single" w:color="000000" w:sz="4" w:space="0"/>
              <w:right w:val="single" w:color="000000" w:sz="4" w:space="0"/>
            </w:tcBorders>
            <w:shd w:val="clear" w:color="auto" w:fill="auto"/>
            <w:noWrap/>
            <w:vAlign w:val="center"/>
          </w:tcPr>
          <w:p w14:paraId="715E503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5.3.5</w:t>
            </w:r>
          </w:p>
        </w:tc>
      </w:tr>
      <w:tr w14:paraId="2A1990B4">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3743E85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13</w:t>
            </w:r>
          </w:p>
        </w:tc>
        <w:tc>
          <w:tcPr>
            <w:tcW w:w="2279" w:type="dxa"/>
            <w:tcBorders>
              <w:top w:val="nil"/>
              <w:left w:val="nil"/>
              <w:bottom w:val="single" w:color="000000" w:sz="4" w:space="0"/>
              <w:right w:val="single" w:color="000000" w:sz="4" w:space="0"/>
            </w:tcBorders>
            <w:shd w:val="clear" w:color="auto" w:fill="auto"/>
            <w:noWrap/>
            <w:vAlign w:val="center"/>
          </w:tcPr>
          <w:p w14:paraId="4318030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静电放电抗扰度</w:t>
            </w:r>
          </w:p>
        </w:tc>
        <w:tc>
          <w:tcPr>
            <w:tcW w:w="1276" w:type="dxa"/>
            <w:tcBorders>
              <w:top w:val="nil"/>
              <w:left w:val="nil"/>
              <w:bottom w:val="single" w:color="000000" w:sz="4" w:space="0"/>
              <w:right w:val="single" w:color="000000" w:sz="4" w:space="0"/>
            </w:tcBorders>
            <w:shd w:val="clear" w:color="auto" w:fill="auto"/>
            <w:noWrap/>
            <w:vAlign w:val="center"/>
          </w:tcPr>
          <w:p w14:paraId="20FB0B0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364DA5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654FE15D">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022D5C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4.2.6</w:t>
            </w:r>
          </w:p>
        </w:tc>
        <w:tc>
          <w:tcPr>
            <w:tcW w:w="1276" w:type="dxa"/>
            <w:tcBorders>
              <w:top w:val="nil"/>
              <w:left w:val="nil"/>
              <w:bottom w:val="single" w:color="000000" w:sz="4" w:space="0"/>
              <w:right w:val="single" w:color="000000" w:sz="4" w:space="0"/>
            </w:tcBorders>
            <w:shd w:val="clear" w:color="auto" w:fill="auto"/>
            <w:noWrap/>
            <w:vAlign w:val="center"/>
          </w:tcPr>
          <w:p w14:paraId="1208304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5.3.6</w:t>
            </w:r>
          </w:p>
        </w:tc>
      </w:tr>
      <w:tr w14:paraId="7E1935A4">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401DD52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14</w:t>
            </w:r>
          </w:p>
        </w:tc>
        <w:tc>
          <w:tcPr>
            <w:tcW w:w="2279" w:type="dxa"/>
            <w:tcBorders>
              <w:top w:val="nil"/>
              <w:left w:val="nil"/>
              <w:bottom w:val="single" w:color="000000" w:sz="4" w:space="0"/>
              <w:right w:val="single" w:color="000000" w:sz="4" w:space="0"/>
            </w:tcBorders>
            <w:shd w:val="clear" w:color="auto" w:fill="auto"/>
            <w:noWrap/>
            <w:vAlign w:val="center"/>
          </w:tcPr>
          <w:p w14:paraId="2EF35A0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射频电磁场辐射抗扰度</w:t>
            </w:r>
          </w:p>
        </w:tc>
        <w:tc>
          <w:tcPr>
            <w:tcW w:w="1276" w:type="dxa"/>
            <w:tcBorders>
              <w:top w:val="nil"/>
              <w:left w:val="nil"/>
              <w:bottom w:val="single" w:color="000000" w:sz="4" w:space="0"/>
              <w:right w:val="single" w:color="000000" w:sz="4" w:space="0"/>
            </w:tcBorders>
            <w:shd w:val="clear" w:color="auto" w:fill="auto"/>
            <w:noWrap/>
            <w:vAlign w:val="center"/>
          </w:tcPr>
          <w:p w14:paraId="1BA0ECE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D00159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0E8949F">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614A5C9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4.2.7</w:t>
            </w:r>
          </w:p>
        </w:tc>
        <w:tc>
          <w:tcPr>
            <w:tcW w:w="1276" w:type="dxa"/>
            <w:tcBorders>
              <w:top w:val="nil"/>
              <w:left w:val="nil"/>
              <w:bottom w:val="single" w:color="000000" w:sz="4" w:space="0"/>
              <w:right w:val="single" w:color="000000" w:sz="4" w:space="0"/>
            </w:tcBorders>
            <w:shd w:val="clear" w:color="auto" w:fill="auto"/>
            <w:noWrap/>
            <w:vAlign w:val="center"/>
          </w:tcPr>
          <w:p w14:paraId="3200A98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5.3.7</w:t>
            </w:r>
          </w:p>
        </w:tc>
      </w:tr>
      <w:tr w14:paraId="31BC02A0">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627BF55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15</w:t>
            </w:r>
          </w:p>
        </w:tc>
        <w:tc>
          <w:tcPr>
            <w:tcW w:w="2279" w:type="dxa"/>
            <w:tcBorders>
              <w:top w:val="nil"/>
              <w:left w:val="nil"/>
              <w:bottom w:val="single" w:color="000000" w:sz="4" w:space="0"/>
              <w:right w:val="single" w:color="000000" w:sz="4" w:space="0"/>
            </w:tcBorders>
            <w:shd w:val="clear" w:color="auto" w:fill="auto"/>
            <w:noWrap/>
            <w:vAlign w:val="center"/>
          </w:tcPr>
          <w:p w14:paraId="712D1E2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工频磁场抗扰度</w:t>
            </w:r>
          </w:p>
        </w:tc>
        <w:tc>
          <w:tcPr>
            <w:tcW w:w="1276" w:type="dxa"/>
            <w:tcBorders>
              <w:top w:val="nil"/>
              <w:left w:val="nil"/>
              <w:bottom w:val="single" w:color="000000" w:sz="4" w:space="0"/>
              <w:right w:val="single" w:color="000000" w:sz="4" w:space="0"/>
            </w:tcBorders>
            <w:shd w:val="clear" w:color="auto" w:fill="auto"/>
            <w:noWrap/>
            <w:vAlign w:val="center"/>
          </w:tcPr>
          <w:p w14:paraId="72C3CC13">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B745C3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002E44EB">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1D059A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4.2.8</w:t>
            </w:r>
          </w:p>
        </w:tc>
        <w:tc>
          <w:tcPr>
            <w:tcW w:w="1276" w:type="dxa"/>
            <w:tcBorders>
              <w:top w:val="nil"/>
              <w:left w:val="nil"/>
              <w:bottom w:val="single" w:color="000000" w:sz="4" w:space="0"/>
              <w:right w:val="single" w:color="000000" w:sz="4" w:space="0"/>
            </w:tcBorders>
            <w:shd w:val="clear" w:color="auto" w:fill="auto"/>
            <w:noWrap/>
            <w:vAlign w:val="center"/>
          </w:tcPr>
          <w:p w14:paraId="2121FD3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5.3.8</w:t>
            </w:r>
          </w:p>
        </w:tc>
      </w:tr>
      <w:tr w14:paraId="10539915">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073FFB7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16</w:t>
            </w:r>
          </w:p>
        </w:tc>
        <w:tc>
          <w:tcPr>
            <w:tcW w:w="2279" w:type="dxa"/>
            <w:tcBorders>
              <w:top w:val="nil"/>
              <w:left w:val="nil"/>
              <w:bottom w:val="single" w:color="000000" w:sz="4" w:space="0"/>
              <w:right w:val="single" w:color="000000" w:sz="4" w:space="0"/>
            </w:tcBorders>
            <w:shd w:val="clear" w:color="auto" w:fill="auto"/>
            <w:noWrap/>
            <w:vAlign w:val="center"/>
          </w:tcPr>
          <w:p w14:paraId="17B4A0E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耐压强度</w:t>
            </w:r>
          </w:p>
        </w:tc>
        <w:tc>
          <w:tcPr>
            <w:tcW w:w="1276" w:type="dxa"/>
            <w:tcBorders>
              <w:top w:val="nil"/>
              <w:left w:val="nil"/>
              <w:bottom w:val="single" w:color="000000" w:sz="4" w:space="0"/>
              <w:right w:val="single" w:color="000000" w:sz="4" w:space="0"/>
            </w:tcBorders>
            <w:shd w:val="clear" w:color="auto" w:fill="auto"/>
            <w:noWrap/>
            <w:vAlign w:val="center"/>
          </w:tcPr>
          <w:p w14:paraId="6A46BFD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18FBF7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147F6B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1F2624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4.3.1</w:t>
            </w:r>
          </w:p>
        </w:tc>
        <w:tc>
          <w:tcPr>
            <w:tcW w:w="1276" w:type="dxa"/>
            <w:tcBorders>
              <w:top w:val="nil"/>
              <w:left w:val="nil"/>
              <w:bottom w:val="single" w:color="000000" w:sz="4" w:space="0"/>
              <w:right w:val="single" w:color="000000" w:sz="4" w:space="0"/>
            </w:tcBorders>
            <w:shd w:val="clear" w:color="auto" w:fill="auto"/>
            <w:noWrap/>
            <w:vAlign w:val="center"/>
          </w:tcPr>
          <w:p w14:paraId="1012855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5.4.1</w:t>
            </w:r>
          </w:p>
        </w:tc>
      </w:tr>
      <w:tr w14:paraId="4A408B5E">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197AD57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17</w:t>
            </w:r>
          </w:p>
        </w:tc>
        <w:tc>
          <w:tcPr>
            <w:tcW w:w="2279" w:type="dxa"/>
            <w:tcBorders>
              <w:top w:val="nil"/>
              <w:left w:val="nil"/>
              <w:bottom w:val="single" w:color="000000" w:sz="4" w:space="0"/>
              <w:right w:val="single" w:color="000000" w:sz="4" w:space="0"/>
            </w:tcBorders>
            <w:shd w:val="clear" w:color="auto" w:fill="auto"/>
            <w:noWrap/>
            <w:vAlign w:val="center"/>
          </w:tcPr>
          <w:p w14:paraId="0F5348C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绝缘电阻</w:t>
            </w:r>
          </w:p>
        </w:tc>
        <w:tc>
          <w:tcPr>
            <w:tcW w:w="1276" w:type="dxa"/>
            <w:tcBorders>
              <w:top w:val="nil"/>
              <w:left w:val="nil"/>
              <w:bottom w:val="single" w:color="000000" w:sz="4" w:space="0"/>
              <w:right w:val="single" w:color="000000" w:sz="4" w:space="0"/>
            </w:tcBorders>
            <w:shd w:val="clear" w:color="auto" w:fill="auto"/>
            <w:noWrap/>
            <w:vAlign w:val="center"/>
          </w:tcPr>
          <w:p w14:paraId="7C5A2F2D">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081B5D9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0834369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59E9A07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4.3.2</w:t>
            </w:r>
          </w:p>
        </w:tc>
        <w:tc>
          <w:tcPr>
            <w:tcW w:w="1276" w:type="dxa"/>
            <w:tcBorders>
              <w:top w:val="nil"/>
              <w:left w:val="nil"/>
              <w:bottom w:val="single" w:color="000000" w:sz="4" w:space="0"/>
              <w:right w:val="single" w:color="000000" w:sz="4" w:space="0"/>
            </w:tcBorders>
            <w:shd w:val="clear" w:color="auto" w:fill="auto"/>
            <w:noWrap/>
            <w:vAlign w:val="center"/>
          </w:tcPr>
          <w:p w14:paraId="237224A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5.4.2</w:t>
            </w:r>
          </w:p>
        </w:tc>
      </w:tr>
      <w:tr w14:paraId="10761410">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68F73E1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18</w:t>
            </w:r>
          </w:p>
        </w:tc>
        <w:tc>
          <w:tcPr>
            <w:tcW w:w="2279" w:type="dxa"/>
            <w:tcBorders>
              <w:top w:val="nil"/>
              <w:left w:val="nil"/>
              <w:bottom w:val="single" w:color="000000" w:sz="4" w:space="0"/>
              <w:right w:val="single" w:color="000000" w:sz="4" w:space="0"/>
            </w:tcBorders>
            <w:shd w:val="clear" w:color="auto" w:fill="auto"/>
            <w:noWrap/>
            <w:vAlign w:val="center"/>
          </w:tcPr>
          <w:p w14:paraId="7BCACAC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绝缘强度</w:t>
            </w:r>
          </w:p>
        </w:tc>
        <w:tc>
          <w:tcPr>
            <w:tcW w:w="1276" w:type="dxa"/>
            <w:tcBorders>
              <w:top w:val="nil"/>
              <w:left w:val="nil"/>
              <w:bottom w:val="single" w:color="000000" w:sz="4" w:space="0"/>
              <w:right w:val="single" w:color="000000" w:sz="4" w:space="0"/>
            </w:tcBorders>
            <w:shd w:val="clear" w:color="auto" w:fill="auto"/>
            <w:noWrap/>
            <w:vAlign w:val="center"/>
          </w:tcPr>
          <w:p w14:paraId="06FF0D97">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2D3049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FB22A4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57BE63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4.3.3</w:t>
            </w:r>
          </w:p>
        </w:tc>
        <w:tc>
          <w:tcPr>
            <w:tcW w:w="1276" w:type="dxa"/>
            <w:tcBorders>
              <w:top w:val="nil"/>
              <w:left w:val="nil"/>
              <w:bottom w:val="single" w:color="000000" w:sz="4" w:space="0"/>
              <w:right w:val="single" w:color="000000" w:sz="4" w:space="0"/>
            </w:tcBorders>
            <w:shd w:val="clear" w:color="auto" w:fill="auto"/>
            <w:noWrap/>
            <w:vAlign w:val="center"/>
          </w:tcPr>
          <w:p w14:paraId="3B9D083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5.4.3</w:t>
            </w:r>
          </w:p>
        </w:tc>
      </w:tr>
      <w:tr w14:paraId="29B6352F">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012CC7A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19</w:t>
            </w:r>
          </w:p>
        </w:tc>
        <w:tc>
          <w:tcPr>
            <w:tcW w:w="2279" w:type="dxa"/>
            <w:tcBorders>
              <w:top w:val="nil"/>
              <w:left w:val="nil"/>
              <w:bottom w:val="single" w:color="000000" w:sz="4" w:space="0"/>
              <w:right w:val="single" w:color="000000" w:sz="4" w:space="0"/>
            </w:tcBorders>
            <w:shd w:val="clear" w:color="auto" w:fill="auto"/>
            <w:noWrap/>
            <w:vAlign w:val="center"/>
          </w:tcPr>
          <w:p w14:paraId="543B95C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直流反向保护</w:t>
            </w:r>
            <w:r>
              <w:rPr>
                <w:rFonts w:hint="eastAsia" w:ascii="Arial" w:hAnsi="Arial" w:cs="Arial"/>
                <w:color w:val="auto"/>
                <w:kern w:val="0"/>
                <w:sz w:val="20"/>
                <w:szCs w:val="20"/>
                <w:highlight w:val="none"/>
                <w:vertAlign w:val="superscript"/>
              </w:rPr>
              <w:t>a</w:t>
            </w:r>
          </w:p>
        </w:tc>
        <w:tc>
          <w:tcPr>
            <w:tcW w:w="1276" w:type="dxa"/>
            <w:tcBorders>
              <w:top w:val="nil"/>
              <w:left w:val="nil"/>
              <w:bottom w:val="single" w:color="000000" w:sz="4" w:space="0"/>
              <w:right w:val="single" w:color="000000" w:sz="4" w:space="0"/>
            </w:tcBorders>
            <w:shd w:val="clear" w:color="auto" w:fill="auto"/>
            <w:noWrap/>
            <w:vAlign w:val="center"/>
          </w:tcPr>
          <w:p w14:paraId="59DA84C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077B3D3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8DCCDB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60D21DC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4.3.4</w:t>
            </w:r>
          </w:p>
        </w:tc>
        <w:tc>
          <w:tcPr>
            <w:tcW w:w="1276" w:type="dxa"/>
            <w:tcBorders>
              <w:top w:val="nil"/>
              <w:left w:val="nil"/>
              <w:bottom w:val="single" w:color="000000" w:sz="4" w:space="0"/>
              <w:right w:val="single" w:color="000000" w:sz="4" w:space="0"/>
            </w:tcBorders>
            <w:shd w:val="clear" w:color="auto" w:fill="auto"/>
            <w:noWrap/>
            <w:vAlign w:val="center"/>
          </w:tcPr>
          <w:p w14:paraId="7DB795B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5.4.4</w:t>
            </w:r>
          </w:p>
        </w:tc>
      </w:tr>
      <w:tr w14:paraId="7E06FA50">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5878A17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20</w:t>
            </w:r>
          </w:p>
        </w:tc>
        <w:tc>
          <w:tcPr>
            <w:tcW w:w="2279" w:type="dxa"/>
            <w:tcBorders>
              <w:top w:val="nil"/>
              <w:left w:val="nil"/>
              <w:bottom w:val="single" w:color="000000" w:sz="4" w:space="0"/>
              <w:right w:val="single" w:color="000000" w:sz="4" w:space="0"/>
            </w:tcBorders>
            <w:shd w:val="clear" w:color="auto" w:fill="auto"/>
            <w:noWrap/>
            <w:vAlign w:val="center"/>
          </w:tcPr>
          <w:p w14:paraId="4E4E9E1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防爆性能</w:t>
            </w:r>
            <w:r>
              <w:rPr>
                <w:rFonts w:hint="eastAsia" w:ascii="Arial" w:hAnsi="Arial" w:cs="Arial"/>
                <w:color w:val="auto"/>
                <w:kern w:val="0"/>
                <w:sz w:val="20"/>
                <w:szCs w:val="20"/>
                <w:highlight w:val="none"/>
                <w:vertAlign w:val="superscript"/>
              </w:rPr>
              <w:t>b</w:t>
            </w:r>
          </w:p>
        </w:tc>
        <w:tc>
          <w:tcPr>
            <w:tcW w:w="1276" w:type="dxa"/>
            <w:tcBorders>
              <w:top w:val="nil"/>
              <w:left w:val="nil"/>
              <w:bottom w:val="single" w:color="000000" w:sz="4" w:space="0"/>
              <w:right w:val="single" w:color="000000" w:sz="4" w:space="0"/>
            </w:tcBorders>
            <w:shd w:val="clear" w:color="auto" w:fill="auto"/>
            <w:noWrap/>
            <w:vAlign w:val="center"/>
          </w:tcPr>
          <w:p w14:paraId="1E25BB89">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41F56B3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96A022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00CA89E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4.3.5</w:t>
            </w:r>
          </w:p>
        </w:tc>
        <w:tc>
          <w:tcPr>
            <w:tcW w:w="1276" w:type="dxa"/>
            <w:tcBorders>
              <w:top w:val="nil"/>
              <w:left w:val="nil"/>
              <w:bottom w:val="single" w:color="000000" w:sz="4" w:space="0"/>
              <w:right w:val="single" w:color="000000" w:sz="4" w:space="0"/>
            </w:tcBorders>
            <w:shd w:val="clear" w:color="auto" w:fill="auto"/>
            <w:noWrap/>
            <w:vAlign w:val="center"/>
          </w:tcPr>
          <w:p w14:paraId="2E4632A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5.4.5</w:t>
            </w:r>
          </w:p>
        </w:tc>
      </w:tr>
      <w:tr w14:paraId="24A182D5">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6D39E32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21</w:t>
            </w:r>
          </w:p>
        </w:tc>
        <w:tc>
          <w:tcPr>
            <w:tcW w:w="2279" w:type="dxa"/>
            <w:tcBorders>
              <w:top w:val="nil"/>
              <w:left w:val="nil"/>
              <w:bottom w:val="single" w:color="000000" w:sz="4" w:space="0"/>
              <w:right w:val="single" w:color="000000" w:sz="4" w:space="0"/>
            </w:tcBorders>
            <w:shd w:val="clear" w:color="auto" w:fill="auto"/>
            <w:noWrap/>
            <w:vAlign w:val="center"/>
          </w:tcPr>
          <w:p w14:paraId="257A5BD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外壳防护</w:t>
            </w:r>
          </w:p>
        </w:tc>
        <w:tc>
          <w:tcPr>
            <w:tcW w:w="1276" w:type="dxa"/>
            <w:tcBorders>
              <w:top w:val="nil"/>
              <w:left w:val="nil"/>
              <w:bottom w:val="single" w:color="000000" w:sz="4" w:space="0"/>
              <w:right w:val="single" w:color="000000" w:sz="4" w:space="0"/>
            </w:tcBorders>
            <w:shd w:val="clear" w:color="auto" w:fill="auto"/>
            <w:noWrap/>
            <w:vAlign w:val="center"/>
          </w:tcPr>
          <w:p w14:paraId="5570AB7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DAA5DB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54A33C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7E7AD0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4.3.6</w:t>
            </w:r>
          </w:p>
        </w:tc>
        <w:tc>
          <w:tcPr>
            <w:tcW w:w="1276" w:type="dxa"/>
            <w:tcBorders>
              <w:top w:val="nil"/>
              <w:left w:val="nil"/>
              <w:bottom w:val="single" w:color="000000" w:sz="4" w:space="0"/>
              <w:right w:val="single" w:color="000000" w:sz="4" w:space="0"/>
            </w:tcBorders>
            <w:shd w:val="clear" w:color="auto" w:fill="auto"/>
            <w:noWrap/>
            <w:vAlign w:val="center"/>
          </w:tcPr>
          <w:p w14:paraId="32C046C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5.4.6</w:t>
            </w:r>
          </w:p>
        </w:tc>
      </w:tr>
      <w:tr w14:paraId="6D04A0A9">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4DBD498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22</w:t>
            </w:r>
          </w:p>
        </w:tc>
        <w:tc>
          <w:tcPr>
            <w:tcW w:w="2279" w:type="dxa"/>
            <w:tcBorders>
              <w:top w:val="nil"/>
              <w:left w:val="nil"/>
              <w:bottom w:val="single" w:color="000000" w:sz="4" w:space="0"/>
              <w:right w:val="single" w:color="000000" w:sz="4" w:space="0"/>
            </w:tcBorders>
            <w:shd w:val="clear" w:color="auto" w:fill="auto"/>
            <w:noWrap/>
            <w:vAlign w:val="center"/>
          </w:tcPr>
          <w:p w14:paraId="0EE4B05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抗运输环境性能</w:t>
            </w:r>
          </w:p>
        </w:tc>
        <w:tc>
          <w:tcPr>
            <w:tcW w:w="1276" w:type="dxa"/>
            <w:tcBorders>
              <w:top w:val="nil"/>
              <w:left w:val="nil"/>
              <w:bottom w:val="single" w:color="000000" w:sz="4" w:space="0"/>
              <w:right w:val="single" w:color="000000" w:sz="4" w:space="0"/>
            </w:tcBorders>
            <w:shd w:val="clear" w:color="auto" w:fill="auto"/>
            <w:noWrap/>
            <w:vAlign w:val="center"/>
          </w:tcPr>
          <w:p w14:paraId="28D6FE3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66E263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7331C93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FA0BEB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4.4.1</w:t>
            </w:r>
          </w:p>
        </w:tc>
        <w:tc>
          <w:tcPr>
            <w:tcW w:w="1276" w:type="dxa"/>
            <w:tcBorders>
              <w:top w:val="nil"/>
              <w:left w:val="nil"/>
              <w:bottom w:val="single" w:color="000000" w:sz="4" w:space="0"/>
              <w:right w:val="single" w:color="000000" w:sz="4" w:space="0"/>
            </w:tcBorders>
            <w:shd w:val="clear" w:color="auto" w:fill="auto"/>
            <w:noWrap/>
            <w:vAlign w:val="center"/>
          </w:tcPr>
          <w:p w14:paraId="0DE1F9A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5.5.1</w:t>
            </w:r>
          </w:p>
        </w:tc>
      </w:tr>
      <w:tr w14:paraId="53FF3594">
        <w:tblPrEx>
          <w:tblCellMar>
            <w:top w:w="0" w:type="dxa"/>
            <w:left w:w="108" w:type="dxa"/>
            <w:bottom w:w="0" w:type="dxa"/>
            <w:right w:w="108" w:type="dxa"/>
          </w:tblCellMar>
        </w:tblPrEx>
        <w:trPr>
          <w:trHeight w:val="255" w:hRule="atLeast"/>
        </w:trPr>
        <w:tc>
          <w:tcPr>
            <w:tcW w:w="580" w:type="dxa"/>
            <w:tcBorders>
              <w:top w:val="nil"/>
              <w:left w:val="single" w:color="000000" w:sz="4" w:space="0"/>
              <w:bottom w:val="single" w:color="000000" w:sz="4" w:space="0"/>
              <w:right w:val="single" w:color="000000" w:sz="4" w:space="0"/>
            </w:tcBorders>
            <w:shd w:val="clear" w:color="auto" w:fill="auto"/>
            <w:noWrap/>
            <w:vAlign w:val="center"/>
          </w:tcPr>
          <w:p w14:paraId="2D76854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23 *</w:t>
            </w:r>
          </w:p>
        </w:tc>
        <w:tc>
          <w:tcPr>
            <w:tcW w:w="2279" w:type="dxa"/>
            <w:tcBorders>
              <w:top w:val="nil"/>
              <w:left w:val="nil"/>
              <w:bottom w:val="single" w:color="000000" w:sz="4" w:space="0"/>
              <w:right w:val="single" w:color="000000" w:sz="4" w:space="0"/>
            </w:tcBorders>
            <w:shd w:val="clear" w:color="auto" w:fill="auto"/>
            <w:noWrap/>
            <w:vAlign w:val="center"/>
          </w:tcPr>
          <w:p w14:paraId="5EDDE1A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外观</w:t>
            </w:r>
          </w:p>
        </w:tc>
        <w:tc>
          <w:tcPr>
            <w:tcW w:w="1276" w:type="dxa"/>
            <w:tcBorders>
              <w:top w:val="nil"/>
              <w:left w:val="nil"/>
              <w:bottom w:val="single" w:color="000000" w:sz="4" w:space="0"/>
              <w:right w:val="single" w:color="000000" w:sz="4" w:space="0"/>
            </w:tcBorders>
            <w:shd w:val="clear" w:color="auto" w:fill="auto"/>
            <w:noWrap/>
            <w:vAlign w:val="center"/>
          </w:tcPr>
          <w:p w14:paraId="378877A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17568DC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20E63B4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w:t>
            </w:r>
          </w:p>
        </w:tc>
        <w:tc>
          <w:tcPr>
            <w:tcW w:w="1134" w:type="dxa"/>
            <w:tcBorders>
              <w:top w:val="nil"/>
              <w:left w:val="nil"/>
              <w:bottom w:val="single" w:color="000000" w:sz="4" w:space="0"/>
              <w:right w:val="single" w:color="000000" w:sz="4" w:space="0"/>
            </w:tcBorders>
            <w:shd w:val="clear" w:color="auto" w:fill="auto"/>
            <w:noWrap/>
            <w:vAlign w:val="center"/>
          </w:tcPr>
          <w:p w14:paraId="3C81C54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4.4.2</w:t>
            </w:r>
          </w:p>
        </w:tc>
        <w:tc>
          <w:tcPr>
            <w:tcW w:w="1276" w:type="dxa"/>
            <w:tcBorders>
              <w:top w:val="nil"/>
              <w:left w:val="nil"/>
              <w:bottom w:val="single" w:color="000000" w:sz="4" w:space="0"/>
              <w:right w:val="single" w:color="000000" w:sz="4" w:space="0"/>
            </w:tcBorders>
            <w:shd w:val="clear" w:color="auto" w:fill="auto"/>
            <w:noWrap/>
            <w:vAlign w:val="center"/>
          </w:tcPr>
          <w:p w14:paraId="575246C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5.5.2</w:t>
            </w:r>
          </w:p>
        </w:tc>
      </w:tr>
      <w:tr w14:paraId="74F688D8">
        <w:tblPrEx>
          <w:tblCellMar>
            <w:top w:w="0" w:type="dxa"/>
            <w:left w:w="108" w:type="dxa"/>
            <w:bottom w:w="0" w:type="dxa"/>
            <w:right w:w="108" w:type="dxa"/>
          </w:tblCellMar>
        </w:tblPrEx>
        <w:trPr>
          <w:trHeight w:val="255" w:hRule="atLeast"/>
        </w:trPr>
        <w:tc>
          <w:tcPr>
            <w:tcW w:w="8813"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DDD7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注：“▲”表示应检验项目：“-”表示不检验项目。</w:t>
            </w:r>
          </w:p>
        </w:tc>
      </w:tr>
      <w:tr w14:paraId="3679E63A">
        <w:tblPrEx>
          <w:tblCellMar>
            <w:top w:w="0" w:type="dxa"/>
            <w:left w:w="108" w:type="dxa"/>
            <w:bottom w:w="0" w:type="dxa"/>
            <w:right w:w="108" w:type="dxa"/>
          </w:tblCellMar>
        </w:tblPrEx>
        <w:trPr>
          <w:trHeight w:val="255" w:hRule="atLeast"/>
        </w:trPr>
        <w:tc>
          <w:tcPr>
            <w:tcW w:w="8813"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C7C2D">
            <w:pPr>
              <w:widowControl/>
              <w:jc w:val="left"/>
              <w:rPr>
                <w:rFonts w:ascii="Arial" w:hAnsi="Arial" w:cs="Arial"/>
                <w:color w:val="auto"/>
                <w:kern w:val="0"/>
                <w:sz w:val="20"/>
                <w:szCs w:val="20"/>
                <w:highlight w:val="none"/>
              </w:rPr>
            </w:pPr>
            <w:r>
              <w:rPr>
                <w:rFonts w:hint="eastAsia" w:ascii="Arial" w:hAnsi="Arial" w:cs="Arial"/>
                <w:color w:val="auto"/>
                <w:kern w:val="0"/>
                <w:sz w:val="20"/>
                <w:szCs w:val="20"/>
                <w:highlight w:val="none"/>
              </w:rPr>
              <w:t>a</w:t>
            </w:r>
            <w:r>
              <w:rPr>
                <w:rFonts w:ascii="Arial" w:hAnsi="Arial" w:cs="Arial"/>
                <w:color w:val="auto"/>
                <w:kern w:val="0"/>
                <w:sz w:val="20"/>
                <w:szCs w:val="20"/>
                <w:highlight w:val="none"/>
              </w:rPr>
              <w:t xml:space="preserve">只适用于二线制直流供电的电远传型流量计。 </w:t>
            </w:r>
          </w:p>
          <w:p w14:paraId="67636D92">
            <w:pPr>
              <w:widowControl/>
              <w:jc w:val="left"/>
              <w:rPr>
                <w:rFonts w:ascii="Arial" w:hAnsi="Arial" w:cs="Arial"/>
                <w:color w:val="auto"/>
                <w:kern w:val="0"/>
                <w:sz w:val="20"/>
                <w:szCs w:val="20"/>
                <w:highlight w:val="none"/>
              </w:rPr>
            </w:pPr>
            <w:r>
              <w:rPr>
                <w:rFonts w:ascii="Arial" w:hAnsi="Arial" w:cs="Arial"/>
                <w:color w:val="auto"/>
                <w:kern w:val="0"/>
                <w:sz w:val="20"/>
                <w:szCs w:val="20"/>
                <w:highlight w:val="none"/>
              </w:rPr>
              <w:t>b 适用于防爆型流量计，在防爆合格证书有效期内免检。</w:t>
            </w:r>
          </w:p>
        </w:tc>
      </w:tr>
    </w:tbl>
    <w:p w14:paraId="555FD7C7">
      <w:pPr>
        <w:spacing w:line="276" w:lineRule="auto"/>
        <w:rPr>
          <w:rFonts w:ascii="Times New Roman" w:hAnsi="Times New Roman"/>
          <w:color w:val="auto"/>
          <w:highlight w:val="none"/>
        </w:rPr>
      </w:pPr>
    </w:p>
    <w:p w14:paraId="59BEB9F2">
      <w:pPr>
        <w:spacing w:line="276" w:lineRule="auto"/>
        <w:outlineLvl w:val="0"/>
        <w:rPr>
          <w:rFonts w:ascii="Times New Roman" w:hAnsi="Times New Roman"/>
          <w:b/>
          <w:bCs/>
          <w:color w:val="auto"/>
          <w:highlight w:val="none"/>
        </w:rPr>
      </w:pPr>
      <w:bookmarkStart w:id="77" w:name="_Toc12477"/>
      <w:r>
        <w:rPr>
          <w:rFonts w:hint="eastAsia" w:ascii="Times New Roman" w:hAnsi="Times New Roman"/>
          <w:b/>
          <w:bCs/>
          <w:color w:val="auto"/>
          <w:highlight w:val="none"/>
        </w:rPr>
        <w:t>7标志、包装和贮存</w:t>
      </w:r>
      <w:bookmarkEnd w:id="77"/>
    </w:p>
    <w:p w14:paraId="792F0BD9">
      <w:pPr>
        <w:spacing w:line="276" w:lineRule="auto"/>
        <w:outlineLvl w:val="1"/>
        <w:rPr>
          <w:rFonts w:ascii="Times New Roman" w:hAnsi="Times New Roman"/>
          <w:b/>
          <w:bCs/>
          <w:color w:val="auto"/>
          <w:highlight w:val="none"/>
        </w:rPr>
      </w:pPr>
      <w:bookmarkStart w:id="78" w:name="_Toc14861"/>
      <w:r>
        <w:rPr>
          <w:rFonts w:hint="eastAsia" w:ascii="Times New Roman" w:hAnsi="Times New Roman"/>
          <w:b/>
          <w:bCs/>
          <w:color w:val="auto"/>
          <w:highlight w:val="none"/>
        </w:rPr>
        <w:t>7.1 标志</w:t>
      </w:r>
      <w:bookmarkEnd w:id="78"/>
    </w:p>
    <w:p w14:paraId="68F440A4">
      <w:pPr>
        <w:spacing w:line="276" w:lineRule="auto"/>
        <w:rPr>
          <w:rFonts w:ascii="Times New Roman" w:hAnsi="Times New Roman"/>
          <w:b/>
          <w:bCs/>
          <w:color w:val="auto"/>
          <w:highlight w:val="none"/>
        </w:rPr>
      </w:pPr>
      <w:r>
        <w:rPr>
          <w:rFonts w:hint="eastAsia" w:ascii="Times New Roman" w:hAnsi="Times New Roman"/>
          <w:b/>
          <w:bCs/>
          <w:color w:val="auto"/>
          <w:highlight w:val="none"/>
        </w:rPr>
        <w:t>7.1.1 铭牌标志</w:t>
      </w:r>
    </w:p>
    <w:p w14:paraId="569B034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流量计的铭牌上应有以下标志:</w:t>
      </w:r>
    </w:p>
    <w:p w14:paraId="4F9C1201">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a）制造厂名称和（或）商标：</w:t>
      </w:r>
    </w:p>
    <w:p w14:paraId="25F3363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b）产品型号和名称；</w:t>
      </w:r>
    </w:p>
    <w:p w14:paraId="72E53A07">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c）公称通径；</w:t>
      </w:r>
    </w:p>
    <w:p w14:paraId="561D021F">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d）公称工作压力；</w:t>
      </w:r>
    </w:p>
    <w:p w14:paraId="50DF8B7D">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e）流量测量范围（报警设定范围）</w:t>
      </w:r>
      <w:r>
        <w:rPr>
          <w:rFonts w:hint="eastAsia" w:ascii="Times New Roman" w:hAnsi="Times New Roman"/>
          <w:color w:val="auto"/>
          <w:highlight w:val="none"/>
          <w:lang w:eastAsia="zh-CN"/>
        </w:rPr>
        <w:t>；</w:t>
      </w:r>
    </w:p>
    <w:p w14:paraId="08066A9D">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f）准确度等级；</w:t>
      </w:r>
    </w:p>
    <w:p w14:paraId="1A880B57">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8）制造日期和编号：</w:t>
      </w:r>
    </w:p>
    <w:p w14:paraId="59011A18">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h）其他必要的标志（防爆型必须标志防爆等级及防爆合格证编号)。</w:t>
      </w:r>
    </w:p>
    <w:p w14:paraId="28F12161">
      <w:pPr>
        <w:spacing w:line="276" w:lineRule="auto"/>
        <w:rPr>
          <w:rFonts w:ascii="Times New Roman" w:hAnsi="Times New Roman"/>
          <w:b/>
          <w:bCs/>
          <w:color w:val="auto"/>
          <w:highlight w:val="none"/>
        </w:rPr>
      </w:pPr>
      <w:r>
        <w:rPr>
          <w:rFonts w:hint="eastAsia" w:ascii="Times New Roman" w:hAnsi="Times New Roman"/>
          <w:b/>
          <w:bCs/>
          <w:color w:val="auto"/>
          <w:highlight w:val="none"/>
        </w:rPr>
        <w:t>7.1.2 包装标志</w:t>
      </w:r>
    </w:p>
    <w:p w14:paraId="01022878">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产品包装箱外表面应有 GB/T 191—20</w:t>
      </w:r>
      <w:r>
        <w:rPr>
          <w:rFonts w:hint="eastAsia" w:ascii="Times New Roman" w:hAnsi="Times New Roman"/>
          <w:color w:val="auto"/>
          <w:highlight w:val="none"/>
          <w:lang w:val="en-US" w:eastAsia="zh-CN"/>
        </w:rPr>
        <w:t>25</w:t>
      </w:r>
      <w:r>
        <w:rPr>
          <w:rFonts w:hint="eastAsia" w:ascii="Times New Roman" w:hAnsi="Times New Roman"/>
          <w:color w:val="auto"/>
          <w:highlight w:val="none"/>
        </w:rPr>
        <w:t xml:space="preserve"> 和 GB/T 6388—1986 规定的标志和其他必要的标志。</w:t>
      </w:r>
    </w:p>
    <w:p w14:paraId="24FF3794">
      <w:pPr>
        <w:spacing w:line="276" w:lineRule="auto"/>
        <w:outlineLvl w:val="1"/>
        <w:rPr>
          <w:rFonts w:ascii="Times New Roman" w:hAnsi="Times New Roman"/>
          <w:b/>
          <w:bCs/>
          <w:color w:val="auto"/>
          <w:highlight w:val="none"/>
        </w:rPr>
      </w:pPr>
      <w:bookmarkStart w:id="79" w:name="_Toc26470"/>
      <w:r>
        <w:rPr>
          <w:rFonts w:hint="eastAsia" w:ascii="Times New Roman" w:hAnsi="Times New Roman"/>
          <w:b/>
          <w:bCs/>
          <w:color w:val="auto"/>
          <w:highlight w:val="none"/>
        </w:rPr>
        <w:t>7.2 包装</w:t>
      </w:r>
      <w:bookmarkEnd w:id="79"/>
    </w:p>
    <w:p w14:paraId="709403E9">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流量计的包装应符合 GB/T 13384—2008 的要求。应将装箱单、产品使用说明书、出厂检验数据单</w:t>
      </w:r>
    </w:p>
    <w:p w14:paraId="77DC7F15">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(卡)、产品质量合格证书、各件附件清单等随机文件封入塑料袋，放入包装箱内。</w:t>
      </w:r>
    </w:p>
    <w:p w14:paraId="0B6D854D">
      <w:pPr>
        <w:spacing w:line="276" w:lineRule="auto"/>
        <w:outlineLvl w:val="1"/>
        <w:rPr>
          <w:rFonts w:ascii="Times New Roman" w:hAnsi="Times New Roman"/>
          <w:b/>
          <w:bCs/>
          <w:color w:val="auto"/>
          <w:highlight w:val="none"/>
        </w:rPr>
      </w:pPr>
      <w:bookmarkStart w:id="80" w:name="_Toc16492"/>
      <w:r>
        <w:rPr>
          <w:rFonts w:hint="eastAsia" w:ascii="Times New Roman" w:hAnsi="Times New Roman"/>
          <w:b/>
          <w:bCs/>
          <w:color w:val="auto"/>
          <w:highlight w:val="none"/>
        </w:rPr>
        <w:t>7.3 贮存</w:t>
      </w:r>
      <w:bookmarkEnd w:id="80"/>
    </w:p>
    <w:p w14:paraId="73828C1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流量计应贮存在环境温度为-25℃～55℃、相对湿度不大于85%的无腐蚀性物质的通风室内。</w:t>
      </w:r>
    </w:p>
    <w:p w14:paraId="293D5CF8">
      <w:pPr>
        <w:spacing w:line="276" w:lineRule="auto"/>
        <w:ind w:firstLine="420" w:firstLineChars="200"/>
        <w:rPr>
          <w:rFonts w:ascii="Times New Roman" w:hAnsi="Times New Roman"/>
          <w:color w:val="auto"/>
          <w:highlight w:val="none"/>
        </w:rPr>
      </w:pPr>
    </w:p>
    <w:p w14:paraId="29E363E4">
      <w:pPr>
        <w:spacing w:line="276" w:lineRule="auto"/>
        <w:ind w:firstLine="420" w:firstLineChars="200"/>
        <w:rPr>
          <w:rFonts w:ascii="Times New Roman" w:hAnsi="Times New Roman"/>
          <w:color w:val="auto"/>
          <w:highlight w:val="none"/>
        </w:rPr>
      </w:pPr>
    </w:p>
    <w:p w14:paraId="2D1189B9">
      <w:pPr>
        <w:spacing w:line="276" w:lineRule="auto"/>
        <w:ind w:firstLine="420" w:firstLineChars="200"/>
        <w:jc w:val="center"/>
        <w:outlineLvl w:val="0"/>
        <w:rPr>
          <w:rFonts w:ascii="Times New Roman" w:hAnsi="Times New Roman"/>
          <w:color w:val="auto"/>
          <w:highlight w:val="none"/>
        </w:rPr>
      </w:pPr>
      <w:r>
        <w:rPr>
          <w:rFonts w:ascii="Times New Roman" w:hAnsi="Times New Roman"/>
          <w:color w:val="auto"/>
          <w:highlight w:val="none"/>
        </w:rPr>
        <w:br w:type="page"/>
      </w:r>
      <w:bookmarkStart w:id="81" w:name="_Toc7002"/>
      <w:r>
        <w:rPr>
          <w:rFonts w:hint="eastAsia" w:ascii="Times New Roman" w:hAnsi="Times New Roman"/>
          <w:color w:val="auto"/>
          <w:highlight w:val="none"/>
        </w:rPr>
        <w:t>附录 A</w:t>
      </w:r>
      <w:bookmarkEnd w:id="81"/>
    </w:p>
    <w:p w14:paraId="494F3A63">
      <w:pPr>
        <w:spacing w:line="276" w:lineRule="auto"/>
        <w:ind w:firstLine="420" w:firstLineChars="200"/>
        <w:jc w:val="center"/>
        <w:outlineLvl w:val="0"/>
        <w:rPr>
          <w:rFonts w:ascii="Times New Roman" w:hAnsi="Times New Roman"/>
          <w:color w:val="auto"/>
          <w:highlight w:val="none"/>
        </w:rPr>
      </w:pPr>
      <w:bookmarkStart w:id="82" w:name="_Toc32004"/>
      <w:r>
        <w:rPr>
          <w:rFonts w:hint="eastAsia" w:ascii="Times New Roman" w:hAnsi="Times New Roman"/>
          <w:color w:val="auto"/>
          <w:highlight w:val="none"/>
        </w:rPr>
        <w:t>(资料性附录)</w:t>
      </w:r>
      <w:bookmarkEnd w:id="82"/>
    </w:p>
    <w:p w14:paraId="213DB787">
      <w:pPr>
        <w:spacing w:line="276" w:lineRule="auto"/>
        <w:ind w:firstLine="420" w:firstLineChars="200"/>
        <w:jc w:val="center"/>
        <w:outlineLvl w:val="0"/>
        <w:rPr>
          <w:rFonts w:ascii="Times New Roman" w:hAnsi="Times New Roman"/>
          <w:color w:val="auto"/>
          <w:highlight w:val="none"/>
        </w:rPr>
      </w:pPr>
      <w:bookmarkStart w:id="83" w:name="_Toc21336"/>
      <w:r>
        <w:rPr>
          <w:rFonts w:hint="eastAsia" w:ascii="Times New Roman" w:hAnsi="Times New Roman"/>
          <w:color w:val="auto"/>
          <w:highlight w:val="none"/>
        </w:rPr>
        <w:t>液体流量的测量与换算</w:t>
      </w:r>
      <w:bookmarkEnd w:id="83"/>
    </w:p>
    <w:p w14:paraId="278C1343">
      <w:pPr>
        <w:spacing w:line="276" w:lineRule="auto"/>
        <w:ind w:firstLine="420" w:firstLineChars="200"/>
        <w:rPr>
          <w:rFonts w:ascii="Times New Roman" w:hAnsi="Times New Roman"/>
          <w:color w:val="auto"/>
          <w:highlight w:val="none"/>
        </w:rPr>
      </w:pPr>
    </w:p>
    <w:p w14:paraId="03D7B929">
      <w:pPr>
        <w:spacing w:line="276" w:lineRule="auto"/>
        <w:ind w:left="420" w:firstLine="420" w:firstLineChars="200"/>
        <w:rPr>
          <w:rFonts w:ascii="Times New Roman" w:hAnsi="Times New Roman"/>
          <w:color w:val="auto"/>
          <w:highlight w:val="none"/>
        </w:rPr>
      </w:pPr>
      <w:r>
        <w:rPr>
          <w:rFonts w:hint="eastAsia" w:ascii="Times New Roman" w:hAnsi="Times New Roman"/>
          <w:color w:val="auto"/>
          <w:highlight w:val="none"/>
        </w:rPr>
        <w:t>当流量计用于测量液体流量时，制造厂用常温下清洁的水作为校验流体进行校准。若被测液体的密度与水不同，应对流量计示值读数进行换算。换算公式见公式（A.1)。</w:t>
      </w:r>
    </w:p>
    <w:p w14:paraId="5A5829D0">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80768" behindDoc="1" locked="0" layoutInCell="1" allowOverlap="1">
            <wp:simplePos x="0" y="0"/>
            <wp:positionH relativeFrom="column">
              <wp:posOffset>922020</wp:posOffset>
            </wp:positionH>
            <wp:positionV relativeFrom="paragraph">
              <wp:posOffset>1905</wp:posOffset>
            </wp:positionV>
            <wp:extent cx="3898265" cy="409575"/>
            <wp:effectExtent l="0" t="0" r="6985" b="9525"/>
            <wp:wrapNone/>
            <wp:docPr id="170126844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268440" name="图片 1"/>
                    <pic:cNvPicPr>
                      <a:picLocks noChangeAspect="1"/>
                    </pic:cNvPicPr>
                  </pic:nvPicPr>
                  <pic:blipFill>
                    <a:blip r:embed="rId23"/>
                    <a:stretch>
                      <a:fillRect/>
                    </a:stretch>
                  </pic:blipFill>
                  <pic:spPr>
                    <a:xfrm>
                      <a:off x="0" y="0"/>
                      <a:ext cx="3936205" cy="413589"/>
                    </a:xfrm>
                    <a:prstGeom prst="rect">
                      <a:avLst/>
                    </a:prstGeom>
                  </pic:spPr>
                </pic:pic>
              </a:graphicData>
            </a:graphic>
          </wp:anchor>
        </w:drawing>
      </w:r>
    </w:p>
    <w:p w14:paraId="66C83D18">
      <w:pPr>
        <w:spacing w:line="276" w:lineRule="auto"/>
        <w:rPr>
          <w:rFonts w:ascii="Times New Roman" w:hAnsi="Times New Roman"/>
          <w:color w:val="auto"/>
          <w:highlight w:val="none"/>
        </w:rPr>
      </w:pPr>
    </w:p>
    <w:p w14:paraId="3E41B4C1">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式中：</w:t>
      </w:r>
    </w:p>
    <w:p w14:paraId="3103241E">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w1</w:t>
      </w:r>
      <w:r>
        <w:rPr>
          <w:rFonts w:hint="eastAsia" w:ascii="Times New Roman" w:hAnsi="Times New Roman"/>
          <w:color w:val="auto"/>
          <w:highlight w:val="none"/>
        </w:rPr>
        <w:t>——工作状态下的流量，单位为立方米每小时（m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5B532AF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wo</w:t>
      </w:r>
      <w:r>
        <w:rPr>
          <w:rFonts w:hint="eastAsia" w:ascii="Times New Roman" w:hAnsi="Times New Roman"/>
          <w:color w:val="auto"/>
          <w:highlight w:val="none"/>
        </w:rPr>
        <w:t>——流量计的示值流量或输出信号所对应的流量，单位为立方米每小时（m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74DEF0CF">
      <w:pPr>
        <w:spacing w:line="276" w:lineRule="auto"/>
        <w:ind w:firstLine="420" w:firstLineChars="200"/>
        <w:rPr>
          <w:rFonts w:ascii="Times New Roman" w:hAnsi="Times New Roman"/>
          <w:color w:val="auto"/>
          <w:highlight w:val="none"/>
        </w:rPr>
      </w:pPr>
      <w:bookmarkStart w:id="84" w:name="_Hlk198996625"/>
      <w:r>
        <w:rPr>
          <w:rFonts w:hint="eastAsia" w:ascii="Times New Roman" w:hAnsi="Times New Roman"/>
          <w:color w:val="auto"/>
          <w:highlight w:val="none"/>
        </w:rPr>
        <w:t>ρ</w:t>
      </w:r>
      <w:r>
        <w:rPr>
          <w:rFonts w:hint="eastAsia" w:ascii="Times New Roman" w:hAnsi="Times New Roman"/>
          <w:color w:val="auto"/>
          <w:highlight w:val="none"/>
          <w:vertAlign w:val="subscript"/>
        </w:rPr>
        <w:t>wo</w:t>
      </w:r>
      <w:bookmarkEnd w:id="84"/>
      <w:r>
        <w:rPr>
          <w:rFonts w:hint="eastAsia" w:ascii="Times New Roman" w:hAnsi="Times New Roman"/>
          <w:color w:val="auto"/>
          <w:highlight w:val="none"/>
        </w:rPr>
        <w:t>——20℃时水的密度，ρ</w:t>
      </w:r>
      <w:r>
        <w:rPr>
          <w:rFonts w:ascii="Times New Roman" w:hAnsi="Times New Roman"/>
          <w:color w:val="auto"/>
          <w:highlight w:val="none"/>
          <w:vertAlign w:val="subscript"/>
        </w:rPr>
        <w:t>wo</w:t>
      </w:r>
      <w:r>
        <w:rPr>
          <w:rFonts w:hint="eastAsia" w:ascii="Times New Roman" w:hAnsi="Times New Roman"/>
          <w:color w:val="auto"/>
          <w:highlight w:val="none"/>
        </w:rPr>
        <w:t xml:space="preserve"> =998.2 kg/m</w:t>
      </w:r>
      <w:r>
        <w:rPr>
          <w:rFonts w:hint="eastAsia" w:ascii="Times New Roman" w:hAnsi="Times New Roman"/>
          <w:color w:val="auto"/>
          <w:highlight w:val="none"/>
          <w:vertAlign w:val="superscript"/>
        </w:rPr>
        <w:t>3</w:t>
      </w:r>
      <w:r>
        <w:rPr>
          <w:rFonts w:hint="eastAsia" w:ascii="Times New Roman" w:hAnsi="Times New Roman"/>
          <w:color w:val="auto"/>
          <w:highlight w:val="none"/>
        </w:rPr>
        <w:t>；</w:t>
      </w:r>
    </w:p>
    <w:p w14:paraId="563827CE">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ρ</w:t>
      </w:r>
      <w:r>
        <w:rPr>
          <w:rFonts w:hint="eastAsia" w:ascii="Times New Roman" w:hAnsi="Times New Roman"/>
          <w:color w:val="auto"/>
          <w:highlight w:val="none"/>
          <w:vertAlign w:val="subscript"/>
        </w:rPr>
        <w:t>f</w:t>
      </w:r>
      <w:r>
        <w:rPr>
          <w:rFonts w:hint="eastAsia" w:ascii="Times New Roman" w:hAnsi="Times New Roman"/>
          <w:color w:val="auto"/>
          <w:highlight w:val="none"/>
        </w:rPr>
        <w:t>——浮子的平均密度，单位为干克每立方米（kg/m</w:t>
      </w:r>
      <w:r>
        <w:rPr>
          <w:rFonts w:hint="eastAsia" w:ascii="Times New Roman" w:hAnsi="Times New Roman"/>
          <w:color w:val="auto"/>
          <w:highlight w:val="none"/>
          <w:vertAlign w:val="superscript"/>
        </w:rPr>
        <w:t>3</w:t>
      </w:r>
      <w:r>
        <w:rPr>
          <w:rFonts w:hint="eastAsia" w:ascii="Times New Roman" w:hAnsi="Times New Roman"/>
          <w:color w:val="auto"/>
          <w:highlight w:val="none"/>
        </w:rPr>
        <w:t>）；</w:t>
      </w:r>
    </w:p>
    <w:p w14:paraId="529D8CA5">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81792" behindDoc="1" locked="0" layoutInCell="1" allowOverlap="1">
            <wp:simplePos x="0" y="0"/>
            <wp:positionH relativeFrom="column">
              <wp:posOffset>1941195</wp:posOffset>
            </wp:positionH>
            <wp:positionV relativeFrom="paragraph">
              <wp:posOffset>196215</wp:posOffset>
            </wp:positionV>
            <wp:extent cx="1326515" cy="387985"/>
            <wp:effectExtent l="0" t="0" r="6985" b="12065"/>
            <wp:wrapNone/>
            <wp:docPr id="181050608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0506080" name="图片 1"/>
                    <pic:cNvPicPr>
                      <a:picLocks noChangeAspect="1"/>
                    </pic:cNvPicPr>
                  </pic:nvPicPr>
                  <pic:blipFill>
                    <a:blip r:embed="rId24"/>
                    <a:stretch>
                      <a:fillRect/>
                    </a:stretch>
                  </pic:blipFill>
                  <pic:spPr>
                    <a:xfrm>
                      <a:off x="0" y="0"/>
                      <a:ext cx="1326515" cy="387985"/>
                    </a:xfrm>
                    <a:prstGeom prst="rect">
                      <a:avLst/>
                    </a:prstGeom>
                  </pic:spPr>
                </pic:pic>
              </a:graphicData>
            </a:graphic>
          </wp:anchor>
        </w:drawing>
      </w:r>
      <w:r>
        <w:rPr>
          <w:rFonts w:hint="eastAsia" w:ascii="Times New Roman" w:hAnsi="Times New Roman"/>
          <w:color w:val="auto"/>
          <w:highlight w:val="none"/>
        </w:rPr>
        <w:t>ρ</w:t>
      </w:r>
      <w:r>
        <w:rPr>
          <w:rFonts w:hint="eastAsia" w:ascii="Times New Roman" w:hAnsi="Times New Roman"/>
          <w:color w:val="auto"/>
          <w:highlight w:val="none"/>
          <w:vertAlign w:val="subscript"/>
        </w:rPr>
        <w:t>w1</w:t>
      </w:r>
      <w:r>
        <w:rPr>
          <w:rFonts w:hint="eastAsia" w:ascii="Times New Roman" w:hAnsi="Times New Roman"/>
          <w:color w:val="auto"/>
          <w:highlight w:val="none"/>
        </w:rPr>
        <w:t>——被测液体在工作状态下的密度，单位为千克每立方米（kg/m</w:t>
      </w:r>
      <w:r>
        <w:rPr>
          <w:rFonts w:hint="eastAsia" w:ascii="Times New Roman" w:hAnsi="Times New Roman"/>
          <w:color w:val="auto"/>
          <w:highlight w:val="none"/>
          <w:vertAlign w:val="superscript"/>
        </w:rPr>
        <w:t>3</w:t>
      </w:r>
      <w:r>
        <w:rPr>
          <w:rFonts w:hint="eastAsia" w:ascii="Times New Roman" w:hAnsi="Times New Roman"/>
          <w:color w:val="auto"/>
          <w:highlight w:val="none"/>
        </w:rPr>
        <w:t>)；</w:t>
      </w:r>
    </w:p>
    <w:p w14:paraId="10C4172C">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K</w:t>
      </w:r>
      <w:r>
        <w:rPr>
          <w:rFonts w:hint="eastAsia" w:ascii="Times New Roman" w:hAnsi="Times New Roman"/>
          <w:color w:val="auto"/>
          <w:highlight w:val="none"/>
          <w:vertAlign w:val="subscript"/>
        </w:rPr>
        <w:t>wp</w:t>
      </w:r>
      <w:r>
        <w:rPr>
          <w:rFonts w:hint="eastAsia" w:ascii="Times New Roman" w:hAnsi="Times New Roman"/>
          <w:color w:val="auto"/>
          <w:highlight w:val="none"/>
        </w:rPr>
        <w:t>——液体密度换算系数，</w:t>
      </w:r>
    </w:p>
    <w:p w14:paraId="29BB9F92">
      <w:pPr>
        <w:spacing w:line="276" w:lineRule="auto"/>
        <w:ind w:firstLine="420" w:firstLineChars="200"/>
        <w:rPr>
          <w:rFonts w:ascii="Times New Roman" w:hAnsi="Times New Roman"/>
          <w:color w:val="auto"/>
          <w:highlight w:val="none"/>
        </w:rPr>
      </w:pPr>
    </w:p>
    <w:p w14:paraId="615C75EC">
      <w:pPr>
        <w:spacing w:line="276" w:lineRule="auto"/>
        <w:ind w:firstLine="420" w:firstLineChars="200"/>
        <w:rPr>
          <w:rFonts w:ascii="Times New Roman" w:hAnsi="Times New Roman"/>
          <w:color w:val="auto"/>
          <w:highlight w:val="none"/>
        </w:rPr>
      </w:pPr>
    </w:p>
    <w:p w14:paraId="5F531501">
      <w:pPr>
        <w:spacing w:line="276" w:lineRule="auto"/>
        <w:ind w:firstLine="420" w:firstLineChars="200"/>
        <w:rPr>
          <w:rFonts w:ascii="Times New Roman" w:hAnsi="Times New Roman"/>
          <w:color w:val="auto"/>
          <w:highlight w:val="none"/>
        </w:rPr>
      </w:pPr>
    </w:p>
    <w:p w14:paraId="1909F673">
      <w:pPr>
        <w:spacing w:line="276" w:lineRule="auto"/>
        <w:jc w:val="center"/>
        <w:outlineLvl w:val="0"/>
        <w:rPr>
          <w:rFonts w:ascii="Times New Roman" w:hAnsi="Times New Roman"/>
          <w:color w:val="auto"/>
          <w:highlight w:val="none"/>
        </w:rPr>
      </w:pPr>
      <w:r>
        <w:rPr>
          <w:rFonts w:ascii="Times New Roman" w:hAnsi="Times New Roman"/>
          <w:color w:val="auto"/>
          <w:highlight w:val="none"/>
        </w:rPr>
        <w:br w:type="page"/>
      </w:r>
      <w:bookmarkStart w:id="85" w:name="_Toc9816"/>
      <w:r>
        <w:rPr>
          <w:rFonts w:hint="eastAsia" w:ascii="Times New Roman" w:hAnsi="Times New Roman"/>
          <w:color w:val="auto"/>
          <w:highlight w:val="none"/>
        </w:rPr>
        <w:t>附录B</w:t>
      </w:r>
      <w:bookmarkEnd w:id="85"/>
    </w:p>
    <w:p w14:paraId="2E398232">
      <w:pPr>
        <w:spacing w:line="276" w:lineRule="auto"/>
        <w:jc w:val="center"/>
        <w:outlineLvl w:val="0"/>
        <w:rPr>
          <w:rFonts w:ascii="Times New Roman" w:hAnsi="Times New Roman"/>
          <w:color w:val="auto"/>
          <w:highlight w:val="none"/>
        </w:rPr>
      </w:pPr>
      <w:bookmarkStart w:id="86" w:name="_Toc5009"/>
      <w:r>
        <w:rPr>
          <w:rFonts w:hint="eastAsia" w:ascii="Times New Roman" w:hAnsi="Times New Roman"/>
          <w:color w:val="auto"/>
          <w:highlight w:val="none"/>
        </w:rPr>
        <w:t>(资料性附录)</w:t>
      </w:r>
      <w:bookmarkEnd w:id="86"/>
    </w:p>
    <w:p w14:paraId="344C7E5A">
      <w:pPr>
        <w:spacing w:line="276" w:lineRule="auto"/>
        <w:jc w:val="center"/>
        <w:outlineLvl w:val="0"/>
        <w:rPr>
          <w:rFonts w:ascii="Times New Roman" w:hAnsi="Times New Roman"/>
          <w:color w:val="auto"/>
          <w:highlight w:val="none"/>
        </w:rPr>
      </w:pPr>
      <w:bookmarkStart w:id="87" w:name="_Toc8357"/>
      <w:r>
        <w:rPr>
          <w:rFonts w:hint="eastAsia" w:ascii="Times New Roman" w:hAnsi="Times New Roman"/>
          <w:color w:val="auto"/>
          <w:highlight w:val="none"/>
        </w:rPr>
        <w:t>气体流量的测量与换算</w:t>
      </w:r>
      <w:bookmarkEnd w:id="87"/>
    </w:p>
    <w:p w14:paraId="3EE1B970">
      <w:pPr>
        <w:spacing w:line="276" w:lineRule="auto"/>
        <w:rPr>
          <w:rFonts w:ascii="Times New Roman" w:hAnsi="Times New Roman"/>
          <w:color w:val="auto"/>
          <w:highlight w:val="none"/>
        </w:rPr>
      </w:pPr>
    </w:p>
    <w:p w14:paraId="2E28CFD7">
      <w:pPr>
        <w:spacing w:line="276" w:lineRule="auto"/>
        <w:outlineLvl w:val="1"/>
        <w:rPr>
          <w:rFonts w:ascii="Times New Roman" w:hAnsi="Times New Roman"/>
          <w:color w:val="auto"/>
          <w:highlight w:val="none"/>
        </w:rPr>
      </w:pPr>
      <w:bookmarkStart w:id="88" w:name="_Toc9437"/>
      <w:r>
        <w:rPr>
          <w:rFonts w:hint="eastAsia" w:ascii="Times New Roman" w:hAnsi="Times New Roman"/>
          <w:color w:val="auto"/>
          <w:highlight w:val="none"/>
        </w:rPr>
        <w:t>B.1 干气体的流量换算公式</w:t>
      </w:r>
      <w:bookmarkEnd w:id="88"/>
    </w:p>
    <w:p w14:paraId="2DFDDF39">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流量计用于测量气体流量时，制造厂以标准状态（20℃、101.325 kPa）下的干空气作为校验流体进</w:t>
      </w:r>
    </w:p>
    <w:p w14:paraId="648D3404">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行校准。若被测气体的参数和工作状态与制造厂的规定不同，应对流量计示值读数进行换算。</w:t>
      </w:r>
    </w:p>
    <w:p w14:paraId="201CA870">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82816" behindDoc="1" locked="0" layoutInCell="1" allowOverlap="1">
            <wp:simplePos x="0" y="0"/>
            <wp:positionH relativeFrom="column">
              <wp:posOffset>1953895</wp:posOffset>
            </wp:positionH>
            <wp:positionV relativeFrom="paragraph">
              <wp:posOffset>218440</wp:posOffset>
            </wp:positionV>
            <wp:extent cx="3015615" cy="380365"/>
            <wp:effectExtent l="0" t="0" r="13335" b="635"/>
            <wp:wrapNone/>
            <wp:docPr id="31915029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150295" name="图片 1"/>
                    <pic:cNvPicPr>
                      <a:picLocks noChangeAspect="1"/>
                    </pic:cNvPicPr>
                  </pic:nvPicPr>
                  <pic:blipFill>
                    <a:blip r:embed="rId25"/>
                    <a:stretch>
                      <a:fillRect/>
                    </a:stretch>
                  </pic:blipFill>
                  <pic:spPr>
                    <a:xfrm>
                      <a:off x="0" y="0"/>
                      <a:ext cx="3015567" cy="380365"/>
                    </a:xfrm>
                    <a:prstGeom prst="rect">
                      <a:avLst/>
                    </a:prstGeom>
                  </pic:spPr>
                </pic:pic>
              </a:graphicData>
            </a:graphic>
          </wp:anchor>
        </w:drawing>
      </w:r>
      <w:r>
        <w:rPr>
          <w:rFonts w:hint="eastAsia" w:ascii="Times New Roman" w:hAnsi="Times New Roman"/>
          <w:color w:val="auto"/>
          <w:highlight w:val="none"/>
        </w:rPr>
        <w:t>当被测气体为干燥气体时，按公式（B.1）进行换算。</w:t>
      </w:r>
    </w:p>
    <w:p w14:paraId="23C7161C">
      <w:pPr>
        <w:spacing w:line="276" w:lineRule="auto"/>
        <w:ind w:firstLine="420" w:firstLineChars="200"/>
        <w:rPr>
          <w:rFonts w:ascii="Times New Roman" w:hAnsi="Times New Roman"/>
          <w:color w:val="auto"/>
          <w:highlight w:val="none"/>
        </w:rPr>
      </w:pPr>
    </w:p>
    <w:p w14:paraId="3898640B">
      <w:pPr>
        <w:spacing w:line="276" w:lineRule="auto"/>
        <w:rPr>
          <w:rFonts w:ascii="Times New Roman" w:hAnsi="Times New Roman"/>
          <w:color w:val="auto"/>
          <w:highlight w:val="none"/>
        </w:rPr>
      </w:pPr>
    </w:p>
    <w:p w14:paraId="0FC142B9">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式中：</w:t>
      </w:r>
    </w:p>
    <w:p w14:paraId="736A13B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A1</w:t>
      </w:r>
      <w:r>
        <w:rPr>
          <w:rFonts w:hint="eastAsia" w:ascii="Times New Roman" w:hAnsi="Times New Roman"/>
          <w:color w:val="auto"/>
          <w:highlight w:val="none"/>
        </w:rPr>
        <w:t>——工作状态下的气体流量换算到标准状态下的流量，单位为立方米每小时（m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736388A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Q</w:t>
      </w:r>
      <w:r>
        <w:rPr>
          <w:rFonts w:hint="eastAsia" w:ascii="Times New Roman" w:hAnsi="Times New Roman"/>
          <w:color w:val="auto"/>
          <w:highlight w:val="none"/>
          <w:vertAlign w:val="subscript"/>
        </w:rPr>
        <w:t>A0</w:t>
      </w:r>
      <w:r>
        <w:rPr>
          <w:rFonts w:hint="eastAsia" w:ascii="Times New Roman" w:hAnsi="Times New Roman"/>
          <w:color w:val="auto"/>
          <w:highlight w:val="none"/>
        </w:rPr>
        <w:t>——流量计的示值流量，单位为立方米每小时（m</w:t>
      </w:r>
      <w:r>
        <w:rPr>
          <w:rFonts w:hint="eastAsia" w:ascii="Times New Roman" w:hAnsi="Times New Roman"/>
          <w:color w:val="auto"/>
          <w:highlight w:val="none"/>
          <w:vertAlign w:val="superscript"/>
        </w:rPr>
        <w:t>3</w:t>
      </w:r>
      <w:r>
        <w:rPr>
          <w:rFonts w:hint="eastAsia" w:ascii="Times New Roman" w:hAnsi="Times New Roman"/>
          <w:color w:val="auto"/>
          <w:highlight w:val="none"/>
        </w:rPr>
        <w:t>/h)；</w:t>
      </w:r>
    </w:p>
    <w:p w14:paraId="5703876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ρ</w:t>
      </w:r>
      <w:r>
        <w:rPr>
          <w:rFonts w:hint="eastAsia" w:ascii="Times New Roman" w:hAnsi="Times New Roman"/>
          <w:color w:val="auto"/>
          <w:highlight w:val="none"/>
          <w:vertAlign w:val="subscript"/>
        </w:rPr>
        <w:t>A0</w:t>
      </w:r>
      <w:r>
        <w:rPr>
          <w:rFonts w:hint="eastAsia" w:ascii="Times New Roman" w:hAnsi="Times New Roman"/>
          <w:color w:val="auto"/>
          <w:highlight w:val="none"/>
        </w:rPr>
        <w:t>——标准状态下的干空气的密度，ρ</w:t>
      </w:r>
      <w:r>
        <w:rPr>
          <w:rFonts w:hint="eastAsia" w:ascii="Times New Roman" w:hAnsi="Times New Roman"/>
          <w:color w:val="auto"/>
          <w:highlight w:val="none"/>
          <w:vertAlign w:val="subscript"/>
        </w:rPr>
        <w:t>A0=</w:t>
      </w:r>
      <w:r>
        <w:rPr>
          <w:rFonts w:hint="eastAsia" w:ascii="Times New Roman" w:hAnsi="Times New Roman"/>
          <w:color w:val="auto"/>
          <w:highlight w:val="none"/>
        </w:rPr>
        <w:t>1.205 kg/m</w:t>
      </w:r>
      <w:r>
        <w:rPr>
          <w:rFonts w:hint="eastAsia" w:ascii="Times New Roman" w:hAnsi="Times New Roman"/>
          <w:color w:val="auto"/>
          <w:highlight w:val="none"/>
          <w:vertAlign w:val="superscript"/>
        </w:rPr>
        <w:t>3</w:t>
      </w:r>
      <w:r>
        <w:rPr>
          <w:rFonts w:hint="eastAsia" w:ascii="Times New Roman" w:hAnsi="Times New Roman"/>
          <w:color w:val="auto"/>
          <w:highlight w:val="none"/>
        </w:rPr>
        <w:t>；</w:t>
      </w:r>
    </w:p>
    <w:p w14:paraId="4A52F237">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ρ</w:t>
      </w:r>
      <w:r>
        <w:rPr>
          <w:rFonts w:hint="eastAsia" w:ascii="Times New Roman" w:hAnsi="Times New Roman"/>
          <w:color w:val="auto"/>
          <w:highlight w:val="none"/>
          <w:vertAlign w:val="subscript"/>
        </w:rPr>
        <w:t>A1</w:t>
      </w:r>
      <w:r>
        <w:rPr>
          <w:rFonts w:hint="eastAsia" w:ascii="Times New Roman" w:hAnsi="Times New Roman"/>
          <w:color w:val="auto"/>
          <w:highlight w:val="none"/>
        </w:rPr>
        <w:t>——标准状态下被测干气体的密度，单位为千克每立方米（kg/m</w:t>
      </w:r>
      <w:r>
        <w:rPr>
          <w:rFonts w:hint="eastAsia" w:ascii="Times New Roman" w:hAnsi="Times New Roman"/>
          <w:color w:val="auto"/>
          <w:highlight w:val="none"/>
          <w:vertAlign w:val="superscript"/>
        </w:rPr>
        <w:t>3</w:t>
      </w:r>
      <w:r>
        <w:rPr>
          <w:rFonts w:hint="eastAsia" w:ascii="Times New Roman" w:hAnsi="Times New Roman"/>
          <w:color w:val="auto"/>
          <w:highlight w:val="none"/>
        </w:rPr>
        <w:t>）；</w:t>
      </w:r>
    </w:p>
    <w:p w14:paraId="21CCAF4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P</w:t>
      </w:r>
      <w:r>
        <w:rPr>
          <w:rFonts w:hint="eastAsia" w:ascii="Times New Roman" w:hAnsi="Times New Roman"/>
          <w:color w:val="auto"/>
          <w:highlight w:val="none"/>
          <w:vertAlign w:val="subscript"/>
        </w:rPr>
        <w:t>A1</w:t>
      </w:r>
      <w:r>
        <w:rPr>
          <w:rFonts w:hint="eastAsia" w:ascii="Times New Roman" w:hAnsi="Times New Roman"/>
          <w:color w:val="auto"/>
          <w:highlight w:val="none"/>
        </w:rPr>
        <w:t>——工作状态下被测干气体的压力（即表压力与大气压力之和)，单位为千帕（kPa）；</w:t>
      </w:r>
    </w:p>
    <w:p w14:paraId="535017FB">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P</w:t>
      </w:r>
      <w:r>
        <w:rPr>
          <w:rFonts w:hint="eastAsia" w:ascii="Times New Roman" w:hAnsi="Times New Roman"/>
          <w:color w:val="auto"/>
          <w:highlight w:val="none"/>
          <w:vertAlign w:val="subscript"/>
        </w:rPr>
        <w:t>Ao</w:t>
      </w:r>
      <w:r>
        <w:rPr>
          <w:rFonts w:hint="eastAsia" w:ascii="Times New Roman" w:hAnsi="Times New Roman"/>
          <w:color w:val="auto"/>
          <w:highlight w:val="none"/>
        </w:rPr>
        <w:t>——标准状态时的压力，P</w:t>
      </w:r>
      <w:r>
        <w:rPr>
          <w:rFonts w:hint="eastAsia" w:ascii="Times New Roman" w:hAnsi="Times New Roman"/>
          <w:color w:val="auto"/>
          <w:highlight w:val="none"/>
          <w:vertAlign w:val="subscript"/>
        </w:rPr>
        <w:t>Ao</w:t>
      </w:r>
      <w:r>
        <w:rPr>
          <w:rFonts w:hint="eastAsia" w:ascii="Times New Roman" w:hAnsi="Times New Roman"/>
          <w:color w:val="auto"/>
          <w:highlight w:val="none"/>
        </w:rPr>
        <w:t>=101.325 kPa；</w:t>
      </w:r>
    </w:p>
    <w:p w14:paraId="3893915D">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T</w:t>
      </w:r>
      <w:r>
        <w:rPr>
          <w:rFonts w:hint="eastAsia" w:ascii="Times New Roman" w:hAnsi="Times New Roman"/>
          <w:color w:val="auto"/>
          <w:highlight w:val="none"/>
          <w:vertAlign w:val="subscript"/>
        </w:rPr>
        <w:t>0</w:t>
      </w:r>
      <w:r>
        <w:rPr>
          <w:rFonts w:hint="eastAsia" w:ascii="Times New Roman" w:hAnsi="Times New Roman"/>
          <w:color w:val="auto"/>
          <w:highlight w:val="none"/>
        </w:rPr>
        <w:t>——标准状态时温度，To=293.15 K：</w:t>
      </w:r>
    </w:p>
    <w:p w14:paraId="104A5F32">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T</w:t>
      </w:r>
      <w:r>
        <w:rPr>
          <w:rFonts w:hint="eastAsia" w:ascii="Times New Roman" w:hAnsi="Times New Roman"/>
          <w:color w:val="auto"/>
          <w:highlight w:val="none"/>
          <w:vertAlign w:val="subscript"/>
        </w:rPr>
        <w:t>1</w:t>
      </w:r>
      <w:r>
        <w:rPr>
          <w:rFonts w:hint="eastAsia" w:ascii="Times New Roman" w:hAnsi="Times New Roman"/>
          <w:color w:val="auto"/>
          <w:highlight w:val="none"/>
        </w:rPr>
        <w:t>——工作状态下被测干气体的温度，单位为开（K)；</w:t>
      </w:r>
    </w:p>
    <w:p w14:paraId="23D4D158">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Z</w:t>
      </w:r>
      <w:r>
        <w:rPr>
          <w:rFonts w:hint="eastAsia" w:ascii="Times New Roman" w:hAnsi="Times New Roman"/>
          <w:color w:val="auto"/>
          <w:highlight w:val="none"/>
          <w:vertAlign w:val="subscript"/>
        </w:rPr>
        <w:t>0</w:t>
      </w:r>
      <w:r>
        <w:rPr>
          <w:rFonts w:hint="eastAsia" w:ascii="Times New Roman" w:hAnsi="Times New Roman"/>
          <w:color w:val="auto"/>
          <w:highlight w:val="none"/>
        </w:rPr>
        <w:t>——标准状态下干空气的压缩系数，Z</w:t>
      </w:r>
      <w:r>
        <w:rPr>
          <w:rFonts w:hint="eastAsia" w:ascii="Times New Roman" w:hAnsi="Times New Roman"/>
          <w:color w:val="auto"/>
          <w:highlight w:val="none"/>
          <w:vertAlign w:val="subscript"/>
        </w:rPr>
        <w:t>0</w:t>
      </w:r>
      <w:r>
        <w:rPr>
          <w:rFonts w:hint="eastAsia" w:ascii="Times New Roman" w:hAnsi="Times New Roman"/>
          <w:color w:val="auto"/>
          <w:highlight w:val="none"/>
        </w:rPr>
        <w:t>=1；</w:t>
      </w:r>
    </w:p>
    <w:p w14:paraId="15D83343">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Z</w:t>
      </w:r>
      <w:r>
        <w:rPr>
          <w:rFonts w:hint="eastAsia" w:ascii="Times New Roman" w:hAnsi="Times New Roman"/>
          <w:color w:val="auto"/>
          <w:highlight w:val="none"/>
          <w:vertAlign w:val="subscript"/>
        </w:rPr>
        <w:t>1</w:t>
      </w:r>
      <w:r>
        <w:rPr>
          <w:rFonts w:hint="eastAsia" w:ascii="Times New Roman" w:hAnsi="Times New Roman"/>
          <w:color w:val="auto"/>
          <w:highlight w:val="none"/>
        </w:rPr>
        <w:t>——工作状态下被测干气体的压缩系数；</w:t>
      </w:r>
    </w:p>
    <w:p w14:paraId="263A04F4">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83840" behindDoc="1" locked="0" layoutInCell="1" allowOverlap="1">
            <wp:simplePos x="0" y="0"/>
            <wp:positionH relativeFrom="column">
              <wp:posOffset>754380</wp:posOffset>
            </wp:positionH>
            <wp:positionV relativeFrom="paragraph">
              <wp:posOffset>226060</wp:posOffset>
            </wp:positionV>
            <wp:extent cx="722630" cy="358140"/>
            <wp:effectExtent l="0" t="0" r="1270" b="3810"/>
            <wp:wrapNone/>
            <wp:docPr id="18898827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882730" name="图片 1"/>
                    <pic:cNvPicPr>
                      <a:picLocks noChangeAspect="1"/>
                    </pic:cNvPicPr>
                  </pic:nvPicPr>
                  <pic:blipFill>
                    <a:blip r:embed="rId26"/>
                    <a:stretch>
                      <a:fillRect/>
                    </a:stretch>
                  </pic:blipFill>
                  <pic:spPr>
                    <a:xfrm>
                      <a:off x="0" y="0"/>
                      <a:ext cx="722718" cy="358140"/>
                    </a:xfrm>
                    <a:prstGeom prst="rect">
                      <a:avLst/>
                    </a:prstGeom>
                  </pic:spPr>
                </pic:pic>
              </a:graphicData>
            </a:graphic>
          </wp:anchor>
        </w:drawing>
      </w:r>
      <w:r>
        <w:rPr>
          <w:rFonts w:hint="eastAsia" w:ascii="Times New Roman" w:hAnsi="Times New Roman"/>
          <w:color w:val="auto"/>
          <w:highlight w:val="none"/>
        </w:rPr>
        <w:t>K</w:t>
      </w:r>
      <w:r>
        <w:rPr>
          <w:rFonts w:hint="eastAsia" w:ascii="Times New Roman" w:hAnsi="Times New Roman"/>
          <w:color w:val="auto"/>
          <w:highlight w:val="none"/>
          <w:vertAlign w:val="subscript"/>
        </w:rPr>
        <w:t>Aρ</w:t>
      </w:r>
      <w:r>
        <w:rPr>
          <w:rFonts w:hint="eastAsia" w:ascii="Times New Roman" w:hAnsi="Times New Roman"/>
          <w:color w:val="auto"/>
          <w:highlight w:val="none"/>
        </w:rPr>
        <w:t>——气体密度换算系数</w:t>
      </w:r>
    </w:p>
    <w:p w14:paraId="0CC1AF1D">
      <w:pPr>
        <w:spacing w:line="276" w:lineRule="auto"/>
        <w:ind w:firstLine="420" w:firstLineChars="200"/>
        <w:rPr>
          <w:rFonts w:ascii="Times New Roman" w:hAnsi="Times New Roman"/>
          <w:color w:val="auto"/>
          <w:highlight w:val="none"/>
        </w:rPr>
      </w:pPr>
    </w:p>
    <w:p w14:paraId="61E11160">
      <w:pPr>
        <w:spacing w:line="276" w:lineRule="auto"/>
        <w:ind w:firstLine="420" w:firstLineChars="200"/>
        <w:rPr>
          <w:rFonts w:ascii="Times New Roman" w:hAnsi="Times New Roman"/>
          <w:color w:val="auto"/>
          <w:highlight w:val="none"/>
        </w:rPr>
      </w:pPr>
    </w:p>
    <w:p w14:paraId="5208AAF8">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84864" behindDoc="1" locked="0" layoutInCell="1" allowOverlap="1">
            <wp:simplePos x="0" y="0"/>
            <wp:positionH relativeFrom="column">
              <wp:posOffset>754380</wp:posOffset>
            </wp:positionH>
            <wp:positionV relativeFrom="paragraph">
              <wp:posOffset>230505</wp:posOffset>
            </wp:positionV>
            <wp:extent cx="607060" cy="358140"/>
            <wp:effectExtent l="0" t="0" r="2540" b="3810"/>
            <wp:wrapNone/>
            <wp:docPr id="26012257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22576" name="图片 1"/>
                    <pic:cNvPicPr>
                      <a:picLocks noChangeAspect="1"/>
                    </pic:cNvPicPr>
                  </pic:nvPicPr>
                  <pic:blipFill>
                    <a:blip r:embed="rId27"/>
                    <a:stretch>
                      <a:fillRect/>
                    </a:stretch>
                  </pic:blipFill>
                  <pic:spPr>
                    <a:xfrm>
                      <a:off x="0" y="0"/>
                      <a:ext cx="607162" cy="358052"/>
                    </a:xfrm>
                    <a:prstGeom prst="rect">
                      <a:avLst/>
                    </a:prstGeom>
                  </pic:spPr>
                </pic:pic>
              </a:graphicData>
            </a:graphic>
          </wp:anchor>
        </w:drawing>
      </w:r>
      <w:r>
        <w:rPr>
          <w:rFonts w:hint="eastAsia" w:ascii="Times New Roman" w:hAnsi="Times New Roman"/>
          <w:color w:val="auto"/>
          <w:highlight w:val="none"/>
        </w:rPr>
        <w:t>Kp——气体压力换算系数</w:t>
      </w:r>
    </w:p>
    <w:p w14:paraId="47050712">
      <w:pPr>
        <w:spacing w:line="276" w:lineRule="auto"/>
        <w:ind w:firstLine="420" w:firstLineChars="200"/>
        <w:rPr>
          <w:rFonts w:ascii="Times New Roman" w:hAnsi="Times New Roman"/>
          <w:color w:val="auto"/>
          <w:highlight w:val="none"/>
        </w:rPr>
      </w:pPr>
    </w:p>
    <w:p w14:paraId="2F1A3D0E">
      <w:pPr>
        <w:spacing w:line="276" w:lineRule="auto"/>
        <w:ind w:firstLine="420" w:firstLineChars="200"/>
        <w:rPr>
          <w:rFonts w:ascii="Times New Roman" w:hAnsi="Times New Roman"/>
          <w:color w:val="auto"/>
          <w:highlight w:val="none"/>
        </w:rPr>
      </w:pPr>
    </w:p>
    <w:p w14:paraId="19C7611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K</w:t>
      </w:r>
      <w:r>
        <w:rPr>
          <w:rFonts w:hint="eastAsia" w:ascii="Times New Roman" w:hAnsi="Times New Roman"/>
          <w:color w:val="auto"/>
          <w:highlight w:val="none"/>
          <w:vertAlign w:val="subscript"/>
        </w:rPr>
        <w:t>T</w:t>
      </w:r>
      <w:r>
        <w:rPr>
          <w:rFonts w:hint="eastAsia" w:ascii="Times New Roman" w:hAnsi="Times New Roman"/>
          <w:color w:val="auto"/>
          <w:highlight w:val="none"/>
        </w:rPr>
        <w:t>——气体温度换算系数</w:t>
      </w:r>
    </w:p>
    <w:p w14:paraId="1D4DFC60">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85888" behindDoc="1" locked="0" layoutInCell="1" allowOverlap="1">
            <wp:simplePos x="0" y="0"/>
            <wp:positionH relativeFrom="column">
              <wp:posOffset>805815</wp:posOffset>
            </wp:positionH>
            <wp:positionV relativeFrom="paragraph">
              <wp:posOffset>79375</wp:posOffset>
            </wp:positionV>
            <wp:extent cx="475615" cy="285115"/>
            <wp:effectExtent l="0" t="0" r="635" b="635"/>
            <wp:wrapNone/>
            <wp:docPr id="3916003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600351" name="图片 1"/>
                    <pic:cNvPicPr>
                      <a:picLocks noChangeAspect="1"/>
                    </pic:cNvPicPr>
                  </pic:nvPicPr>
                  <pic:blipFill>
                    <a:blip r:embed="rId28"/>
                    <a:stretch>
                      <a:fillRect/>
                    </a:stretch>
                  </pic:blipFill>
                  <pic:spPr>
                    <a:xfrm>
                      <a:off x="0" y="0"/>
                      <a:ext cx="475439" cy="285115"/>
                    </a:xfrm>
                    <a:prstGeom prst="rect">
                      <a:avLst/>
                    </a:prstGeom>
                  </pic:spPr>
                </pic:pic>
              </a:graphicData>
            </a:graphic>
          </wp:anchor>
        </w:drawing>
      </w:r>
    </w:p>
    <w:p w14:paraId="78D52CC8">
      <w:pPr>
        <w:spacing w:line="276" w:lineRule="auto"/>
        <w:ind w:firstLine="420" w:firstLineChars="200"/>
        <w:rPr>
          <w:rFonts w:ascii="Times New Roman" w:hAnsi="Times New Roman"/>
          <w:color w:val="auto"/>
          <w:highlight w:val="none"/>
        </w:rPr>
      </w:pPr>
    </w:p>
    <w:p w14:paraId="24E41FF6">
      <w:pPr>
        <w:spacing w:line="276" w:lineRule="auto"/>
        <w:ind w:firstLine="420" w:firstLineChars="200"/>
        <w:rPr>
          <w:rFonts w:ascii="Times New Roman" w:hAnsi="Times New Roman"/>
          <w:color w:val="auto"/>
          <w:highlight w:val="none"/>
        </w:rPr>
      </w:pPr>
      <w:r>
        <w:rPr>
          <w:rFonts w:hint="eastAsia" w:ascii="Times New Roman" w:hAnsi="Times New Roman"/>
          <w:color w:val="auto"/>
          <w:highlight w:val="none"/>
        </w:rPr>
        <w:t>Kz—气体压缩系数换算系数</w:t>
      </w:r>
    </w:p>
    <w:p w14:paraId="46278A17">
      <w:pPr>
        <w:spacing w:line="276" w:lineRule="auto"/>
        <w:ind w:firstLine="420" w:firstLineChars="200"/>
        <w:rPr>
          <w:rFonts w:ascii="Times New Roman" w:hAnsi="Times New Roman"/>
          <w:color w:val="auto"/>
          <w:highlight w:val="none"/>
        </w:rPr>
      </w:pPr>
      <w:r>
        <w:rPr>
          <w:color w:val="auto"/>
          <w:highlight w:val="none"/>
        </w:rPr>
        <w:drawing>
          <wp:anchor distT="0" distB="0" distL="114300" distR="114300" simplePos="0" relativeHeight="251686912" behindDoc="1" locked="0" layoutInCell="1" allowOverlap="1">
            <wp:simplePos x="0" y="0"/>
            <wp:positionH relativeFrom="column">
              <wp:posOffset>805815</wp:posOffset>
            </wp:positionH>
            <wp:positionV relativeFrom="paragraph">
              <wp:posOffset>68580</wp:posOffset>
            </wp:positionV>
            <wp:extent cx="461010" cy="321310"/>
            <wp:effectExtent l="0" t="0" r="15240" b="2540"/>
            <wp:wrapNone/>
            <wp:docPr id="4376295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62950" name="图片 1"/>
                    <pic:cNvPicPr>
                      <a:picLocks noChangeAspect="1"/>
                    </pic:cNvPicPr>
                  </pic:nvPicPr>
                  <pic:blipFill>
                    <a:blip r:embed="rId29"/>
                    <a:stretch>
                      <a:fillRect/>
                    </a:stretch>
                  </pic:blipFill>
                  <pic:spPr>
                    <a:xfrm>
                      <a:off x="0" y="0"/>
                      <a:ext cx="460857" cy="321310"/>
                    </a:xfrm>
                    <a:prstGeom prst="rect">
                      <a:avLst/>
                    </a:prstGeom>
                  </pic:spPr>
                </pic:pic>
              </a:graphicData>
            </a:graphic>
          </wp:anchor>
        </w:drawing>
      </w:r>
    </w:p>
    <w:p w14:paraId="3287550E">
      <w:pPr>
        <w:spacing w:line="276" w:lineRule="auto"/>
        <w:ind w:firstLine="420" w:firstLineChars="200"/>
        <w:rPr>
          <w:rFonts w:ascii="Times New Roman" w:hAnsi="Times New Roman"/>
          <w:color w:val="auto"/>
          <w:highlight w:val="none"/>
        </w:rPr>
      </w:pPr>
    </w:p>
    <w:p w14:paraId="2C3B764E">
      <w:pPr>
        <w:spacing w:line="276" w:lineRule="auto"/>
        <w:ind w:firstLine="420" w:firstLineChars="200"/>
        <w:rPr>
          <w:rFonts w:ascii="Times New Roman" w:hAnsi="Times New Roman"/>
          <w:color w:val="auto"/>
          <w:highlight w:val="none"/>
        </w:rPr>
      </w:pPr>
    </w:p>
    <w:p w14:paraId="19AC25FF">
      <w:pPr>
        <w:spacing w:line="276" w:lineRule="auto"/>
        <w:ind w:firstLine="420" w:firstLineChars="200"/>
        <w:rPr>
          <w:rFonts w:ascii="Times New Roman" w:hAnsi="Times New Roman"/>
          <w:color w:val="auto"/>
          <w:highlight w:val="none"/>
        </w:rPr>
      </w:pPr>
    </w:p>
    <w:p w14:paraId="3ACD1A7A">
      <w:pPr>
        <w:spacing w:line="276" w:lineRule="auto"/>
        <w:ind w:firstLine="420" w:firstLineChars="200"/>
        <w:rPr>
          <w:rFonts w:ascii="Times New Roman" w:hAnsi="Times New Roman"/>
          <w:color w:val="auto"/>
          <w:highlight w:val="none"/>
        </w:rPr>
      </w:pPr>
    </w:p>
    <w:p w14:paraId="16E2E0A8">
      <w:pPr>
        <w:spacing w:line="276" w:lineRule="auto"/>
        <w:outlineLvl w:val="1"/>
        <w:rPr>
          <w:rFonts w:ascii="Times New Roman" w:hAnsi="Times New Roman"/>
          <w:color w:val="auto"/>
          <w:highlight w:val="none"/>
        </w:rPr>
      </w:pPr>
      <w:r>
        <w:rPr>
          <w:rFonts w:ascii="Times New Roman" w:hAnsi="Times New Roman"/>
          <w:color w:val="auto"/>
          <w:highlight w:val="none"/>
        </w:rPr>
        <w:br w:type="page"/>
      </w:r>
      <w:bookmarkStart w:id="89" w:name="_Toc22729"/>
      <w:r>
        <w:rPr>
          <w:rFonts w:hint="eastAsia" w:ascii="Times New Roman" w:hAnsi="Times New Roman"/>
          <w:color w:val="auto"/>
          <w:highlight w:val="none"/>
        </w:rPr>
        <w:t>B.2 常用气体的换算系数</w:t>
      </w:r>
      <w:bookmarkEnd w:id="89"/>
    </w:p>
    <w:p w14:paraId="11A3BED7">
      <w:pPr>
        <w:spacing w:line="276" w:lineRule="auto"/>
        <w:rPr>
          <w:rFonts w:hint="eastAsia" w:ascii="Times New Roman" w:hAnsi="Times New Roman" w:eastAsia="宋体"/>
          <w:color w:val="auto"/>
          <w:highlight w:val="none"/>
          <w:lang w:val="en-US" w:eastAsia="zh-CN"/>
        </w:rPr>
      </w:pPr>
      <w:r>
        <w:rPr>
          <w:rFonts w:hint="eastAsia" w:ascii="Times New Roman" w:hAnsi="Times New Roman"/>
          <w:color w:val="auto"/>
          <w:highlight w:val="none"/>
        </w:rPr>
        <w:t>气体密度换算系数见表 B.1</w:t>
      </w:r>
      <w:r>
        <w:rPr>
          <w:rFonts w:hint="eastAsia" w:ascii="Times New Roman" w:hAnsi="Times New Roman"/>
          <w:color w:val="auto"/>
          <w:highlight w:val="none"/>
          <w:lang w:eastAsia="zh-CN"/>
        </w:rPr>
        <w:t>。</w:t>
      </w:r>
    </w:p>
    <w:p w14:paraId="54F0801D">
      <w:pPr>
        <w:spacing w:line="276" w:lineRule="auto"/>
        <w:rPr>
          <w:rFonts w:ascii="Times New Roman" w:hAnsi="Times New Roman"/>
          <w:color w:val="auto"/>
          <w:highlight w:val="none"/>
        </w:rPr>
      </w:pPr>
      <w:r>
        <w:rPr>
          <w:rFonts w:hint="eastAsia" w:ascii="Times New Roman" w:hAnsi="Times New Roman"/>
          <w:color w:val="auto"/>
          <w:highlight w:val="none"/>
        </w:rPr>
        <w:t>气体压力换算系数见表 B.2。</w:t>
      </w:r>
    </w:p>
    <w:p w14:paraId="41A8424F">
      <w:pPr>
        <w:spacing w:line="276" w:lineRule="auto"/>
        <w:rPr>
          <w:rFonts w:hint="eastAsia" w:ascii="Times New Roman" w:hAnsi="Times New Roman" w:eastAsia="宋体"/>
          <w:color w:val="auto"/>
          <w:highlight w:val="none"/>
          <w:lang w:eastAsia="zh-CN"/>
        </w:rPr>
      </w:pPr>
      <w:r>
        <w:rPr>
          <w:rFonts w:hint="eastAsia" w:ascii="Times New Roman" w:hAnsi="Times New Roman"/>
          <w:color w:val="auto"/>
          <w:highlight w:val="none"/>
        </w:rPr>
        <w:t>气体温度换算系数见表 B.3</w:t>
      </w:r>
      <w:r>
        <w:rPr>
          <w:rFonts w:hint="eastAsia" w:ascii="Times New Roman" w:hAnsi="Times New Roman"/>
          <w:color w:val="auto"/>
          <w:highlight w:val="none"/>
          <w:lang w:eastAsia="zh-CN"/>
        </w:rPr>
        <w:t>。</w:t>
      </w:r>
    </w:p>
    <w:p w14:paraId="5442A1D0">
      <w:pPr>
        <w:spacing w:line="276" w:lineRule="auto"/>
        <w:rPr>
          <w:rFonts w:ascii="Times New Roman" w:hAnsi="Times New Roman"/>
          <w:color w:val="auto"/>
          <w:highlight w:val="none"/>
        </w:rPr>
      </w:pPr>
    </w:p>
    <w:p w14:paraId="169D2F9D">
      <w:pPr>
        <w:spacing w:line="276" w:lineRule="auto"/>
        <w:jc w:val="center"/>
        <w:outlineLvl w:val="0"/>
        <w:rPr>
          <w:rFonts w:ascii="Times New Roman" w:hAnsi="Times New Roman"/>
          <w:color w:val="auto"/>
          <w:highlight w:val="none"/>
        </w:rPr>
      </w:pPr>
      <w:bookmarkStart w:id="90" w:name="_Toc29306"/>
      <w:r>
        <w:rPr>
          <w:rFonts w:hint="eastAsia" w:ascii="Times New Roman" w:hAnsi="Times New Roman"/>
          <w:color w:val="auto"/>
          <w:highlight w:val="none"/>
        </w:rPr>
        <w:t>表B.1 常用气体密度换算系数</w:t>
      </w:r>
      <w:bookmarkEnd w:id="90"/>
    </w:p>
    <w:tbl>
      <w:tblPr>
        <w:tblStyle w:val="28"/>
        <w:tblW w:w="7797" w:type="dxa"/>
        <w:jc w:val="center"/>
        <w:tblLayout w:type="fixed"/>
        <w:tblCellMar>
          <w:top w:w="0" w:type="dxa"/>
          <w:left w:w="108" w:type="dxa"/>
          <w:bottom w:w="0" w:type="dxa"/>
          <w:right w:w="108" w:type="dxa"/>
        </w:tblCellMar>
      </w:tblPr>
      <w:tblGrid>
        <w:gridCol w:w="1504"/>
        <w:gridCol w:w="1474"/>
        <w:gridCol w:w="3260"/>
        <w:gridCol w:w="1559"/>
      </w:tblGrid>
      <w:tr w14:paraId="1F82BB9A">
        <w:tblPrEx>
          <w:tblCellMar>
            <w:top w:w="0" w:type="dxa"/>
            <w:left w:w="108" w:type="dxa"/>
            <w:bottom w:w="0" w:type="dxa"/>
            <w:right w:w="108" w:type="dxa"/>
          </w:tblCellMar>
        </w:tblPrEx>
        <w:trPr>
          <w:trHeight w:val="255" w:hRule="atLeast"/>
          <w:jc w:val="center"/>
        </w:trPr>
        <w:tc>
          <w:tcPr>
            <w:tcW w:w="15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0B2C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气体名称</w:t>
            </w:r>
          </w:p>
        </w:tc>
        <w:tc>
          <w:tcPr>
            <w:tcW w:w="1474" w:type="dxa"/>
            <w:tcBorders>
              <w:top w:val="single" w:color="000000" w:sz="4" w:space="0"/>
              <w:left w:val="nil"/>
              <w:bottom w:val="single" w:color="000000" w:sz="4" w:space="0"/>
              <w:right w:val="single" w:color="000000" w:sz="4" w:space="0"/>
            </w:tcBorders>
            <w:shd w:val="clear" w:color="auto" w:fill="auto"/>
            <w:noWrap/>
            <w:vAlign w:val="center"/>
          </w:tcPr>
          <w:p w14:paraId="6DE64C3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分子式</w:t>
            </w:r>
          </w:p>
        </w:tc>
        <w:tc>
          <w:tcPr>
            <w:tcW w:w="3260" w:type="dxa"/>
            <w:tcBorders>
              <w:top w:val="single" w:color="000000" w:sz="4" w:space="0"/>
              <w:left w:val="nil"/>
              <w:bottom w:val="single" w:color="000000" w:sz="4" w:space="0"/>
              <w:right w:val="single" w:color="000000" w:sz="4" w:space="0"/>
            </w:tcBorders>
            <w:shd w:val="clear" w:color="auto" w:fill="auto"/>
            <w:noWrap/>
            <w:vAlign w:val="center"/>
          </w:tcPr>
          <w:p w14:paraId="5F2DD9F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密度（20</w:t>
            </w:r>
            <w:r>
              <w:rPr>
                <w:rFonts w:ascii="宋体" w:hAnsi="宋体" w:cs="宋体"/>
                <w:color w:val="auto"/>
                <w:kern w:val="0"/>
                <w:sz w:val="20"/>
                <w:szCs w:val="20"/>
                <w:highlight w:val="none"/>
              </w:rPr>
              <w:t>℃</w:t>
            </w:r>
            <w:r>
              <w:rPr>
                <w:rFonts w:ascii="Arial" w:hAnsi="Arial" w:cs="Arial"/>
                <w:color w:val="auto"/>
                <w:kern w:val="0"/>
                <w:sz w:val="20"/>
                <w:szCs w:val="20"/>
                <w:highlight w:val="none"/>
              </w:rPr>
              <w:t xml:space="preserve">，101.325 kPa) </w:t>
            </w:r>
          </w:p>
          <w:p w14:paraId="0A728DA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kg/m</w:t>
            </w:r>
            <w:r>
              <w:rPr>
                <w:rFonts w:hint="eastAsia" w:ascii="Arial" w:hAnsi="Arial" w:cs="Arial"/>
                <w:color w:val="auto"/>
                <w:kern w:val="0"/>
                <w:sz w:val="20"/>
                <w:szCs w:val="20"/>
                <w:highlight w:val="none"/>
                <w:vertAlign w:val="superscript"/>
              </w:rPr>
              <w:t>3</w:t>
            </w:r>
          </w:p>
        </w:tc>
        <w:tc>
          <w:tcPr>
            <w:tcW w:w="1559" w:type="dxa"/>
            <w:tcBorders>
              <w:top w:val="single" w:color="000000" w:sz="4" w:space="0"/>
              <w:left w:val="nil"/>
              <w:bottom w:val="single" w:color="000000" w:sz="4" w:space="0"/>
              <w:right w:val="single" w:color="000000" w:sz="4" w:space="0"/>
            </w:tcBorders>
            <w:shd w:val="clear" w:color="auto" w:fill="auto"/>
            <w:noWrap/>
            <w:vAlign w:val="center"/>
          </w:tcPr>
          <w:p w14:paraId="2E46C21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K</w:t>
            </w:r>
            <w:r>
              <w:rPr>
                <w:rFonts w:ascii="Arial" w:hAnsi="Arial" w:cs="Arial"/>
                <w:color w:val="auto"/>
                <w:kern w:val="0"/>
                <w:sz w:val="20"/>
                <w:szCs w:val="20"/>
                <w:highlight w:val="none"/>
                <w:vertAlign w:val="subscript"/>
              </w:rPr>
              <w:t>Ap</w:t>
            </w:r>
          </w:p>
        </w:tc>
      </w:tr>
      <w:tr w14:paraId="79F01D5D">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2FA5068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氢气</w:t>
            </w:r>
          </w:p>
        </w:tc>
        <w:tc>
          <w:tcPr>
            <w:tcW w:w="1474" w:type="dxa"/>
            <w:tcBorders>
              <w:top w:val="nil"/>
              <w:left w:val="nil"/>
              <w:bottom w:val="single" w:color="000000" w:sz="4" w:space="0"/>
              <w:right w:val="single" w:color="000000" w:sz="4" w:space="0"/>
            </w:tcBorders>
            <w:shd w:val="clear" w:color="auto" w:fill="auto"/>
            <w:noWrap/>
            <w:vAlign w:val="center"/>
          </w:tcPr>
          <w:p w14:paraId="2FF188F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H</w:t>
            </w:r>
            <w:r>
              <w:rPr>
                <w:rFonts w:ascii="Arial" w:hAnsi="Arial" w:cs="Arial"/>
                <w:color w:val="auto"/>
                <w:kern w:val="0"/>
                <w:sz w:val="20"/>
                <w:szCs w:val="20"/>
                <w:highlight w:val="none"/>
                <w:vertAlign w:val="subscript"/>
              </w:rPr>
              <w:t>2</w:t>
            </w:r>
          </w:p>
        </w:tc>
        <w:tc>
          <w:tcPr>
            <w:tcW w:w="3260" w:type="dxa"/>
            <w:tcBorders>
              <w:top w:val="nil"/>
              <w:left w:val="nil"/>
              <w:bottom w:val="single" w:color="000000" w:sz="4" w:space="0"/>
              <w:right w:val="single" w:color="000000" w:sz="4" w:space="0"/>
            </w:tcBorders>
            <w:shd w:val="clear" w:color="auto" w:fill="auto"/>
            <w:noWrap/>
            <w:vAlign w:val="center"/>
          </w:tcPr>
          <w:p w14:paraId="30AC97C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0.084</w:t>
            </w:r>
          </w:p>
        </w:tc>
        <w:tc>
          <w:tcPr>
            <w:tcW w:w="1559" w:type="dxa"/>
            <w:tcBorders>
              <w:top w:val="nil"/>
              <w:left w:val="nil"/>
              <w:bottom w:val="single" w:color="000000" w:sz="4" w:space="0"/>
              <w:right w:val="single" w:color="000000" w:sz="4" w:space="0"/>
            </w:tcBorders>
            <w:shd w:val="clear" w:color="auto" w:fill="auto"/>
            <w:noWrap/>
            <w:vAlign w:val="center"/>
          </w:tcPr>
          <w:p w14:paraId="3D80D4D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3.788</w:t>
            </w:r>
          </w:p>
        </w:tc>
      </w:tr>
      <w:tr w14:paraId="5EAC0FD3">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7165316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氦气</w:t>
            </w:r>
          </w:p>
        </w:tc>
        <w:tc>
          <w:tcPr>
            <w:tcW w:w="1474" w:type="dxa"/>
            <w:tcBorders>
              <w:top w:val="nil"/>
              <w:left w:val="nil"/>
              <w:bottom w:val="single" w:color="000000" w:sz="4" w:space="0"/>
              <w:right w:val="single" w:color="000000" w:sz="4" w:space="0"/>
            </w:tcBorders>
            <w:shd w:val="clear" w:color="auto" w:fill="auto"/>
            <w:noWrap/>
            <w:vAlign w:val="center"/>
          </w:tcPr>
          <w:p w14:paraId="7E1EA16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He</w:t>
            </w:r>
          </w:p>
        </w:tc>
        <w:tc>
          <w:tcPr>
            <w:tcW w:w="3260" w:type="dxa"/>
            <w:tcBorders>
              <w:top w:val="nil"/>
              <w:left w:val="nil"/>
              <w:bottom w:val="single" w:color="000000" w:sz="4" w:space="0"/>
              <w:right w:val="single" w:color="000000" w:sz="4" w:space="0"/>
            </w:tcBorders>
            <w:shd w:val="clear" w:color="auto" w:fill="auto"/>
            <w:noWrap/>
            <w:vAlign w:val="center"/>
          </w:tcPr>
          <w:p w14:paraId="53D18361">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0.</w:t>
            </w:r>
            <w:r>
              <w:rPr>
                <w:rFonts w:ascii="Arial" w:hAnsi="Arial" w:cs="Arial"/>
                <w:color w:val="auto"/>
                <w:kern w:val="0"/>
                <w:sz w:val="20"/>
                <w:szCs w:val="20"/>
                <w:highlight w:val="none"/>
              </w:rPr>
              <w:t>166</w:t>
            </w:r>
          </w:p>
        </w:tc>
        <w:tc>
          <w:tcPr>
            <w:tcW w:w="1559" w:type="dxa"/>
            <w:tcBorders>
              <w:top w:val="nil"/>
              <w:left w:val="nil"/>
              <w:bottom w:val="single" w:color="000000" w:sz="4" w:space="0"/>
              <w:right w:val="single" w:color="000000" w:sz="4" w:space="0"/>
            </w:tcBorders>
            <w:shd w:val="clear" w:color="auto" w:fill="auto"/>
            <w:noWrap/>
            <w:vAlign w:val="center"/>
          </w:tcPr>
          <w:p w14:paraId="745D8F8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2.694</w:t>
            </w:r>
          </w:p>
        </w:tc>
      </w:tr>
      <w:tr w14:paraId="65DF482B">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022852B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甲烷</w:t>
            </w:r>
          </w:p>
        </w:tc>
        <w:tc>
          <w:tcPr>
            <w:tcW w:w="1474" w:type="dxa"/>
            <w:tcBorders>
              <w:top w:val="nil"/>
              <w:left w:val="nil"/>
              <w:bottom w:val="single" w:color="000000" w:sz="4" w:space="0"/>
              <w:right w:val="single" w:color="000000" w:sz="4" w:space="0"/>
            </w:tcBorders>
            <w:shd w:val="clear" w:color="auto" w:fill="auto"/>
            <w:noWrap/>
            <w:vAlign w:val="center"/>
          </w:tcPr>
          <w:p w14:paraId="7A2BEB8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CH</w:t>
            </w:r>
            <w:r>
              <w:rPr>
                <w:rFonts w:ascii="Arial" w:hAnsi="Arial" w:cs="Arial"/>
                <w:color w:val="auto"/>
                <w:kern w:val="0"/>
                <w:sz w:val="20"/>
                <w:szCs w:val="20"/>
                <w:highlight w:val="none"/>
                <w:vertAlign w:val="subscript"/>
              </w:rPr>
              <w:t>4</w:t>
            </w:r>
          </w:p>
        </w:tc>
        <w:tc>
          <w:tcPr>
            <w:tcW w:w="3260" w:type="dxa"/>
            <w:tcBorders>
              <w:top w:val="nil"/>
              <w:left w:val="nil"/>
              <w:bottom w:val="single" w:color="000000" w:sz="4" w:space="0"/>
              <w:right w:val="single" w:color="000000" w:sz="4" w:space="0"/>
            </w:tcBorders>
            <w:shd w:val="clear" w:color="auto" w:fill="auto"/>
            <w:noWrap/>
            <w:vAlign w:val="center"/>
          </w:tcPr>
          <w:p w14:paraId="2CE110A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0.668</w:t>
            </w:r>
          </w:p>
        </w:tc>
        <w:tc>
          <w:tcPr>
            <w:tcW w:w="1559" w:type="dxa"/>
            <w:tcBorders>
              <w:top w:val="nil"/>
              <w:left w:val="nil"/>
              <w:bottom w:val="single" w:color="000000" w:sz="4" w:space="0"/>
              <w:right w:val="single" w:color="000000" w:sz="4" w:space="0"/>
            </w:tcBorders>
            <w:shd w:val="clear" w:color="auto" w:fill="auto"/>
            <w:noWrap/>
            <w:vAlign w:val="center"/>
          </w:tcPr>
          <w:p w14:paraId="059D92F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1.343</w:t>
            </w:r>
          </w:p>
        </w:tc>
      </w:tr>
      <w:tr w14:paraId="60D2C720">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70E4444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氨气</w:t>
            </w:r>
          </w:p>
        </w:tc>
        <w:tc>
          <w:tcPr>
            <w:tcW w:w="1474" w:type="dxa"/>
            <w:tcBorders>
              <w:top w:val="nil"/>
              <w:left w:val="nil"/>
              <w:bottom w:val="single" w:color="000000" w:sz="4" w:space="0"/>
              <w:right w:val="single" w:color="000000" w:sz="4" w:space="0"/>
            </w:tcBorders>
            <w:shd w:val="clear" w:color="auto" w:fill="auto"/>
            <w:noWrap/>
            <w:vAlign w:val="center"/>
          </w:tcPr>
          <w:p w14:paraId="0FBF79C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NH</w:t>
            </w:r>
          </w:p>
        </w:tc>
        <w:tc>
          <w:tcPr>
            <w:tcW w:w="3260" w:type="dxa"/>
            <w:tcBorders>
              <w:top w:val="nil"/>
              <w:left w:val="nil"/>
              <w:bottom w:val="single" w:color="000000" w:sz="4" w:space="0"/>
              <w:right w:val="single" w:color="000000" w:sz="4" w:space="0"/>
            </w:tcBorders>
            <w:shd w:val="clear" w:color="auto" w:fill="auto"/>
            <w:noWrap/>
            <w:vAlign w:val="center"/>
          </w:tcPr>
          <w:p w14:paraId="1D2D46E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0.719</w:t>
            </w:r>
          </w:p>
        </w:tc>
        <w:tc>
          <w:tcPr>
            <w:tcW w:w="1559" w:type="dxa"/>
            <w:tcBorders>
              <w:top w:val="nil"/>
              <w:left w:val="nil"/>
              <w:bottom w:val="single" w:color="000000" w:sz="4" w:space="0"/>
              <w:right w:val="single" w:color="000000" w:sz="4" w:space="0"/>
            </w:tcBorders>
            <w:shd w:val="clear" w:color="auto" w:fill="auto"/>
            <w:noWrap/>
            <w:vAlign w:val="center"/>
          </w:tcPr>
          <w:p w14:paraId="2CCCCF6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1.295</w:t>
            </w:r>
          </w:p>
        </w:tc>
      </w:tr>
      <w:tr w14:paraId="0FC53F3C">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7AD4007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一氧化碳</w:t>
            </w:r>
          </w:p>
        </w:tc>
        <w:tc>
          <w:tcPr>
            <w:tcW w:w="1474" w:type="dxa"/>
            <w:tcBorders>
              <w:top w:val="nil"/>
              <w:left w:val="nil"/>
              <w:bottom w:val="single" w:color="000000" w:sz="4" w:space="0"/>
              <w:right w:val="single" w:color="000000" w:sz="4" w:space="0"/>
            </w:tcBorders>
            <w:shd w:val="clear" w:color="auto" w:fill="auto"/>
            <w:noWrap/>
            <w:vAlign w:val="center"/>
          </w:tcPr>
          <w:p w14:paraId="1AA0304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CO</w:t>
            </w:r>
          </w:p>
        </w:tc>
        <w:tc>
          <w:tcPr>
            <w:tcW w:w="3260" w:type="dxa"/>
            <w:tcBorders>
              <w:top w:val="nil"/>
              <w:left w:val="nil"/>
              <w:bottom w:val="single" w:color="000000" w:sz="4" w:space="0"/>
              <w:right w:val="single" w:color="000000" w:sz="4" w:space="0"/>
            </w:tcBorders>
            <w:shd w:val="clear" w:color="auto" w:fill="auto"/>
            <w:noWrap/>
            <w:vAlign w:val="center"/>
          </w:tcPr>
          <w:p w14:paraId="5151D7E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1.165</w:t>
            </w:r>
          </w:p>
        </w:tc>
        <w:tc>
          <w:tcPr>
            <w:tcW w:w="1559" w:type="dxa"/>
            <w:tcBorders>
              <w:top w:val="nil"/>
              <w:left w:val="nil"/>
              <w:bottom w:val="single" w:color="000000" w:sz="4" w:space="0"/>
              <w:right w:val="single" w:color="000000" w:sz="4" w:space="0"/>
            </w:tcBorders>
            <w:shd w:val="clear" w:color="auto" w:fill="auto"/>
            <w:noWrap/>
            <w:vAlign w:val="center"/>
          </w:tcPr>
          <w:p w14:paraId="0654D67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1.017</w:t>
            </w:r>
          </w:p>
        </w:tc>
      </w:tr>
      <w:tr w14:paraId="31E860B1">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0EAB8A9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氮气</w:t>
            </w:r>
          </w:p>
        </w:tc>
        <w:tc>
          <w:tcPr>
            <w:tcW w:w="1474" w:type="dxa"/>
            <w:tcBorders>
              <w:top w:val="nil"/>
              <w:left w:val="nil"/>
              <w:bottom w:val="single" w:color="000000" w:sz="4" w:space="0"/>
              <w:right w:val="single" w:color="000000" w:sz="4" w:space="0"/>
            </w:tcBorders>
            <w:shd w:val="clear" w:color="auto" w:fill="auto"/>
            <w:noWrap/>
            <w:vAlign w:val="center"/>
          </w:tcPr>
          <w:p w14:paraId="7F09AAA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N</w:t>
            </w:r>
            <w:r>
              <w:rPr>
                <w:rFonts w:ascii="Arial" w:hAnsi="Arial" w:cs="Arial"/>
                <w:color w:val="auto"/>
                <w:kern w:val="0"/>
                <w:sz w:val="20"/>
                <w:szCs w:val="20"/>
                <w:highlight w:val="none"/>
                <w:vertAlign w:val="subscript"/>
              </w:rPr>
              <w:t>2</w:t>
            </w:r>
          </w:p>
        </w:tc>
        <w:tc>
          <w:tcPr>
            <w:tcW w:w="3260" w:type="dxa"/>
            <w:tcBorders>
              <w:top w:val="nil"/>
              <w:left w:val="nil"/>
              <w:bottom w:val="single" w:color="000000" w:sz="4" w:space="0"/>
              <w:right w:val="single" w:color="000000" w:sz="4" w:space="0"/>
            </w:tcBorders>
            <w:shd w:val="clear" w:color="auto" w:fill="auto"/>
            <w:noWrap/>
            <w:vAlign w:val="center"/>
          </w:tcPr>
          <w:p w14:paraId="3668A7F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1.165</w:t>
            </w:r>
          </w:p>
        </w:tc>
        <w:tc>
          <w:tcPr>
            <w:tcW w:w="1559" w:type="dxa"/>
            <w:tcBorders>
              <w:top w:val="nil"/>
              <w:left w:val="nil"/>
              <w:bottom w:val="single" w:color="000000" w:sz="4" w:space="0"/>
              <w:right w:val="single" w:color="000000" w:sz="4" w:space="0"/>
            </w:tcBorders>
            <w:shd w:val="clear" w:color="auto" w:fill="auto"/>
            <w:noWrap/>
            <w:vAlign w:val="center"/>
          </w:tcPr>
          <w:p w14:paraId="74A6ABE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1.017</w:t>
            </w:r>
          </w:p>
        </w:tc>
      </w:tr>
      <w:tr w14:paraId="2FAB7898">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2DFBB83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乙烯</w:t>
            </w:r>
          </w:p>
        </w:tc>
        <w:tc>
          <w:tcPr>
            <w:tcW w:w="1474" w:type="dxa"/>
            <w:tcBorders>
              <w:top w:val="nil"/>
              <w:left w:val="nil"/>
              <w:bottom w:val="single" w:color="000000" w:sz="4" w:space="0"/>
              <w:right w:val="single" w:color="000000" w:sz="4" w:space="0"/>
            </w:tcBorders>
            <w:shd w:val="clear" w:color="auto" w:fill="auto"/>
            <w:noWrap/>
            <w:vAlign w:val="center"/>
          </w:tcPr>
          <w:p w14:paraId="1FBF5EE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w:t>
            </w:r>
            <w:r>
              <w:rPr>
                <w:rFonts w:ascii="Arial" w:hAnsi="Arial" w:cs="Arial"/>
                <w:color w:val="auto"/>
                <w:kern w:val="0"/>
                <w:sz w:val="20"/>
                <w:szCs w:val="20"/>
                <w:highlight w:val="none"/>
                <w:vertAlign w:val="subscript"/>
              </w:rPr>
              <w:t>2</w:t>
            </w:r>
            <w:r>
              <w:rPr>
                <w:rFonts w:ascii="Arial" w:hAnsi="Arial" w:cs="Arial"/>
                <w:color w:val="auto"/>
                <w:kern w:val="0"/>
                <w:sz w:val="20"/>
                <w:szCs w:val="20"/>
                <w:highlight w:val="none"/>
              </w:rPr>
              <w:t>H</w:t>
            </w:r>
            <w:r>
              <w:rPr>
                <w:rFonts w:ascii="Arial" w:hAnsi="Arial" w:cs="Arial"/>
                <w:color w:val="auto"/>
                <w:kern w:val="0"/>
                <w:sz w:val="20"/>
                <w:szCs w:val="20"/>
                <w:highlight w:val="none"/>
                <w:vertAlign w:val="subscript"/>
              </w:rPr>
              <w:t>4</w:t>
            </w:r>
          </w:p>
        </w:tc>
        <w:tc>
          <w:tcPr>
            <w:tcW w:w="3260" w:type="dxa"/>
            <w:tcBorders>
              <w:top w:val="nil"/>
              <w:left w:val="nil"/>
              <w:bottom w:val="single" w:color="000000" w:sz="4" w:space="0"/>
              <w:right w:val="single" w:color="000000" w:sz="4" w:space="0"/>
            </w:tcBorders>
            <w:shd w:val="clear" w:color="auto" w:fill="auto"/>
            <w:noWrap/>
            <w:vAlign w:val="center"/>
          </w:tcPr>
          <w:p w14:paraId="1F2762C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1.174</w:t>
            </w:r>
          </w:p>
        </w:tc>
        <w:tc>
          <w:tcPr>
            <w:tcW w:w="1559" w:type="dxa"/>
            <w:tcBorders>
              <w:top w:val="nil"/>
              <w:left w:val="nil"/>
              <w:bottom w:val="single" w:color="000000" w:sz="4" w:space="0"/>
              <w:right w:val="single" w:color="000000" w:sz="4" w:space="0"/>
            </w:tcBorders>
            <w:shd w:val="clear" w:color="auto" w:fill="auto"/>
            <w:noWrap/>
            <w:vAlign w:val="center"/>
          </w:tcPr>
          <w:p w14:paraId="4CC0E03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1.013</w:t>
            </w:r>
          </w:p>
        </w:tc>
      </w:tr>
      <w:tr w14:paraId="0786A846">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165C163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空气</w:t>
            </w:r>
          </w:p>
        </w:tc>
        <w:tc>
          <w:tcPr>
            <w:tcW w:w="1474" w:type="dxa"/>
            <w:tcBorders>
              <w:top w:val="nil"/>
              <w:left w:val="nil"/>
              <w:bottom w:val="single" w:color="000000" w:sz="4" w:space="0"/>
              <w:right w:val="single" w:color="000000" w:sz="4" w:space="0"/>
            </w:tcBorders>
            <w:shd w:val="clear" w:color="auto" w:fill="auto"/>
            <w:noWrap/>
            <w:vAlign w:val="center"/>
          </w:tcPr>
          <w:p w14:paraId="7CAA05B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一</w:t>
            </w:r>
          </w:p>
        </w:tc>
        <w:tc>
          <w:tcPr>
            <w:tcW w:w="3260" w:type="dxa"/>
            <w:tcBorders>
              <w:top w:val="nil"/>
              <w:left w:val="nil"/>
              <w:bottom w:val="single" w:color="000000" w:sz="4" w:space="0"/>
              <w:right w:val="single" w:color="000000" w:sz="4" w:space="0"/>
            </w:tcBorders>
            <w:shd w:val="clear" w:color="auto" w:fill="auto"/>
            <w:noWrap/>
            <w:vAlign w:val="center"/>
          </w:tcPr>
          <w:p w14:paraId="32BA3A5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1.205</w:t>
            </w:r>
          </w:p>
        </w:tc>
        <w:tc>
          <w:tcPr>
            <w:tcW w:w="1559" w:type="dxa"/>
            <w:tcBorders>
              <w:top w:val="nil"/>
              <w:left w:val="nil"/>
              <w:bottom w:val="single" w:color="000000" w:sz="4" w:space="0"/>
              <w:right w:val="single" w:color="000000" w:sz="4" w:space="0"/>
            </w:tcBorders>
            <w:shd w:val="clear" w:color="auto" w:fill="auto"/>
            <w:noWrap/>
            <w:vAlign w:val="center"/>
          </w:tcPr>
          <w:p w14:paraId="238364D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1.000</w:t>
            </w:r>
          </w:p>
        </w:tc>
      </w:tr>
      <w:tr w14:paraId="69579409">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38AF252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乙烷</w:t>
            </w:r>
          </w:p>
        </w:tc>
        <w:tc>
          <w:tcPr>
            <w:tcW w:w="1474" w:type="dxa"/>
            <w:tcBorders>
              <w:top w:val="nil"/>
              <w:left w:val="nil"/>
              <w:bottom w:val="single" w:color="000000" w:sz="4" w:space="0"/>
              <w:right w:val="single" w:color="000000" w:sz="4" w:space="0"/>
            </w:tcBorders>
            <w:shd w:val="clear" w:color="auto" w:fill="auto"/>
            <w:noWrap/>
            <w:vAlign w:val="center"/>
          </w:tcPr>
          <w:p w14:paraId="293FA5E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w:t>
            </w:r>
            <w:r>
              <w:rPr>
                <w:rFonts w:ascii="Arial" w:hAnsi="Arial" w:cs="Arial"/>
                <w:color w:val="auto"/>
                <w:kern w:val="0"/>
                <w:sz w:val="20"/>
                <w:szCs w:val="20"/>
                <w:highlight w:val="none"/>
                <w:vertAlign w:val="subscript"/>
              </w:rPr>
              <w:t>2</w:t>
            </w:r>
            <w:r>
              <w:rPr>
                <w:rFonts w:ascii="Arial" w:hAnsi="Arial" w:cs="Arial"/>
                <w:color w:val="auto"/>
                <w:kern w:val="0"/>
                <w:sz w:val="20"/>
                <w:szCs w:val="20"/>
                <w:highlight w:val="none"/>
              </w:rPr>
              <w:t>H</w:t>
            </w:r>
            <w:r>
              <w:rPr>
                <w:rFonts w:hint="eastAsia" w:ascii="Arial" w:hAnsi="Arial" w:cs="Arial"/>
                <w:color w:val="auto"/>
                <w:kern w:val="0"/>
                <w:sz w:val="20"/>
                <w:szCs w:val="20"/>
                <w:highlight w:val="none"/>
                <w:vertAlign w:val="subscript"/>
              </w:rPr>
              <w:t>6</w:t>
            </w:r>
          </w:p>
        </w:tc>
        <w:tc>
          <w:tcPr>
            <w:tcW w:w="3260" w:type="dxa"/>
            <w:tcBorders>
              <w:top w:val="nil"/>
              <w:left w:val="nil"/>
              <w:bottom w:val="single" w:color="000000" w:sz="4" w:space="0"/>
              <w:right w:val="single" w:color="000000" w:sz="4" w:space="0"/>
            </w:tcBorders>
            <w:shd w:val="clear" w:color="auto" w:fill="auto"/>
            <w:noWrap/>
            <w:vAlign w:val="center"/>
          </w:tcPr>
          <w:p w14:paraId="106CDB2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1.263</w:t>
            </w:r>
          </w:p>
        </w:tc>
        <w:tc>
          <w:tcPr>
            <w:tcW w:w="1559" w:type="dxa"/>
            <w:tcBorders>
              <w:top w:val="nil"/>
              <w:left w:val="nil"/>
              <w:bottom w:val="single" w:color="000000" w:sz="4" w:space="0"/>
              <w:right w:val="single" w:color="000000" w:sz="4" w:space="0"/>
            </w:tcBorders>
            <w:shd w:val="clear" w:color="auto" w:fill="auto"/>
            <w:noWrap/>
            <w:vAlign w:val="center"/>
          </w:tcPr>
          <w:p w14:paraId="27DF367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0.977</w:t>
            </w:r>
          </w:p>
        </w:tc>
      </w:tr>
      <w:tr w14:paraId="0D13898B">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22DDEFF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氧气</w:t>
            </w:r>
          </w:p>
        </w:tc>
        <w:tc>
          <w:tcPr>
            <w:tcW w:w="1474" w:type="dxa"/>
            <w:tcBorders>
              <w:top w:val="nil"/>
              <w:left w:val="nil"/>
              <w:bottom w:val="single" w:color="000000" w:sz="4" w:space="0"/>
              <w:right w:val="single" w:color="000000" w:sz="4" w:space="0"/>
            </w:tcBorders>
            <w:shd w:val="clear" w:color="auto" w:fill="auto"/>
            <w:noWrap/>
            <w:vAlign w:val="center"/>
          </w:tcPr>
          <w:p w14:paraId="32E2AB1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w:t>
            </w:r>
            <w:r>
              <w:rPr>
                <w:rFonts w:ascii="Arial" w:hAnsi="Arial" w:cs="Arial"/>
                <w:color w:val="auto"/>
                <w:kern w:val="0"/>
                <w:sz w:val="20"/>
                <w:szCs w:val="20"/>
                <w:highlight w:val="none"/>
                <w:vertAlign w:val="subscript"/>
              </w:rPr>
              <w:t>2</w:t>
            </w:r>
          </w:p>
        </w:tc>
        <w:tc>
          <w:tcPr>
            <w:tcW w:w="3260" w:type="dxa"/>
            <w:tcBorders>
              <w:top w:val="nil"/>
              <w:left w:val="nil"/>
              <w:bottom w:val="single" w:color="000000" w:sz="4" w:space="0"/>
              <w:right w:val="single" w:color="000000" w:sz="4" w:space="0"/>
            </w:tcBorders>
            <w:shd w:val="clear" w:color="auto" w:fill="auto"/>
            <w:noWrap/>
            <w:vAlign w:val="center"/>
          </w:tcPr>
          <w:p w14:paraId="0F914A6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1.331</w:t>
            </w:r>
          </w:p>
        </w:tc>
        <w:tc>
          <w:tcPr>
            <w:tcW w:w="1559" w:type="dxa"/>
            <w:tcBorders>
              <w:top w:val="nil"/>
              <w:left w:val="nil"/>
              <w:bottom w:val="single" w:color="000000" w:sz="4" w:space="0"/>
              <w:right w:val="single" w:color="000000" w:sz="4" w:space="0"/>
            </w:tcBorders>
            <w:shd w:val="clear" w:color="auto" w:fill="auto"/>
            <w:noWrap/>
            <w:vAlign w:val="center"/>
          </w:tcPr>
          <w:p w14:paraId="1AAB930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0.951</w:t>
            </w:r>
          </w:p>
        </w:tc>
      </w:tr>
      <w:tr w14:paraId="5D7E6F2F">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7417D79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硫化氢</w:t>
            </w:r>
          </w:p>
        </w:tc>
        <w:tc>
          <w:tcPr>
            <w:tcW w:w="1474" w:type="dxa"/>
            <w:tcBorders>
              <w:top w:val="nil"/>
              <w:left w:val="nil"/>
              <w:bottom w:val="single" w:color="000000" w:sz="4" w:space="0"/>
              <w:right w:val="single" w:color="000000" w:sz="4" w:space="0"/>
            </w:tcBorders>
            <w:shd w:val="clear" w:color="auto" w:fill="auto"/>
            <w:noWrap/>
            <w:vAlign w:val="center"/>
          </w:tcPr>
          <w:p w14:paraId="4A4860B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H</w:t>
            </w:r>
            <w:r>
              <w:rPr>
                <w:rFonts w:hint="eastAsia" w:ascii="Arial" w:hAnsi="Arial" w:cs="Arial"/>
                <w:color w:val="auto"/>
                <w:kern w:val="0"/>
                <w:sz w:val="20"/>
                <w:szCs w:val="20"/>
                <w:highlight w:val="none"/>
                <w:vertAlign w:val="subscript"/>
              </w:rPr>
              <w:t>2</w:t>
            </w:r>
            <w:r>
              <w:rPr>
                <w:rFonts w:ascii="Arial" w:hAnsi="Arial" w:cs="Arial"/>
                <w:color w:val="auto"/>
                <w:kern w:val="0"/>
                <w:sz w:val="20"/>
                <w:szCs w:val="20"/>
                <w:highlight w:val="none"/>
              </w:rPr>
              <w:t>S</w:t>
            </w:r>
          </w:p>
        </w:tc>
        <w:tc>
          <w:tcPr>
            <w:tcW w:w="3260" w:type="dxa"/>
            <w:tcBorders>
              <w:top w:val="nil"/>
              <w:left w:val="nil"/>
              <w:bottom w:val="single" w:color="000000" w:sz="4" w:space="0"/>
              <w:right w:val="single" w:color="000000" w:sz="4" w:space="0"/>
            </w:tcBorders>
            <w:shd w:val="clear" w:color="auto" w:fill="auto"/>
            <w:noWrap/>
            <w:vAlign w:val="center"/>
          </w:tcPr>
          <w:p w14:paraId="7C33E4F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1.434</w:t>
            </w:r>
          </w:p>
        </w:tc>
        <w:tc>
          <w:tcPr>
            <w:tcW w:w="1559" w:type="dxa"/>
            <w:tcBorders>
              <w:top w:val="nil"/>
              <w:left w:val="nil"/>
              <w:bottom w:val="single" w:color="000000" w:sz="4" w:space="0"/>
              <w:right w:val="single" w:color="000000" w:sz="4" w:space="0"/>
            </w:tcBorders>
            <w:shd w:val="clear" w:color="auto" w:fill="auto"/>
            <w:noWrap/>
            <w:vAlign w:val="center"/>
          </w:tcPr>
          <w:p w14:paraId="627A75F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0.917</w:t>
            </w:r>
          </w:p>
        </w:tc>
      </w:tr>
      <w:tr w14:paraId="0D30BE30">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6E2CDA3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氯化氢</w:t>
            </w:r>
          </w:p>
        </w:tc>
        <w:tc>
          <w:tcPr>
            <w:tcW w:w="1474" w:type="dxa"/>
            <w:tcBorders>
              <w:top w:val="nil"/>
              <w:left w:val="nil"/>
              <w:bottom w:val="single" w:color="000000" w:sz="4" w:space="0"/>
              <w:right w:val="single" w:color="000000" w:sz="4" w:space="0"/>
            </w:tcBorders>
            <w:shd w:val="clear" w:color="auto" w:fill="auto"/>
            <w:noWrap/>
            <w:vAlign w:val="center"/>
          </w:tcPr>
          <w:p w14:paraId="3F7D687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HCI</w:t>
            </w:r>
          </w:p>
        </w:tc>
        <w:tc>
          <w:tcPr>
            <w:tcW w:w="3260" w:type="dxa"/>
            <w:tcBorders>
              <w:top w:val="nil"/>
              <w:left w:val="nil"/>
              <w:bottom w:val="single" w:color="000000" w:sz="4" w:space="0"/>
              <w:right w:val="single" w:color="000000" w:sz="4" w:space="0"/>
            </w:tcBorders>
            <w:shd w:val="clear" w:color="auto" w:fill="auto"/>
            <w:noWrap/>
            <w:vAlign w:val="center"/>
          </w:tcPr>
          <w:p w14:paraId="1F2A344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1.527</w:t>
            </w:r>
          </w:p>
        </w:tc>
        <w:tc>
          <w:tcPr>
            <w:tcW w:w="1559" w:type="dxa"/>
            <w:tcBorders>
              <w:top w:val="nil"/>
              <w:left w:val="nil"/>
              <w:bottom w:val="single" w:color="000000" w:sz="4" w:space="0"/>
              <w:right w:val="single" w:color="000000" w:sz="4" w:space="0"/>
            </w:tcBorders>
            <w:shd w:val="clear" w:color="auto" w:fill="auto"/>
            <w:noWrap/>
            <w:vAlign w:val="center"/>
          </w:tcPr>
          <w:p w14:paraId="6DB12AE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0.888</w:t>
            </w:r>
          </w:p>
        </w:tc>
      </w:tr>
      <w:tr w14:paraId="37B1F2D9">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45BD272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氩气</w:t>
            </w:r>
          </w:p>
        </w:tc>
        <w:tc>
          <w:tcPr>
            <w:tcW w:w="1474" w:type="dxa"/>
            <w:tcBorders>
              <w:top w:val="nil"/>
              <w:left w:val="nil"/>
              <w:bottom w:val="single" w:color="000000" w:sz="4" w:space="0"/>
              <w:right w:val="single" w:color="000000" w:sz="4" w:space="0"/>
            </w:tcBorders>
            <w:shd w:val="clear" w:color="auto" w:fill="auto"/>
            <w:noWrap/>
            <w:vAlign w:val="center"/>
          </w:tcPr>
          <w:p w14:paraId="295EF65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Ar</w:t>
            </w:r>
          </w:p>
        </w:tc>
        <w:tc>
          <w:tcPr>
            <w:tcW w:w="3260" w:type="dxa"/>
            <w:tcBorders>
              <w:top w:val="nil"/>
              <w:left w:val="nil"/>
              <w:bottom w:val="single" w:color="000000" w:sz="4" w:space="0"/>
              <w:right w:val="single" w:color="000000" w:sz="4" w:space="0"/>
            </w:tcBorders>
            <w:shd w:val="clear" w:color="auto" w:fill="auto"/>
            <w:noWrap/>
            <w:vAlign w:val="center"/>
          </w:tcPr>
          <w:p w14:paraId="254E8CD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1.662</w:t>
            </w:r>
          </w:p>
        </w:tc>
        <w:tc>
          <w:tcPr>
            <w:tcW w:w="1559" w:type="dxa"/>
            <w:tcBorders>
              <w:top w:val="nil"/>
              <w:left w:val="nil"/>
              <w:bottom w:val="single" w:color="000000" w:sz="4" w:space="0"/>
              <w:right w:val="single" w:color="000000" w:sz="4" w:space="0"/>
            </w:tcBorders>
            <w:shd w:val="clear" w:color="auto" w:fill="auto"/>
            <w:noWrap/>
            <w:vAlign w:val="center"/>
          </w:tcPr>
          <w:p w14:paraId="6F80F81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0.851</w:t>
            </w:r>
          </w:p>
        </w:tc>
      </w:tr>
      <w:tr w14:paraId="054C468F">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540AB59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丙烷</w:t>
            </w:r>
          </w:p>
        </w:tc>
        <w:tc>
          <w:tcPr>
            <w:tcW w:w="1474" w:type="dxa"/>
            <w:tcBorders>
              <w:top w:val="nil"/>
              <w:left w:val="nil"/>
              <w:bottom w:val="single" w:color="000000" w:sz="4" w:space="0"/>
              <w:right w:val="single" w:color="000000" w:sz="4" w:space="0"/>
            </w:tcBorders>
            <w:shd w:val="clear" w:color="auto" w:fill="auto"/>
            <w:noWrap/>
            <w:vAlign w:val="center"/>
          </w:tcPr>
          <w:p w14:paraId="0617C8C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w:t>
            </w:r>
            <w:r>
              <w:rPr>
                <w:rFonts w:hint="eastAsia" w:ascii="Arial" w:hAnsi="Arial" w:cs="Arial"/>
                <w:color w:val="auto"/>
                <w:kern w:val="0"/>
                <w:sz w:val="20"/>
                <w:szCs w:val="20"/>
                <w:highlight w:val="none"/>
                <w:vertAlign w:val="subscript"/>
              </w:rPr>
              <w:t>3</w:t>
            </w:r>
            <w:r>
              <w:rPr>
                <w:rFonts w:ascii="Arial" w:hAnsi="Arial" w:cs="Arial"/>
                <w:color w:val="auto"/>
                <w:kern w:val="0"/>
                <w:sz w:val="20"/>
                <w:szCs w:val="20"/>
                <w:highlight w:val="none"/>
              </w:rPr>
              <w:t>H</w:t>
            </w:r>
            <w:r>
              <w:rPr>
                <w:rFonts w:hint="eastAsia" w:ascii="Arial" w:hAnsi="Arial" w:cs="Arial"/>
                <w:color w:val="auto"/>
                <w:kern w:val="0"/>
                <w:sz w:val="20"/>
                <w:szCs w:val="20"/>
                <w:highlight w:val="none"/>
                <w:vertAlign w:val="subscript"/>
              </w:rPr>
              <w:t>8</w:t>
            </w:r>
          </w:p>
        </w:tc>
        <w:tc>
          <w:tcPr>
            <w:tcW w:w="3260" w:type="dxa"/>
            <w:tcBorders>
              <w:top w:val="nil"/>
              <w:left w:val="nil"/>
              <w:bottom w:val="single" w:color="000000" w:sz="4" w:space="0"/>
              <w:right w:val="single" w:color="000000" w:sz="4" w:space="0"/>
            </w:tcBorders>
            <w:shd w:val="clear" w:color="auto" w:fill="auto"/>
            <w:noWrap/>
            <w:vAlign w:val="center"/>
          </w:tcPr>
          <w:p w14:paraId="5365F84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1.867</w:t>
            </w:r>
          </w:p>
        </w:tc>
        <w:tc>
          <w:tcPr>
            <w:tcW w:w="1559" w:type="dxa"/>
            <w:tcBorders>
              <w:top w:val="nil"/>
              <w:left w:val="nil"/>
              <w:bottom w:val="single" w:color="000000" w:sz="4" w:space="0"/>
              <w:right w:val="single" w:color="000000" w:sz="4" w:space="0"/>
            </w:tcBorders>
            <w:shd w:val="clear" w:color="auto" w:fill="auto"/>
            <w:noWrap/>
            <w:vAlign w:val="center"/>
          </w:tcPr>
          <w:p w14:paraId="6047C6F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0.803</w:t>
            </w:r>
          </w:p>
        </w:tc>
      </w:tr>
      <w:tr w14:paraId="13D535DE">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0373767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二氧化碳</w:t>
            </w:r>
          </w:p>
        </w:tc>
        <w:tc>
          <w:tcPr>
            <w:tcW w:w="1474" w:type="dxa"/>
            <w:tcBorders>
              <w:top w:val="nil"/>
              <w:left w:val="nil"/>
              <w:bottom w:val="single" w:color="000000" w:sz="4" w:space="0"/>
              <w:right w:val="single" w:color="000000" w:sz="4" w:space="0"/>
            </w:tcBorders>
            <w:shd w:val="clear" w:color="auto" w:fill="auto"/>
            <w:noWrap/>
            <w:vAlign w:val="center"/>
          </w:tcPr>
          <w:p w14:paraId="1A70058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CO</w:t>
            </w:r>
            <w:r>
              <w:rPr>
                <w:rFonts w:ascii="Arial" w:hAnsi="Arial" w:cs="Arial"/>
                <w:color w:val="auto"/>
                <w:kern w:val="0"/>
                <w:sz w:val="20"/>
                <w:szCs w:val="20"/>
                <w:highlight w:val="none"/>
                <w:vertAlign w:val="subscript"/>
              </w:rPr>
              <w:t>2</w:t>
            </w:r>
          </w:p>
        </w:tc>
        <w:tc>
          <w:tcPr>
            <w:tcW w:w="3260" w:type="dxa"/>
            <w:tcBorders>
              <w:top w:val="nil"/>
              <w:left w:val="nil"/>
              <w:bottom w:val="single" w:color="000000" w:sz="4" w:space="0"/>
              <w:right w:val="single" w:color="000000" w:sz="4" w:space="0"/>
            </w:tcBorders>
            <w:shd w:val="clear" w:color="auto" w:fill="auto"/>
            <w:noWrap/>
            <w:vAlign w:val="center"/>
          </w:tcPr>
          <w:p w14:paraId="092E64A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1.824</w:t>
            </w:r>
          </w:p>
        </w:tc>
        <w:tc>
          <w:tcPr>
            <w:tcW w:w="1559" w:type="dxa"/>
            <w:tcBorders>
              <w:top w:val="nil"/>
              <w:left w:val="nil"/>
              <w:bottom w:val="single" w:color="000000" w:sz="4" w:space="0"/>
              <w:right w:val="single" w:color="000000" w:sz="4" w:space="0"/>
            </w:tcBorders>
            <w:shd w:val="clear" w:color="auto" w:fill="auto"/>
            <w:noWrap/>
            <w:vAlign w:val="center"/>
          </w:tcPr>
          <w:p w14:paraId="4644D53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0.813</w:t>
            </w:r>
          </w:p>
        </w:tc>
      </w:tr>
      <w:tr w14:paraId="5C0FEEFD">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24AF49C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氯甲烷</w:t>
            </w:r>
          </w:p>
        </w:tc>
        <w:tc>
          <w:tcPr>
            <w:tcW w:w="1474" w:type="dxa"/>
            <w:tcBorders>
              <w:top w:val="nil"/>
              <w:left w:val="nil"/>
              <w:bottom w:val="single" w:color="000000" w:sz="4" w:space="0"/>
              <w:right w:val="single" w:color="000000" w:sz="4" w:space="0"/>
            </w:tcBorders>
            <w:shd w:val="clear" w:color="auto" w:fill="auto"/>
            <w:noWrap/>
            <w:vAlign w:val="center"/>
          </w:tcPr>
          <w:p w14:paraId="7EF07CF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CH</w:t>
            </w:r>
            <w:r>
              <w:rPr>
                <w:rFonts w:hint="eastAsia" w:ascii="Arial" w:hAnsi="Arial" w:cs="Arial"/>
                <w:color w:val="auto"/>
                <w:kern w:val="0"/>
                <w:sz w:val="20"/>
                <w:szCs w:val="20"/>
                <w:highlight w:val="none"/>
                <w:vertAlign w:val="subscript"/>
              </w:rPr>
              <w:t>3</w:t>
            </w:r>
            <w:r>
              <w:rPr>
                <w:rFonts w:ascii="Arial" w:hAnsi="Arial" w:cs="Arial"/>
                <w:color w:val="auto"/>
                <w:kern w:val="0"/>
                <w:sz w:val="20"/>
                <w:szCs w:val="20"/>
                <w:highlight w:val="none"/>
              </w:rPr>
              <w:t>CI</w:t>
            </w:r>
          </w:p>
        </w:tc>
        <w:tc>
          <w:tcPr>
            <w:tcW w:w="3260" w:type="dxa"/>
            <w:tcBorders>
              <w:top w:val="nil"/>
              <w:left w:val="nil"/>
              <w:bottom w:val="single" w:color="000000" w:sz="4" w:space="0"/>
              <w:right w:val="single" w:color="000000" w:sz="4" w:space="0"/>
            </w:tcBorders>
            <w:shd w:val="clear" w:color="auto" w:fill="auto"/>
            <w:noWrap/>
            <w:vAlign w:val="center"/>
          </w:tcPr>
          <w:p w14:paraId="0ED7492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2.147</w:t>
            </w:r>
          </w:p>
        </w:tc>
        <w:tc>
          <w:tcPr>
            <w:tcW w:w="1559" w:type="dxa"/>
            <w:tcBorders>
              <w:top w:val="nil"/>
              <w:left w:val="nil"/>
              <w:bottom w:val="single" w:color="000000" w:sz="4" w:space="0"/>
              <w:right w:val="single" w:color="000000" w:sz="4" w:space="0"/>
            </w:tcBorders>
            <w:shd w:val="clear" w:color="auto" w:fill="auto"/>
            <w:noWrap/>
            <w:vAlign w:val="center"/>
          </w:tcPr>
          <w:p w14:paraId="7324A94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0.749</w:t>
            </w:r>
          </w:p>
        </w:tc>
      </w:tr>
      <w:tr w14:paraId="46A7D681">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22EF8A0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丁烷</w:t>
            </w:r>
          </w:p>
        </w:tc>
        <w:tc>
          <w:tcPr>
            <w:tcW w:w="1474" w:type="dxa"/>
            <w:tcBorders>
              <w:top w:val="nil"/>
              <w:left w:val="nil"/>
              <w:bottom w:val="single" w:color="000000" w:sz="4" w:space="0"/>
              <w:right w:val="single" w:color="000000" w:sz="4" w:space="0"/>
            </w:tcBorders>
            <w:shd w:val="clear" w:color="auto" w:fill="auto"/>
            <w:noWrap/>
            <w:vAlign w:val="center"/>
          </w:tcPr>
          <w:p w14:paraId="40E7D60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w:t>
            </w:r>
            <w:r>
              <w:rPr>
                <w:rFonts w:hint="eastAsia" w:ascii="Arial" w:hAnsi="Arial" w:cs="Arial"/>
                <w:color w:val="auto"/>
                <w:kern w:val="0"/>
                <w:sz w:val="20"/>
                <w:szCs w:val="20"/>
                <w:highlight w:val="none"/>
                <w:vertAlign w:val="subscript"/>
              </w:rPr>
              <w:t>4</w:t>
            </w:r>
            <w:r>
              <w:rPr>
                <w:rFonts w:ascii="Arial" w:hAnsi="Arial" w:cs="Arial"/>
                <w:color w:val="auto"/>
                <w:kern w:val="0"/>
                <w:sz w:val="20"/>
                <w:szCs w:val="20"/>
                <w:highlight w:val="none"/>
              </w:rPr>
              <w:t>H</w:t>
            </w:r>
            <w:r>
              <w:rPr>
                <w:rFonts w:ascii="Arial" w:hAnsi="Arial" w:cs="Arial"/>
                <w:color w:val="auto"/>
                <w:kern w:val="0"/>
                <w:sz w:val="20"/>
                <w:szCs w:val="20"/>
                <w:highlight w:val="none"/>
                <w:vertAlign w:val="subscript"/>
              </w:rPr>
              <w:t>1</w:t>
            </w:r>
            <w:r>
              <w:rPr>
                <w:rFonts w:hint="eastAsia" w:ascii="Arial" w:hAnsi="Arial" w:cs="Arial"/>
                <w:color w:val="auto"/>
                <w:kern w:val="0"/>
                <w:sz w:val="20"/>
                <w:szCs w:val="20"/>
                <w:highlight w:val="none"/>
                <w:vertAlign w:val="subscript"/>
              </w:rPr>
              <w:t>0</w:t>
            </w:r>
          </w:p>
        </w:tc>
        <w:tc>
          <w:tcPr>
            <w:tcW w:w="3260" w:type="dxa"/>
            <w:tcBorders>
              <w:top w:val="nil"/>
              <w:left w:val="nil"/>
              <w:bottom w:val="single" w:color="000000" w:sz="4" w:space="0"/>
              <w:right w:val="single" w:color="000000" w:sz="4" w:space="0"/>
            </w:tcBorders>
            <w:shd w:val="clear" w:color="auto" w:fill="auto"/>
            <w:noWrap/>
            <w:vAlign w:val="center"/>
          </w:tcPr>
          <w:p w14:paraId="75DEE05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2.416</w:t>
            </w:r>
          </w:p>
        </w:tc>
        <w:tc>
          <w:tcPr>
            <w:tcW w:w="1559" w:type="dxa"/>
            <w:tcBorders>
              <w:top w:val="nil"/>
              <w:left w:val="nil"/>
              <w:bottom w:val="single" w:color="000000" w:sz="4" w:space="0"/>
              <w:right w:val="single" w:color="000000" w:sz="4" w:space="0"/>
            </w:tcBorders>
            <w:shd w:val="clear" w:color="auto" w:fill="auto"/>
            <w:noWrap/>
            <w:vAlign w:val="center"/>
          </w:tcPr>
          <w:p w14:paraId="3F33805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0.706</w:t>
            </w:r>
          </w:p>
        </w:tc>
      </w:tr>
      <w:tr w14:paraId="3B3EB86D">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283C4DE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二氧化硫</w:t>
            </w:r>
          </w:p>
        </w:tc>
        <w:tc>
          <w:tcPr>
            <w:tcW w:w="1474" w:type="dxa"/>
            <w:tcBorders>
              <w:top w:val="nil"/>
              <w:left w:val="nil"/>
              <w:bottom w:val="single" w:color="000000" w:sz="4" w:space="0"/>
              <w:right w:val="single" w:color="000000" w:sz="4" w:space="0"/>
            </w:tcBorders>
            <w:shd w:val="clear" w:color="auto" w:fill="auto"/>
            <w:noWrap/>
            <w:vAlign w:val="center"/>
          </w:tcPr>
          <w:p w14:paraId="21E6B26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SO</w:t>
            </w:r>
            <w:r>
              <w:rPr>
                <w:rFonts w:ascii="Arial" w:hAnsi="Arial" w:cs="Arial"/>
                <w:color w:val="auto"/>
                <w:kern w:val="0"/>
                <w:sz w:val="20"/>
                <w:szCs w:val="20"/>
                <w:highlight w:val="none"/>
                <w:vertAlign w:val="subscript"/>
              </w:rPr>
              <w:t>2</w:t>
            </w:r>
          </w:p>
        </w:tc>
        <w:tc>
          <w:tcPr>
            <w:tcW w:w="3260" w:type="dxa"/>
            <w:tcBorders>
              <w:top w:val="nil"/>
              <w:left w:val="nil"/>
              <w:bottom w:val="single" w:color="000000" w:sz="4" w:space="0"/>
              <w:right w:val="single" w:color="000000" w:sz="4" w:space="0"/>
            </w:tcBorders>
            <w:shd w:val="clear" w:color="auto" w:fill="auto"/>
            <w:noWrap/>
            <w:vAlign w:val="center"/>
          </w:tcPr>
          <w:p w14:paraId="7E551EB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2.726</w:t>
            </w:r>
          </w:p>
        </w:tc>
        <w:tc>
          <w:tcPr>
            <w:tcW w:w="1559" w:type="dxa"/>
            <w:tcBorders>
              <w:top w:val="nil"/>
              <w:left w:val="nil"/>
              <w:bottom w:val="single" w:color="000000" w:sz="4" w:space="0"/>
              <w:right w:val="single" w:color="000000" w:sz="4" w:space="0"/>
            </w:tcBorders>
            <w:shd w:val="clear" w:color="auto" w:fill="auto"/>
            <w:noWrap/>
            <w:vAlign w:val="center"/>
          </w:tcPr>
          <w:p w14:paraId="39CF8EC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0.665</w:t>
            </w:r>
          </w:p>
        </w:tc>
      </w:tr>
      <w:tr w14:paraId="214F5A8F">
        <w:tblPrEx>
          <w:tblCellMar>
            <w:top w:w="0" w:type="dxa"/>
            <w:left w:w="108" w:type="dxa"/>
            <w:bottom w:w="0" w:type="dxa"/>
            <w:right w:w="108" w:type="dxa"/>
          </w:tblCellMar>
        </w:tblPrEx>
        <w:trPr>
          <w:trHeight w:val="255" w:hRule="atLeast"/>
          <w:jc w:val="center"/>
        </w:trPr>
        <w:tc>
          <w:tcPr>
            <w:tcW w:w="1504" w:type="dxa"/>
            <w:tcBorders>
              <w:top w:val="nil"/>
              <w:left w:val="single" w:color="000000" w:sz="4" w:space="0"/>
              <w:bottom w:val="single" w:color="000000" w:sz="4" w:space="0"/>
              <w:right w:val="single" w:color="000000" w:sz="4" w:space="0"/>
            </w:tcBorders>
            <w:shd w:val="clear" w:color="auto" w:fill="auto"/>
            <w:noWrap/>
            <w:vAlign w:val="center"/>
          </w:tcPr>
          <w:p w14:paraId="5EA8F45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氯气</w:t>
            </w:r>
          </w:p>
        </w:tc>
        <w:tc>
          <w:tcPr>
            <w:tcW w:w="1474" w:type="dxa"/>
            <w:tcBorders>
              <w:top w:val="nil"/>
              <w:left w:val="nil"/>
              <w:bottom w:val="single" w:color="000000" w:sz="4" w:space="0"/>
              <w:right w:val="single" w:color="000000" w:sz="4" w:space="0"/>
            </w:tcBorders>
            <w:shd w:val="clear" w:color="auto" w:fill="auto"/>
            <w:noWrap/>
            <w:vAlign w:val="center"/>
          </w:tcPr>
          <w:p w14:paraId="16AADAD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CL</w:t>
            </w:r>
            <w:r>
              <w:rPr>
                <w:rFonts w:ascii="Arial" w:hAnsi="Arial" w:cs="Arial"/>
                <w:color w:val="auto"/>
                <w:kern w:val="0"/>
                <w:sz w:val="20"/>
                <w:szCs w:val="20"/>
                <w:highlight w:val="none"/>
                <w:vertAlign w:val="subscript"/>
              </w:rPr>
              <w:t>2</w:t>
            </w:r>
          </w:p>
        </w:tc>
        <w:tc>
          <w:tcPr>
            <w:tcW w:w="3260" w:type="dxa"/>
            <w:tcBorders>
              <w:top w:val="nil"/>
              <w:left w:val="nil"/>
              <w:bottom w:val="single" w:color="000000" w:sz="4" w:space="0"/>
              <w:right w:val="single" w:color="000000" w:sz="4" w:space="0"/>
            </w:tcBorders>
            <w:shd w:val="clear" w:color="auto" w:fill="auto"/>
            <w:noWrap/>
            <w:vAlign w:val="center"/>
          </w:tcPr>
          <w:p w14:paraId="3497399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3.000</w:t>
            </w:r>
          </w:p>
        </w:tc>
        <w:tc>
          <w:tcPr>
            <w:tcW w:w="1559" w:type="dxa"/>
            <w:tcBorders>
              <w:top w:val="nil"/>
              <w:left w:val="nil"/>
              <w:bottom w:val="single" w:color="000000" w:sz="4" w:space="0"/>
              <w:right w:val="single" w:color="000000" w:sz="4" w:space="0"/>
            </w:tcBorders>
            <w:shd w:val="clear" w:color="auto" w:fill="auto"/>
            <w:noWrap/>
            <w:vAlign w:val="center"/>
          </w:tcPr>
          <w:p w14:paraId="0C75B02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0.634</w:t>
            </w:r>
          </w:p>
        </w:tc>
      </w:tr>
    </w:tbl>
    <w:p w14:paraId="663E6216">
      <w:pPr>
        <w:spacing w:line="276" w:lineRule="auto"/>
        <w:ind w:firstLine="420" w:firstLineChars="200"/>
        <w:rPr>
          <w:rFonts w:ascii="Times New Roman" w:hAnsi="Times New Roman"/>
          <w:color w:val="auto"/>
          <w:highlight w:val="none"/>
        </w:rPr>
      </w:pPr>
    </w:p>
    <w:p w14:paraId="0DD521B6">
      <w:pPr>
        <w:spacing w:line="276" w:lineRule="auto"/>
        <w:jc w:val="center"/>
        <w:outlineLvl w:val="0"/>
        <w:rPr>
          <w:rFonts w:ascii="Times New Roman" w:hAnsi="Times New Roman"/>
          <w:color w:val="auto"/>
          <w:highlight w:val="none"/>
        </w:rPr>
      </w:pPr>
      <w:r>
        <w:rPr>
          <w:rFonts w:ascii="Times New Roman" w:hAnsi="Times New Roman"/>
          <w:color w:val="auto"/>
          <w:highlight w:val="none"/>
        </w:rPr>
        <w:br w:type="page"/>
      </w:r>
      <w:bookmarkStart w:id="91" w:name="_Toc24444"/>
      <w:r>
        <w:rPr>
          <w:rFonts w:hint="eastAsia" w:ascii="Times New Roman" w:hAnsi="Times New Roman"/>
          <w:color w:val="auto"/>
          <w:highlight w:val="none"/>
        </w:rPr>
        <w:t>表B.2 常用气体压力换算系数</w:t>
      </w:r>
      <w:bookmarkEnd w:id="91"/>
    </w:p>
    <w:tbl>
      <w:tblPr>
        <w:tblStyle w:val="28"/>
        <w:tblW w:w="8388" w:type="dxa"/>
        <w:tblInd w:w="113" w:type="dxa"/>
        <w:tblLayout w:type="fixed"/>
        <w:tblCellMar>
          <w:top w:w="0" w:type="dxa"/>
          <w:left w:w="108" w:type="dxa"/>
          <w:bottom w:w="0" w:type="dxa"/>
          <w:right w:w="108" w:type="dxa"/>
        </w:tblCellMar>
      </w:tblPr>
      <w:tblGrid>
        <w:gridCol w:w="1480"/>
        <w:gridCol w:w="717"/>
        <w:gridCol w:w="1400"/>
        <w:gridCol w:w="717"/>
        <w:gridCol w:w="1400"/>
        <w:gridCol w:w="717"/>
        <w:gridCol w:w="1240"/>
        <w:gridCol w:w="717"/>
      </w:tblGrid>
      <w:tr w14:paraId="526D557B">
        <w:tblPrEx>
          <w:tblCellMar>
            <w:top w:w="0" w:type="dxa"/>
            <w:left w:w="108" w:type="dxa"/>
            <w:bottom w:w="0" w:type="dxa"/>
            <w:right w:w="108" w:type="dxa"/>
          </w:tblCellMar>
        </w:tblPrEx>
        <w:trPr>
          <w:trHeight w:val="255" w:hRule="atLeast"/>
        </w:trPr>
        <w:tc>
          <w:tcPr>
            <w:tcW w:w="14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8BBF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表压力P</w:t>
            </w:r>
            <w:r>
              <w:rPr>
                <w:rFonts w:hint="eastAsia" w:ascii="Arial" w:hAnsi="Arial" w:cs="Arial"/>
                <w:color w:val="auto"/>
                <w:kern w:val="0"/>
                <w:sz w:val="20"/>
                <w:szCs w:val="20"/>
                <w:highlight w:val="none"/>
                <w:vertAlign w:val="subscript"/>
              </w:rPr>
              <w:t>i</w:t>
            </w:r>
          </w:p>
          <w:p w14:paraId="353AABC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xml:space="preserve"> MPa</w:t>
            </w:r>
          </w:p>
        </w:tc>
        <w:tc>
          <w:tcPr>
            <w:tcW w:w="717" w:type="dxa"/>
            <w:tcBorders>
              <w:top w:val="single" w:color="000000" w:sz="4" w:space="0"/>
              <w:left w:val="nil"/>
              <w:bottom w:val="single" w:color="000000" w:sz="4" w:space="0"/>
              <w:right w:val="single" w:color="000000" w:sz="4" w:space="0"/>
            </w:tcBorders>
            <w:shd w:val="clear" w:color="auto" w:fill="auto"/>
            <w:noWrap/>
            <w:vAlign w:val="center"/>
          </w:tcPr>
          <w:p w14:paraId="6EDA125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K</w:t>
            </w:r>
            <w:r>
              <w:rPr>
                <w:rFonts w:ascii="Arial" w:hAnsi="Arial" w:cs="Arial"/>
                <w:color w:val="auto"/>
                <w:kern w:val="0"/>
                <w:sz w:val="20"/>
                <w:szCs w:val="20"/>
                <w:highlight w:val="none"/>
                <w:vertAlign w:val="subscript"/>
              </w:rPr>
              <w:t>p</w:t>
            </w: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14:paraId="426E77B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表压力P</w:t>
            </w:r>
            <w:r>
              <w:rPr>
                <w:rFonts w:hint="eastAsia" w:ascii="Arial" w:hAnsi="Arial" w:cs="Arial"/>
                <w:color w:val="auto"/>
                <w:kern w:val="0"/>
                <w:sz w:val="20"/>
                <w:szCs w:val="20"/>
                <w:highlight w:val="none"/>
                <w:vertAlign w:val="subscript"/>
              </w:rPr>
              <w:t>i</w:t>
            </w:r>
            <w:r>
              <w:rPr>
                <w:rFonts w:ascii="Arial" w:hAnsi="Arial" w:cs="Arial"/>
                <w:color w:val="auto"/>
                <w:kern w:val="0"/>
                <w:sz w:val="20"/>
                <w:szCs w:val="20"/>
                <w:highlight w:val="none"/>
              </w:rPr>
              <w:t xml:space="preserve"> MPa</w:t>
            </w:r>
          </w:p>
        </w:tc>
        <w:tc>
          <w:tcPr>
            <w:tcW w:w="717" w:type="dxa"/>
            <w:tcBorders>
              <w:top w:val="single" w:color="000000" w:sz="4" w:space="0"/>
              <w:left w:val="nil"/>
              <w:bottom w:val="single" w:color="000000" w:sz="4" w:space="0"/>
              <w:right w:val="single" w:color="000000" w:sz="4" w:space="0"/>
            </w:tcBorders>
            <w:shd w:val="clear" w:color="auto" w:fill="auto"/>
            <w:noWrap/>
            <w:vAlign w:val="center"/>
          </w:tcPr>
          <w:p w14:paraId="193322F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K</w:t>
            </w:r>
            <w:r>
              <w:rPr>
                <w:rFonts w:ascii="Arial" w:hAnsi="Arial" w:cs="Arial"/>
                <w:color w:val="auto"/>
                <w:kern w:val="0"/>
                <w:sz w:val="20"/>
                <w:szCs w:val="20"/>
                <w:highlight w:val="none"/>
                <w:vertAlign w:val="subscript"/>
              </w:rPr>
              <w:t>p</w:t>
            </w:r>
          </w:p>
        </w:tc>
        <w:tc>
          <w:tcPr>
            <w:tcW w:w="1400" w:type="dxa"/>
            <w:tcBorders>
              <w:top w:val="single" w:color="000000" w:sz="4" w:space="0"/>
              <w:left w:val="nil"/>
              <w:bottom w:val="single" w:color="000000" w:sz="4" w:space="0"/>
              <w:right w:val="single" w:color="000000" w:sz="4" w:space="0"/>
            </w:tcBorders>
            <w:shd w:val="clear" w:color="auto" w:fill="auto"/>
            <w:noWrap/>
            <w:vAlign w:val="center"/>
          </w:tcPr>
          <w:p w14:paraId="109DC21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表压力P</w:t>
            </w:r>
            <w:r>
              <w:rPr>
                <w:rFonts w:hint="eastAsia" w:ascii="Arial" w:hAnsi="Arial" w:cs="Arial"/>
                <w:color w:val="auto"/>
                <w:kern w:val="0"/>
                <w:sz w:val="20"/>
                <w:szCs w:val="20"/>
                <w:highlight w:val="none"/>
                <w:vertAlign w:val="subscript"/>
              </w:rPr>
              <w:t>i</w:t>
            </w:r>
            <w:r>
              <w:rPr>
                <w:rFonts w:ascii="Arial" w:hAnsi="Arial" w:cs="Arial"/>
                <w:color w:val="auto"/>
                <w:kern w:val="0"/>
                <w:sz w:val="20"/>
                <w:szCs w:val="20"/>
                <w:highlight w:val="none"/>
              </w:rPr>
              <w:t xml:space="preserve"> MPa</w:t>
            </w:r>
          </w:p>
        </w:tc>
        <w:tc>
          <w:tcPr>
            <w:tcW w:w="717" w:type="dxa"/>
            <w:tcBorders>
              <w:top w:val="single" w:color="000000" w:sz="4" w:space="0"/>
              <w:left w:val="nil"/>
              <w:bottom w:val="single" w:color="000000" w:sz="4" w:space="0"/>
              <w:right w:val="single" w:color="000000" w:sz="4" w:space="0"/>
            </w:tcBorders>
            <w:shd w:val="clear" w:color="auto" w:fill="auto"/>
            <w:noWrap/>
            <w:vAlign w:val="center"/>
          </w:tcPr>
          <w:p w14:paraId="67E45D8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K</w:t>
            </w:r>
            <w:r>
              <w:rPr>
                <w:rFonts w:ascii="Arial" w:hAnsi="Arial" w:cs="Arial"/>
                <w:color w:val="auto"/>
                <w:kern w:val="0"/>
                <w:sz w:val="20"/>
                <w:szCs w:val="20"/>
                <w:highlight w:val="none"/>
                <w:vertAlign w:val="subscript"/>
              </w:rPr>
              <w:t>p</w:t>
            </w:r>
          </w:p>
        </w:tc>
        <w:tc>
          <w:tcPr>
            <w:tcW w:w="1240" w:type="dxa"/>
            <w:tcBorders>
              <w:top w:val="single" w:color="000000" w:sz="4" w:space="0"/>
              <w:left w:val="nil"/>
              <w:bottom w:val="single" w:color="000000" w:sz="4" w:space="0"/>
              <w:right w:val="single" w:color="000000" w:sz="4" w:space="0"/>
            </w:tcBorders>
            <w:shd w:val="clear" w:color="auto" w:fill="auto"/>
            <w:noWrap/>
            <w:vAlign w:val="center"/>
          </w:tcPr>
          <w:p w14:paraId="005ED04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表压力</w:t>
            </w:r>
            <w:r>
              <w:rPr>
                <w:rFonts w:hint="eastAsia" w:ascii="Arial" w:hAnsi="Arial" w:cs="Arial"/>
                <w:color w:val="auto"/>
                <w:kern w:val="0"/>
                <w:sz w:val="20"/>
                <w:szCs w:val="20"/>
                <w:highlight w:val="none"/>
              </w:rPr>
              <w:t>P</w:t>
            </w:r>
            <w:r>
              <w:rPr>
                <w:rFonts w:hint="eastAsia" w:ascii="Arial" w:hAnsi="Arial" w:cs="Arial"/>
                <w:color w:val="auto"/>
                <w:kern w:val="0"/>
                <w:sz w:val="20"/>
                <w:szCs w:val="20"/>
                <w:highlight w:val="none"/>
                <w:vertAlign w:val="subscript"/>
              </w:rPr>
              <w:t>i</w:t>
            </w:r>
            <w:r>
              <w:rPr>
                <w:rFonts w:ascii="Arial" w:hAnsi="Arial" w:cs="Arial"/>
                <w:color w:val="auto"/>
                <w:kern w:val="0"/>
                <w:sz w:val="20"/>
                <w:szCs w:val="20"/>
                <w:highlight w:val="none"/>
              </w:rPr>
              <w:t xml:space="preserve"> MPa</w:t>
            </w:r>
          </w:p>
        </w:tc>
        <w:tc>
          <w:tcPr>
            <w:tcW w:w="717" w:type="dxa"/>
            <w:tcBorders>
              <w:top w:val="single" w:color="000000" w:sz="4" w:space="0"/>
              <w:left w:val="nil"/>
              <w:bottom w:val="single" w:color="000000" w:sz="4" w:space="0"/>
              <w:right w:val="single" w:color="000000" w:sz="4" w:space="0"/>
            </w:tcBorders>
            <w:shd w:val="clear" w:color="auto" w:fill="auto"/>
            <w:noWrap/>
            <w:vAlign w:val="center"/>
          </w:tcPr>
          <w:p w14:paraId="7C96405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Kp</w:t>
            </w:r>
          </w:p>
        </w:tc>
      </w:tr>
      <w:tr w14:paraId="7F5D1F5F">
        <w:tblPrEx>
          <w:tblCellMar>
            <w:top w:w="0" w:type="dxa"/>
            <w:left w:w="108" w:type="dxa"/>
            <w:bottom w:w="0" w:type="dxa"/>
            <w:right w:w="108" w:type="dxa"/>
          </w:tblCellMar>
        </w:tblPrEx>
        <w:trPr>
          <w:trHeight w:val="255" w:hRule="atLeast"/>
        </w:trPr>
        <w:tc>
          <w:tcPr>
            <w:tcW w:w="1480" w:type="dxa"/>
            <w:tcBorders>
              <w:top w:val="nil"/>
              <w:left w:val="single" w:color="000000" w:sz="4" w:space="0"/>
              <w:bottom w:val="single" w:color="000000" w:sz="4" w:space="0"/>
              <w:right w:val="single" w:color="000000" w:sz="4" w:space="0"/>
            </w:tcBorders>
            <w:shd w:val="clear" w:color="auto" w:fill="auto"/>
            <w:noWrap/>
            <w:vAlign w:val="center"/>
          </w:tcPr>
          <w:p w14:paraId="2B1C5DC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0.02</w:t>
            </w:r>
          </w:p>
        </w:tc>
        <w:tc>
          <w:tcPr>
            <w:tcW w:w="717" w:type="dxa"/>
            <w:tcBorders>
              <w:top w:val="nil"/>
              <w:left w:val="nil"/>
              <w:bottom w:val="single" w:color="000000" w:sz="4" w:space="0"/>
              <w:right w:val="single" w:color="000000" w:sz="4" w:space="0"/>
            </w:tcBorders>
            <w:shd w:val="clear" w:color="auto" w:fill="auto"/>
            <w:noWrap/>
            <w:vAlign w:val="center"/>
          </w:tcPr>
          <w:p w14:paraId="4D8ACEE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1.094</w:t>
            </w:r>
          </w:p>
        </w:tc>
        <w:tc>
          <w:tcPr>
            <w:tcW w:w="1400" w:type="dxa"/>
            <w:tcBorders>
              <w:top w:val="nil"/>
              <w:left w:val="nil"/>
              <w:bottom w:val="single" w:color="000000" w:sz="4" w:space="0"/>
              <w:right w:val="single" w:color="000000" w:sz="4" w:space="0"/>
            </w:tcBorders>
            <w:shd w:val="clear" w:color="auto" w:fill="auto"/>
            <w:noWrap/>
            <w:vAlign w:val="center"/>
          </w:tcPr>
          <w:p w14:paraId="05FFD47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0.30</w:t>
            </w:r>
          </w:p>
        </w:tc>
        <w:tc>
          <w:tcPr>
            <w:tcW w:w="717" w:type="dxa"/>
            <w:tcBorders>
              <w:top w:val="nil"/>
              <w:left w:val="nil"/>
              <w:bottom w:val="single" w:color="000000" w:sz="4" w:space="0"/>
              <w:right w:val="single" w:color="000000" w:sz="4" w:space="0"/>
            </w:tcBorders>
            <w:shd w:val="clear" w:color="auto" w:fill="auto"/>
            <w:noWrap/>
            <w:vAlign w:val="center"/>
          </w:tcPr>
          <w:p w14:paraId="2035B82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1.990</w:t>
            </w:r>
          </w:p>
        </w:tc>
        <w:tc>
          <w:tcPr>
            <w:tcW w:w="1400" w:type="dxa"/>
            <w:tcBorders>
              <w:top w:val="nil"/>
              <w:left w:val="nil"/>
              <w:bottom w:val="single" w:color="000000" w:sz="4" w:space="0"/>
              <w:right w:val="single" w:color="000000" w:sz="4" w:space="0"/>
            </w:tcBorders>
            <w:shd w:val="clear" w:color="auto" w:fill="auto"/>
            <w:noWrap/>
            <w:vAlign w:val="center"/>
          </w:tcPr>
          <w:p w14:paraId="559424D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1.10</w:t>
            </w:r>
          </w:p>
        </w:tc>
        <w:tc>
          <w:tcPr>
            <w:tcW w:w="717" w:type="dxa"/>
            <w:tcBorders>
              <w:top w:val="nil"/>
              <w:left w:val="nil"/>
              <w:bottom w:val="single" w:color="000000" w:sz="4" w:space="0"/>
              <w:right w:val="single" w:color="000000" w:sz="4" w:space="0"/>
            </w:tcBorders>
            <w:shd w:val="clear" w:color="auto" w:fill="auto"/>
            <w:noWrap/>
            <w:vAlign w:val="center"/>
          </w:tcPr>
          <w:p w14:paraId="186E86D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3.443</w:t>
            </w:r>
          </w:p>
        </w:tc>
        <w:tc>
          <w:tcPr>
            <w:tcW w:w="1240" w:type="dxa"/>
            <w:tcBorders>
              <w:top w:val="nil"/>
              <w:left w:val="nil"/>
              <w:bottom w:val="single" w:color="000000" w:sz="4" w:space="0"/>
              <w:right w:val="single" w:color="000000" w:sz="4" w:space="0"/>
            </w:tcBorders>
            <w:shd w:val="clear" w:color="auto" w:fill="auto"/>
            <w:noWrap/>
            <w:vAlign w:val="center"/>
          </w:tcPr>
          <w:p w14:paraId="36A171B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1.80</w:t>
            </w:r>
          </w:p>
        </w:tc>
        <w:tc>
          <w:tcPr>
            <w:tcW w:w="717" w:type="dxa"/>
            <w:tcBorders>
              <w:top w:val="nil"/>
              <w:left w:val="nil"/>
              <w:bottom w:val="single" w:color="000000" w:sz="4" w:space="0"/>
              <w:right w:val="single" w:color="000000" w:sz="4" w:space="0"/>
            </w:tcBorders>
            <w:shd w:val="clear" w:color="auto" w:fill="auto"/>
            <w:noWrap/>
            <w:vAlign w:val="center"/>
          </w:tcPr>
          <w:p w14:paraId="7544B04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4.332</w:t>
            </w:r>
          </w:p>
        </w:tc>
      </w:tr>
      <w:tr w14:paraId="14E7540A">
        <w:tblPrEx>
          <w:tblCellMar>
            <w:top w:w="0" w:type="dxa"/>
            <w:left w:w="108" w:type="dxa"/>
            <w:bottom w:w="0" w:type="dxa"/>
            <w:right w:w="108" w:type="dxa"/>
          </w:tblCellMar>
        </w:tblPrEx>
        <w:trPr>
          <w:trHeight w:val="255" w:hRule="atLeast"/>
        </w:trPr>
        <w:tc>
          <w:tcPr>
            <w:tcW w:w="1480" w:type="dxa"/>
            <w:tcBorders>
              <w:top w:val="nil"/>
              <w:left w:val="single" w:color="000000" w:sz="4" w:space="0"/>
              <w:bottom w:val="single" w:color="000000" w:sz="4" w:space="0"/>
              <w:right w:val="single" w:color="000000" w:sz="4" w:space="0"/>
            </w:tcBorders>
            <w:shd w:val="clear" w:color="auto" w:fill="auto"/>
            <w:noWrap/>
            <w:vAlign w:val="center"/>
          </w:tcPr>
          <w:p w14:paraId="44701C9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0.04</w:t>
            </w:r>
          </w:p>
        </w:tc>
        <w:tc>
          <w:tcPr>
            <w:tcW w:w="717" w:type="dxa"/>
            <w:tcBorders>
              <w:top w:val="nil"/>
              <w:left w:val="nil"/>
              <w:bottom w:val="single" w:color="000000" w:sz="4" w:space="0"/>
              <w:right w:val="single" w:color="000000" w:sz="4" w:space="0"/>
            </w:tcBorders>
            <w:shd w:val="clear" w:color="auto" w:fill="auto"/>
            <w:noWrap/>
            <w:vAlign w:val="center"/>
          </w:tcPr>
          <w:p w14:paraId="1F0A389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1.181</w:t>
            </w:r>
          </w:p>
        </w:tc>
        <w:tc>
          <w:tcPr>
            <w:tcW w:w="1400" w:type="dxa"/>
            <w:tcBorders>
              <w:top w:val="nil"/>
              <w:left w:val="nil"/>
              <w:bottom w:val="single" w:color="000000" w:sz="4" w:space="0"/>
              <w:right w:val="single" w:color="000000" w:sz="4" w:space="0"/>
            </w:tcBorders>
            <w:shd w:val="clear" w:color="auto" w:fill="auto"/>
            <w:noWrap/>
            <w:vAlign w:val="center"/>
          </w:tcPr>
          <w:p w14:paraId="04B56CA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0.40</w:t>
            </w:r>
          </w:p>
        </w:tc>
        <w:tc>
          <w:tcPr>
            <w:tcW w:w="717" w:type="dxa"/>
            <w:tcBorders>
              <w:top w:val="nil"/>
              <w:left w:val="nil"/>
              <w:bottom w:val="single" w:color="000000" w:sz="4" w:space="0"/>
              <w:right w:val="single" w:color="000000" w:sz="4" w:space="0"/>
            </w:tcBorders>
            <w:shd w:val="clear" w:color="auto" w:fill="auto"/>
            <w:noWrap/>
            <w:vAlign w:val="center"/>
          </w:tcPr>
          <w:p w14:paraId="6718E46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2.224</w:t>
            </w:r>
          </w:p>
        </w:tc>
        <w:tc>
          <w:tcPr>
            <w:tcW w:w="1400" w:type="dxa"/>
            <w:tcBorders>
              <w:top w:val="nil"/>
              <w:left w:val="nil"/>
              <w:bottom w:val="single" w:color="000000" w:sz="4" w:space="0"/>
              <w:right w:val="single" w:color="000000" w:sz="4" w:space="0"/>
            </w:tcBorders>
            <w:shd w:val="clear" w:color="auto" w:fill="auto"/>
            <w:noWrap/>
            <w:vAlign w:val="center"/>
          </w:tcPr>
          <w:p w14:paraId="27F9730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1.20</w:t>
            </w:r>
          </w:p>
        </w:tc>
        <w:tc>
          <w:tcPr>
            <w:tcW w:w="717" w:type="dxa"/>
            <w:tcBorders>
              <w:top w:val="nil"/>
              <w:left w:val="nil"/>
              <w:bottom w:val="single" w:color="000000" w:sz="4" w:space="0"/>
              <w:right w:val="single" w:color="000000" w:sz="4" w:space="0"/>
            </w:tcBorders>
            <w:shd w:val="clear" w:color="auto" w:fill="auto"/>
            <w:noWrap/>
            <w:vAlign w:val="center"/>
          </w:tcPr>
          <w:p w14:paraId="23F2698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3.584</w:t>
            </w:r>
          </w:p>
        </w:tc>
        <w:tc>
          <w:tcPr>
            <w:tcW w:w="1240" w:type="dxa"/>
            <w:tcBorders>
              <w:top w:val="nil"/>
              <w:left w:val="nil"/>
              <w:bottom w:val="single" w:color="000000" w:sz="4" w:space="0"/>
              <w:right w:val="single" w:color="000000" w:sz="4" w:space="0"/>
            </w:tcBorders>
            <w:shd w:val="clear" w:color="auto" w:fill="auto"/>
            <w:noWrap/>
            <w:vAlign w:val="center"/>
          </w:tcPr>
          <w:p w14:paraId="2BF8474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1.90</w:t>
            </w:r>
          </w:p>
        </w:tc>
        <w:tc>
          <w:tcPr>
            <w:tcW w:w="717" w:type="dxa"/>
            <w:tcBorders>
              <w:top w:val="nil"/>
              <w:left w:val="nil"/>
              <w:bottom w:val="single" w:color="000000" w:sz="4" w:space="0"/>
              <w:right w:val="single" w:color="000000" w:sz="4" w:space="0"/>
            </w:tcBorders>
            <w:shd w:val="clear" w:color="auto" w:fill="auto"/>
            <w:noWrap/>
            <w:vAlign w:val="center"/>
          </w:tcPr>
          <w:p w14:paraId="2C4FB37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4.444</w:t>
            </w:r>
          </w:p>
        </w:tc>
      </w:tr>
      <w:tr w14:paraId="3E5012EA">
        <w:tblPrEx>
          <w:tblCellMar>
            <w:top w:w="0" w:type="dxa"/>
            <w:left w:w="108" w:type="dxa"/>
            <w:bottom w:w="0" w:type="dxa"/>
            <w:right w:w="108" w:type="dxa"/>
          </w:tblCellMar>
        </w:tblPrEx>
        <w:trPr>
          <w:trHeight w:val="255" w:hRule="atLeast"/>
        </w:trPr>
        <w:tc>
          <w:tcPr>
            <w:tcW w:w="1480" w:type="dxa"/>
            <w:tcBorders>
              <w:top w:val="nil"/>
              <w:left w:val="single" w:color="000000" w:sz="4" w:space="0"/>
              <w:bottom w:val="single" w:color="000000" w:sz="4" w:space="0"/>
              <w:right w:val="single" w:color="000000" w:sz="4" w:space="0"/>
            </w:tcBorders>
            <w:shd w:val="clear" w:color="auto" w:fill="auto"/>
            <w:noWrap/>
            <w:vAlign w:val="center"/>
          </w:tcPr>
          <w:p w14:paraId="1628A92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0.06</w:t>
            </w:r>
          </w:p>
        </w:tc>
        <w:tc>
          <w:tcPr>
            <w:tcW w:w="717" w:type="dxa"/>
            <w:tcBorders>
              <w:top w:val="nil"/>
              <w:left w:val="nil"/>
              <w:bottom w:val="single" w:color="000000" w:sz="4" w:space="0"/>
              <w:right w:val="single" w:color="000000" w:sz="4" w:space="0"/>
            </w:tcBorders>
            <w:shd w:val="clear" w:color="auto" w:fill="auto"/>
            <w:noWrap/>
            <w:vAlign w:val="center"/>
          </w:tcPr>
          <w:p w14:paraId="0DF1D67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1.262</w:t>
            </w:r>
          </w:p>
        </w:tc>
        <w:tc>
          <w:tcPr>
            <w:tcW w:w="1400" w:type="dxa"/>
            <w:tcBorders>
              <w:top w:val="nil"/>
              <w:left w:val="nil"/>
              <w:bottom w:val="single" w:color="000000" w:sz="4" w:space="0"/>
              <w:right w:val="single" w:color="000000" w:sz="4" w:space="0"/>
            </w:tcBorders>
            <w:shd w:val="clear" w:color="auto" w:fill="auto"/>
            <w:noWrap/>
            <w:vAlign w:val="center"/>
          </w:tcPr>
          <w:p w14:paraId="7A46B9B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0.50</w:t>
            </w:r>
          </w:p>
        </w:tc>
        <w:tc>
          <w:tcPr>
            <w:tcW w:w="717" w:type="dxa"/>
            <w:tcBorders>
              <w:top w:val="nil"/>
              <w:left w:val="nil"/>
              <w:bottom w:val="single" w:color="000000" w:sz="4" w:space="0"/>
              <w:right w:val="single" w:color="000000" w:sz="4" w:space="0"/>
            </w:tcBorders>
            <w:shd w:val="clear" w:color="auto" w:fill="auto"/>
            <w:noWrap/>
            <w:vAlign w:val="center"/>
          </w:tcPr>
          <w:p w14:paraId="7311A8D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2.436</w:t>
            </w:r>
          </w:p>
        </w:tc>
        <w:tc>
          <w:tcPr>
            <w:tcW w:w="1400" w:type="dxa"/>
            <w:tcBorders>
              <w:top w:val="nil"/>
              <w:left w:val="nil"/>
              <w:bottom w:val="single" w:color="000000" w:sz="4" w:space="0"/>
              <w:right w:val="single" w:color="000000" w:sz="4" w:space="0"/>
            </w:tcBorders>
            <w:shd w:val="clear" w:color="auto" w:fill="auto"/>
            <w:noWrap/>
            <w:vAlign w:val="center"/>
          </w:tcPr>
          <w:p w14:paraId="4A1DAA6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1.25</w:t>
            </w:r>
          </w:p>
        </w:tc>
        <w:tc>
          <w:tcPr>
            <w:tcW w:w="717" w:type="dxa"/>
            <w:tcBorders>
              <w:top w:val="nil"/>
              <w:left w:val="nil"/>
              <w:bottom w:val="single" w:color="000000" w:sz="4" w:space="0"/>
              <w:right w:val="single" w:color="000000" w:sz="4" w:space="0"/>
            </w:tcBorders>
            <w:shd w:val="clear" w:color="auto" w:fill="auto"/>
            <w:noWrap/>
            <w:vAlign w:val="center"/>
          </w:tcPr>
          <w:p w14:paraId="2E1C92D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3.652</w:t>
            </w:r>
          </w:p>
        </w:tc>
        <w:tc>
          <w:tcPr>
            <w:tcW w:w="1240" w:type="dxa"/>
            <w:tcBorders>
              <w:top w:val="nil"/>
              <w:left w:val="nil"/>
              <w:bottom w:val="single" w:color="000000" w:sz="4" w:space="0"/>
              <w:right w:val="single" w:color="000000" w:sz="4" w:space="0"/>
            </w:tcBorders>
            <w:shd w:val="clear" w:color="auto" w:fill="auto"/>
            <w:noWrap/>
            <w:vAlign w:val="center"/>
          </w:tcPr>
          <w:p w14:paraId="75E9714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2.00</w:t>
            </w:r>
          </w:p>
        </w:tc>
        <w:tc>
          <w:tcPr>
            <w:tcW w:w="717" w:type="dxa"/>
            <w:tcBorders>
              <w:top w:val="nil"/>
              <w:left w:val="nil"/>
              <w:bottom w:val="single" w:color="000000" w:sz="4" w:space="0"/>
              <w:right w:val="single" w:color="000000" w:sz="4" w:space="0"/>
            </w:tcBorders>
            <w:shd w:val="clear" w:color="auto" w:fill="auto"/>
            <w:noWrap/>
            <w:vAlign w:val="center"/>
          </w:tcPr>
          <w:p w14:paraId="0818942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4.554</w:t>
            </w:r>
          </w:p>
        </w:tc>
      </w:tr>
      <w:tr w14:paraId="191767B4">
        <w:tblPrEx>
          <w:tblCellMar>
            <w:top w:w="0" w:type="dxa"/>
            <w:left w:w="108" w:type="dxa"/>
            <w:bottom w:w="0" w:type="dxa"/>
            <w:right w:w="108" w:type="dxa"/>
          </w:tblCellMar>
        </w:tblPrEx>
        <w:trPr>
          <w:trHeight w:val="255" w:hRule="atLeast"/>
        </w:trPr>
        <w:tc>
          <w:tcPr>
            <w:tcW w:w="1480" w:type="dxa"/>
            <w:tcBorders>
              <w:top w:val="nil"/>
              <w:left w:val="single" w:color="000000" w:sz="4" w:space="0"/>
              <w:bottom w:val="single" w:color="000000" w:sz="4" w:space="0"/>
              <w:right w:val="single" w:color="000000" w:sz="4" w:space="0"/>
            </w:tcBorders>
            <w:shd w:val="clear" w:color="auto" w:fill="auto"/>
            <w:noWrap/>
            <w:vAlign w:val="center"/>
          </w:tcPr>
          <w:p w14:paraId="0BE452C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0.08</w:t>
            </w:r>
          </w:p>
        </w:tc>
        <w:tc>
          <w:tcPr>
            <w:tcW w:w="717" w:type="dxa"/>
            <w:tcBorders>
              <w:top w:val="nil"/>
              <w:left w:val="nil"/>
              <w:bottom w:val="single" w:color="000000" w:sz="4" w:space="0"/>
              <w:right w:val="single" w:color="000000" w:sz="4" w:space="0"/>
            </w:tcBorders>
            <w:shd w:val="clear" w:color="auto" w:fill="auto"/>
            <w:noWrap/>
            <w:vAlign w:val="center"/>
          </w:tcPr>
          <w:p w14:paraId="367D9EC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1.338</w:t>
            </w:r>
          </w:p>
        </w:tc>
        <w:tc>
          <w:tcPr>
            <w:tcW w:w="1400" w:type="dxa"/>
            <w:tcBorders>
              <w:top w:val="nil"/>
              <w:left w:val="nil"/>
              <w:bottom w:val="single" w:color="000000" w:sz="4" w:space="0"/>
              <w:right w:val="single" w:color="000000" w:sz="4" w:space="0"/>
            </w:tcBorders>
            <w:shd w:val="clear" w:color="auto" w:fill="auto"/>
            <w:noWrap/>
            <w:vAlign w:val="center"/>
          </w:tcPr>
          <w:p w14:paraId="7EF0419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0.60</w:t>
            </w:r>
          </w:p>
        </w:tc>
        <w:tc>
          <w:tcPr>
            <w:tcW w:w="717" w:type="dxa"/>
            <w:tcBorders>
              <w:top w:val="nil"/>
              <w:left w:val="nil"/>
              <w:bottom w:val="single" w:color="000000" w:sz="4" w:space="0"/>
              <w:right w:val="single" w:color="000000" w:sz="4" w:space="0"/>
            </w:tcBorders>
            <w:shd w:val="clear" w:color="auto" w:fill="auto"/>
            <w:noWrap/>
            <w:vAlign w:val="center"/>
          </w:tcPr>
          <w:p w14:paraId="2ED88EA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2.631</w:t>
            </w:r>
          </w:p>
        </w:tc>
        <w:tc>
          <w:tcPr>
            <w:tcW w:w="1400" w:type="dxa"/>
            <w:tcBorders>
              <w:top w:val="nil"/>
              <w:left w:val="nil"/>
              <w:bottom w:val="single" w:color="000000" w:sz="4" w:space="0"/>
              <w:right w:val="single" w:color="000000" w:sz="4" w:space="0"/>
            </w:tcBorders>
            <w:shd w:val="clear" w:color="auto" w:fill="auto"/>
            <w:noWrap/>
            <w:vAlign w:val="center"/>
          </w:tcPr>
          <w:p w14:paraId="753288C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1.30</w:t>
            </w:r>
          </w:p>
        </w:tc>
        <w:tc>
          <w:tcPr>
            <w:tcW w:w="717" w:type="dxa"/>
            <w:tcBorders>
              <w:top w:val="nil"/>
              <w:left w:val="nil"/>
              <w:bottom w:val="single" w:color="000000" w:sz="4" w:space="0"/>
              <w:right w:val="single" w:color="000000" w:sz="4" w:space="0"/>
            </w:tcBorders>
            <w:shd w:val="clear" w:color="auto" w:fill="auto"/>
            <w:noWrap/>
            <w:vAlign w:val="center"/>
          </w:tcPr>
          <w:p w14:paraId="2687E1F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3.719</w:t>
            </w:r>
          </w:p>
        </w:tc>
        <w:tc>
          <w:tcPr>
            <w:tcW w:w="1240" w:type="dxa"/>
            <w:tcBorders>
              <w:top w:val="nil"/>
              <w:left w:val="nil"/>
              <w:bottom w:val="single" w:color="000000" w:sz="4" w:space="0"/>
              <w:right w:val="single" w:color="000000" w:sz="4" w:space="0"/>
            </w:tcBorders>
            <w:shd w:val="clear" w:color="auto" w:fill="auto"/>
            <w:noWrap/>
            <w:vAlign w:val="center"/>
          </w:tcPr>
          <w:p w14:paraId="02E3F7A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2.10</w:t>
            </w:r>
          </w:p>
        </w:tc>
        <w:tc>
          <w:tcPr>
            <w:tcW w:w="717" w:type="dxa"/>
            <w:tcBorders>
              <w:top w:val="nil"/>
              <w:left w:val="nil"/>
              <w:bottom w:val="single" w:color="000000" w:sz="4" w:space="0"/>
              <w:right w:val="single" w:color="000000" w:sz="4" w:space="0"/>
            </w:tcBorders>
            <w:shd w:val="clear" w:color="auto" w:fill="auto"/>
            <w:noWrap/>
            <w:vAlign w:val="center"/>
          </w:tcPr>
          <w:p w14:paraId="4206182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4.661</w:t>
            </w:r>
          </w:p>
        </w:tc>
      </w:tr>
      <w:tr w14:paraId="77984DD8">
        <w:tblPrEx>
          <w:tblCellMar>
            <w:top w:w="0" w:type="dxa"/>
            <w:left w:w="108" w:type="dxa"/>
            <w:bottom w:w="0" w:type="dxa"/>
            <w:right w:w="108" w:type="dxa"/>
          </w:tblCellMar>
        </w:tblPrEx>
        <w:trPr>
          <w:trHeight w:val="255" w:hRule="atLeast"/>
        </w:trPr>
        <w:tc>
          <w:tcPr>
            <w:tcW w:w="1480" w:type="dxa"/>
            <w:tcBorders>
              <w:top w:val="nil"/>
              <w:left w:val="single" w:color="000000" w:sz="4" w:space="0"/>
              <w:bottom w:val="single" w:color="000000" w:sz="4" w:space="0"/>
              <w:right w:val="single" w:color="000000" w:sz="4" w:space="0"/>
            </w:tcBorders>
            <w:shd w:val="clear" w:color="auto" w:fill="auto"/>
            <w:noWrap/>
            <w:vAlign w:val="center"/>
          </w:tcPr>
          <w:p w14:paraId="63CC92C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0.10</w:t>
            </w:r>
          </w:p>
        </w:tc>
        <w:tc>
          <w:tcPr>
            <w:tcW w:w="717" w:type="dxa"/>
            <w:tcBorders>
              <w:top w:val="nil"/>
              <w:left w:val="nil"/>
              <w:bottom w:val="single" w:color="000000" w:sz="4" w:space="0"/>
              <w:right w:val="single" w:color="000000" w:sz="4" w:space="0"/>
            </w:tcBorders>
            <w:shd w:val="clear" w:color="auto" w:fill="auto"/>
            <w:noWrap/>
            <w:vAlign w:val="center"/>
          </w:tcPr>
          <w:p w14:paraId="474B91D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1.410</w:t>
            </w:r>
          </w:p>
        </w:tc>
        <w:tc>
          <w:tcPr>
            <w:tcW w:w="1400" w:type="dxa"/>
            <w:tcBorders>
              <w:top w:val="nil"/>
              <w:left w:val="nil"/>
              <w:bottom w:val="single" w:color="000000" w:sz="4" w:space="0"/>
              <w:right w:val="single" w:color="000000" w:sz="4" w:space="0"/>
            </w:tcBorders>
            <w:shd w:val="clear" w:color="auto" w:fill="auto"/>
            <w:noWrap/>
            <w:vAlign w:val="center"/>
          </w:tcPr>
          <w:p w14:paraId="5577C1A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0.70</w:t>
            </w:r>
          </w:p>
        </w:tc>
        <w:tc>
          <w:tcPr>
            <w:tcW w:w="717" w:type="dxa"/>
            <w:tcBorders>
              <w:top w:val="nil"/>
              <w:left w:val="nil"/>
              <w:bottom w:val="single" w:color="000000" w:sz="4" w:space="0"/>
              <w:right w:val="single" w:color="000000" w:sz="4" w:space="0"/>
            </w:tcBorders>
            <w:shd w:val="clear" w:color="auto" w:fill="auto"/>
            <w:noWrap/>
            <w:vAlign w:val="center"/>
          </w:tcPr>
          <w:p w14:paraId="017A1CD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2.812</w:t>
            </w:r>
          </w:p>
        </w:tc>
        <w:tc>
          <w:tcPr>
            <w:tcW w:w="1400" w:type="dxa"/>
            <w:tcBorders>
              <w:top w:val="nil"/>
              <w:left w:val="nil"/>
              <w:bottom w:val="single" w:color="000000" w:sz="4" w:space="0"/>
              <w:right w:val="single" w:color="000000" w:sz="4" w:space="0"/>
            </w:tcBorders>
            <w:shd w:val="clear" w:color="auto" w:fill="auto"/>
            <w:noWrap/>
            <w:vAlign w:val="center"/>
          </w:tcPr>
          <w:p w14:paraId="2E58953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1.40</w:t>
            </w:r>
          </w:p>
        </w:tc>
        <w:tc>
          <w:tcPr>
            <w:tcW w:w="717" w:type="dxa"/>
            <w:tcBorders>
              <w:top w:val="nil"/>
              <w:left w:val="nil"/>
              <w:bottom w:val="single" w:color="000000" w:sz="4" w:space="0"/>
              <w:right w:val="single" w:color="000000" w:sz="4" w:space="0"/>
            </w:tcBorders>
            <w:shd w:val="clear" w:color="auto" w:fill="auto"/>
            <w:noWrap/>
            <w:vAlign w:val="center"/>
          </w:tcPr>
          <w:p w14:paraId="73D4F69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3.849</w:t>
            </w:r>
          </w:p>
        </w:tc>
        <w:tc>
          <w:tcPr>
            <w:tcW w:w="1240" w:type="dxa"/>
            <w:tcBorders>
              <w:top w:val="nil"/>
              <w:left w:val="nil"/>
              <w:bottom w:val="single" w:color="000000" w:sz="4" w:space="0"/>
              <w:right w:val="single" w:color="000000" w:sz="4" w:space="0"/>
            </w:tcBorders>
            <w:shd w:val="clear" w:color="auto" w:fill="auto"/>
            <w:noWrap/>
            <w:vAlign w:val="center"/>
          </w:tcPr>
          <w:p w14:paraId="4898C05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2.20</w:t>
            </w:r>
          </w:p>
        </w:tc>
        <w:tc>
          <w:tcPr>
            <w:tcW w:w="717" w:type="dxa"/>
            <w:tcBorders>
              <w:top w:val="nil"/>
              <w:left w:val="nil"/>
              <w:bottom w:val="single" w:color="000000" w:sz="4" w:space="0"/>
              <w:right w:val="single" w:color="000000" w:sz="4" w:space="0"/>
            </w:tcBorders>
            <w:shd w:val="clear" w:color="auto" w:fill="auto"/>
            <w:noWrap/>
            <w:vAlign w:val="center"/>
          </w:tcPr>
          <w:p w14:paraId="1313B70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4.766</w:t>
            </w:r>
          </w:p>
        </w:tc>
      </w:tr>
      <w:tr w14:paraId="1A3215A7">
        <w:tblPrEx>
          <w:tblCellMar>
            <w:top w:w="0" w:type="dxa"/>
            <w:left w:w="108" w:type="dxa"/>
            <w:bottom w:w="0" w:type="dxa"/>
            <w:right w:w="108" w:type="dxa"/>
          </w:tblCellMar>
        </w:tblPrEx>
        <w:trPr>
          <w:trHeight w:val="255" w:hRule="atLeast"/>
        </w:trPr>
        <w:tc>
          <w:tcPr>
            <w:tcW w:w="1480" w:type="dxa"/>
            <w:tcBorders>
              <w:top w:val="nil"/>
              <w:left w:val="single" w:color="000000" w:sz="4" w:space="0"/>
              <w:bottom w:val="single" w:color="000000" w:sz="4" w:space="0"/>
              <w:right w:val="single" w:color="000000" w:sz="4" w:space="0"/>
            </w:tcBorders>
            <w:shd w:val="clear" w:color="auto" w:fill="auto"/>
            <w:noWrap/>
            <w:vAlign w:val="center"/>
          </w:tcPr>
          <w:p w14:paraId="19E621E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0.15</w:t>
            </w:r>
          </w:p>
        </w:tc>
        <w:tc>
          <w:tcPr>
            <w:tcW w:w="717" w:type="dxa"/>
            <w:tcBorders>
              <w:top w:val="nil"/>
              <w:left w:val="nil"/>
              <w:bottom w:val="single" w:color="000000" w:sz="4" w:space="0"/>
              <w:right w:val="single" w:color="000000" w:sz="4" w:space="0"/>
            </w:tcBorders>
            <w:shd w:val="clear" w:color="auto" w:fill="auto"/>
            <w:noWrap/>
            <w:vAlign w:val="center"/>
          </w:tcPr>
          <w:p w14:paraId="73FE510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1.575</w:t>
            </w:r>
          </w:p>
        </w:tc>
        <w:tc>
          <w:tcPr>
            <w:tcW w:w="1400" w:type="dxa"/>
            <w:tcBorders>
              <w:top w:val="nil"/>
              <w:left w:val="nil"/>
              <w:bottom w:val="single" w:color="000000" w:sz="4" w:space="0"/>
              <w:right w:val="single" w:color="000000" w:sz="4" w:space="0"/>
            </w:tcBorders>
            <w:shd w:val="clear" w:color="auto" w:fill="auto"/>
            <w:noWrap/>
            <w:vAlign w:val="center"/>
          </w:tcPr>
          <w:p w14:paraId="556110C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0.80</w:t>
            </w:r>
          </w:p>
        </w:tc>
        <w:tc>
          <w:tcPr>
            <w:tcW w:w="717" w:type="dxa"/>
            <w:tcBorders>
              <w:top w:val="nil"/>
              <w:left w:val="nil"/>
              <w:bottom w:val="single" w:color="000000" w:sz="4" w:space="0"/>
              <w:right w:val="single" w:color="000000" w:sz="4" w:space="0"/>
            </w:tcBorders>
            <w:shd w:val="clear" w:color="auto" w:fill="auto"/>
            <w:noWrap/>
            <w:vAlign w:val="center"/>
          </w:tcPr>
          <w:p w14:paraId="7FA0115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2.983</w:t>
            </w:r>
          </w:p>
        </w:tc>
        <w:tc>
          <w:tcPr>
            <w:tcW w:w="1400" w:type="dxa"/>
            <w:tcBorders>
              <w:top w:val="nil"/>
              <w:left w:val="nil"/>
              <w:bottom w:val="single" w:color="000000" w:sz="4" w:space="0"/>
              <w:right w:val="single" w:color="000000" w:sz="4" w:space="0"/>
            </w:tcBorders>
            <w:shd w:val="clear" w:color="auto" w:fill="auto"/>
            <w:noWrap/>
            <w:vAlign w:val="center"/>
          </w:tcPr>
          <w:p w14:paraId="209BED1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1.50</w:t>
            </w:r>
          </w:p>
        </w:tc>
        <w:tc>
          <w:tcPr>
            <w:tcW w:w="717" w:type="dxa"/>
            <w:tcBorders>
              <w:top w:val="nil"/>
              <w:left w:val="nil"/>
              <w:bottom w:val="single" w:color="000000" w:sz="4" w:space="0"/>
              <w:right w:val="single" w:color="000000" w:sz="4" w:space="0"/>
            </w:tcBorders>
            <w:shd w:val="clear" w:color="auto" w:fill="auto"/>
            <w:noWrap/>
            <w:vAlign w:val="center"/>
          </w:tcPr>
          <w:p w14:paraId="6137EBB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3.975</w:t>
            </w:r>
          </w:p>
        </w:tc>
        <w:tc>
          <w:tcPr>
            <w:tcW w:w="1240" w:type="dxa"/>
            <w:tcBorders>
              <w:top w:val="nil"/>
              <w:left w:val="nil"/>
              <w:bottom w:val="single" w:color="000000" w:sz="4" w:space="0"/>
              <w:right w:val="single" w:color="000000" w:sz="4" w:space="0"/>
            </w:tcBorders>
            <w:shd w:val="clear" w:color="auto" w:fill="auto"/>
            <w:noWrap/>
            <w:vAlign w:val="center"/>
          </w:tcPr>
          <w:p w14:paraId="219791A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2.30</w:t>
            </w:r>
          </w:p>
        </w:tc>
        <w:tc>
          <w:tcPr>
            <w:tcW w:w="717" w:type="dxa"/>
            <w:tcBorders>
              <w:top w:val="nil"/>
              <w:left w:val="nil"/>
              <w:bottom w:val="single" w:color="000000" w:sz="4" w:space="0"/>
              <w:right w:val="single" w:color="000000" w:sz="4" w:space="0"/>
            </w:tcBorders>
            <w:shd w:val="clear" w:color="auto" w:fill="auto"/>
            <w:noWrap/>
            <w:vAlign w:val="center"/>
          </w:tcPr>
          <w:p w14:paraId="37DFFCE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4.868</w:t>
            </w:r>
          </w:p>
        </w:tc>
      </w:tr>
      <w:tr w14:paraId="239B40E6">
        <w:tblPrEx>
          <w:tblCellMar>
            <w:top w:w="0" w:type="dxa"/>
            <w:left w:w="108" w:type="dxa"/>
            <w:bottom w:w="0" w:type="dxa"/>
            <w:right w:w="108" w:type="dxa"/>
          </w:tblCellMar>
        </w:tblPrEx>
        <w:trPr>
          <w:trHeight w:val="255" w:hRule="atLeast"/>
        </w:trPr>
        <w:tc>
          <w:tcPr>
            <w:tcW w:w="1480" w:type="dxa"/>
            <w:tcBorders>
              <w:top w:val="nil"/>
              <w:left w:val="single" w:color="000000" w:sz="4" w:space="0"/>
              <w:bottom w:val="single" w:color="000000" w:sz="4" w:space="0"/>
              <w:right w:val="single" w:color="000000" w:sz="4" w:space="0"/>
            </w:tcBorders>
            <w:shd w:val="clear" w:color="auto" w:fill="auto"/>
            <w:noWrap/>
            <w:vAlign w:val="center"/>
          </w:tcPr>
          <w:p w14:paraId="1F064FF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0.20</w:t>
            </w:r>
          </w:p>
        </w:tc>
        <w:tc>
          <w:tcPr>
            <w:tcW w:w="717" w:type="dxa"/>
            <w:tcBorders>
              <w:top w:val="nil"/>
              <w:left w:val="nil"/>
              <w:bottom w:val="single" w:color="000000" w:sz="4" w:space="0"/>
              <w:right w:val="single" w:color="000000" w:sz="4" w:space="0"/>
            </w:tcBorders>
            <w:shd w:val="clear" w:color="auto" w:fill="auto"/>
            <w:noWrap/>
            <w:vAlign w:val="center"/>
          </w:tcPr>
          <w:p w14:paraId="0B990B6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1.724</w:t>
            </w:r>
          </w:p>
        </w:tc>
        <w:tc>
          <w:tcPr>
            <w:tcW w:w="1400" w:type="dxa"/>
            <w:tcBorders>
              <w:top w:val="nil"/>
              <w:left w:val="nil"/>
              <w:bottom w:val="single" w:color="000000" w:sz="4" w:space="0"/>
              <w:right w:val="single" w:color="000000" w:sz="4" w:space="0"/>
            </w:tcBorders>
            <w:shd w:val="clear" w:color="auto" w:fill="auto"/>
            <w:noWrap/>
            <w:vAlign w:val="center"/>
          </w:tcPr>
          <w:p w14:paraId="2BA3739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0.90</w:t>
            </w:r>
          </w:p>
        </w:tc>
        <w:tc>
          <w:tcPr>
            <w:tcW w:w="717" w:type="dxa"/>
            <w:tcBorders>
              <w:top w:val="nil"/>
              <w:left w:val="nil"/>
              <w:bottom w:val="single" w:color="000000" w:sz="4" w:space="0"/>
              <w:right w:val="single" w:color="000000" w:sz="4" w:space="0"/>
            </w:tcBorders>
            <w:shd w:val="clear" w:color="auto" w:fill="auto"/>
            <w:noWrap/>
            <w:vAlign w:val="center"/>
          </w:tcPr>
          <w:p w14:paraId="170A723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3.144</w:t>
            </w:r>
          </w:p>
        </w:tc>
        <w:tc>
          <w:tcPr>
            <w:tcW w:w="1400" w:type="dxa"/>
            <w:tcBorders>
              <w:top w:val="nil"/>
              <w:left w:val="nil"/>
              <w:bottom w:val="single" w:color="000000" w:sz="4" w:space="0"/>
              <w:right w:val="single" w:color="000000" w:sz="4" w:space="0"/>
            </w:tcBorders>
            <w:shd w:val="clear" w:color="auto" w:fill="auto"/>
            <w:noWrap/>
            <w:vAlign w:val="center"/>
          </w:tcPr>
          <w:p w14:paraId="468A854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1.60</w:t>
            </w:r>
          </w:p>
        </w:tc>
        <w:tc>
          <w:tcPr>
            <w:tcW w:w="717" w:type="dxa"/>
            <w:tcBorders>
              <w:top w:val="nil"/>
              <w:left w:val="nil"/>
              <w:bottom w:val="single" w:color="000000" w:sz="4" w:space="0"/>
              <w:right w:val="single" w:color="000000" w:sz="4" w:space="0"/>
            </w:tcBorders>
            <w:shd w:val="clear" w:color="auto" w:fill="auto"/>
            <w:noWrap/>
            <w:vAlign w:val="center"/>
          </w:tcPr>
          <w:p w14:paraId="4507EA3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4.098</w:t>
            </w:r>
          </w:p>
        </w:tc>
        <w:tc>
          <w:tcPr>
            <w:tcW w:w="1240" w:type="dxa"/>
            <w:tcBorders>
              <w:top w:val="nil"/>
              <w:left w:val="nil"/>
              <w:bottom w:val="single" w:color="000000" w:sz="4" w:space="0"/>
              <w:right w:val="single" w:color="000000" w:sz="4" w:space="0"/>
            </w:tcBorders>
            <w:shd w:val="clear" w:color="auto" w:fill="auto"/>
            <w:noWrap/>
            <w:vAlign w:val="center"/>
          </w:tcPr>
          <w:p w14:paraId="4EB50DD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2.40</w:t>
            </w:r>
          </w:p>
        </w:tc>
        <w:tc>
          <w:tcPr>
            <w:tcW w:w="717" w:type="dxa"/>
            <w:tcBorders>
              <w:top w:val="nil"/>
              <w:left w:val="nil"/>
              <w:bottom w:val="single" w:color="000000" w:sz="4" w:space="0"/>
              <w:right w:val="single" w:color="000000" w:sz="4" w:space="0"/>
            </w:tcBorders>
            <w:shd w:val="clear" w:color="auto" w:fill="auto"/>
            <w:noWrap/>
            <w:vAlign w:val="center"/>
          </w:tcPr>
          <w:p w14:paraId="06B7CC6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4.969</w:t>
            </w:r>
          </w:p>
        </w:tc>
      </w:tr>
      <w:tr w14:paraId="1BA347C7">
        <w:tblPrEx>
          <w:tblCellMar>
            <w:top w:w="0" w:type="dxa"/>
            <w:left w:w="108" w:type="dxa"/>
            <w:bottom w:w="0" w:type="dxa"/>
            <w:right w:w="108" w:type="dxa"/>
          </w:tblCellMar>
        </w:tblPrEx>
        <w:trPr>
          <w:trHeight w:val="255" w:hRule="atLeast"/>
        </w:trPr>
        <w:tc>
          <w:tcPr>
            <w:tcW w:w="1480" w:type="dxa"/>
            <w:tcBorders>
              <w:top w:val="nil"/>
              <w:left w:val="single" w:color="000000" w:sz="4" w:space="0"/>
              <w:bottom w:val="single" w:color="000000" w:sz="4" w:space="0"/>
              <w:right w:val="single" w:color="000000" w:sz="4" w:space="0"/>
            </w:tcBorders>
            <w:shd w:val="clear" w:color="auto" w:fill="auto"/>
            <w:noWrap/>
            <w:vAlign w:val="center"/>
          </w:tcPr>
          <w:p w14:paraId="00B2577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0.25</w:t>
            </w:r>
          </w:p>
        </w:tc>
        <w:tc>
          <w:tcPr>
            <w:tcW w:w="717" w:type="dxa"/>
            <w:tcBorders>
              <w:top w:val="nil"/>
              <w:left w:val="nil"/>
              <w:bottom w:val="single" w:color="000000" w:sz="4" w:space="0"/>
              <w:right w:val="single" w:color="000000" w:sz="4" w:space="0"/>
            </w:tcBorders>
            <w:shd w:val="clear" w:color="auto" w:fill="auto"/>
            <w:noWrap/>
            <w:vAlign w:val="center"/>
          </w:tcPr>
          <w:p w14:paraId="53AE1E5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1.862</w:t>
            </w:r>
          </w:p>
        </w:tc>
        <w:tc>
          <w:tcPr>
            <w:tcW w:w="1400" w:type="dxa"/>
            <w:tcBorders>
              <w:top w:val="nil"/>
              <w:left w:val="nil"/>
              <w:bottom w:val="single" w:color="000000" w:sz="4" w:space="0"/>
              <w:right w:val="single" w:color="000000" w:sz="4" w:space="0"/>
            </w:tcBorders>
            <w:shd w:val="clear" w:color="auto" w:fill="auto"/>
            <w:noWrap/>
            <w:vAlign w:val="center"/>
          </w:tcPr>
          <w:p w14:paraId="58CB51E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1.00</w:t>
            </w:r>
          </w:p>
        </w:tc>
        <w:tc>
          <w:tcPr>
            <w:tcW w:w="717" w:type="dxa"/>
            <w:tcBorders>
              <w:top w:val="nil"/>
              <w:left w:val="nil"/>
              <w:bottom w:val="single" w:color="000000" w:sz="4" w:space="0"/>
              <w:right w:val="single" w:color="000000" w:sz="4" w:space="0"/>
            </w:tcBorders>
            <w:shd w:val="clear" w:color="auto" w:fill="auto"/>
            <w:noWrap/>
            <w:vAlign w:val="center"/>
          </w:tcPr>
          <w:p w14:paraId="6972C08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3.297</w:t>
            </w:r>
          </w:p>
        </w:tc>
        <w:tc>
          <w:tcPr>
            <w:tcW w:w="1400" w:type="dxa"/>
            <w:tcBorders>
              <w:top w:val="nil"/>
              <w:left w:val="nil"/>
              <w:bottom w:val="single" w:color="000000" w:sz="4" w:space="0"/>
              <w:right w:val="single" w:color="000000" w:sz="4" w:space="0"/>
            </w:tcBorders>
            <w:shd w:val="clear" w:color="auto" w:fill="auto"/>
            <w:noWrap/>
            <w:vAlign w:val="center"/>
          </w:tcPr>
          <w:p w14:paraId="424EE79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1.70</w:t>
            </w:r>
          </w:p>
        </w:tc>
        <w:tc>
          <w:tcPr>
            <w:tcW w:w="717" w:type="dxa"/>
            <w:tcBorders>
              <w:top w:val="nil"/>
              <w:left w:val="nil"/>
              <w:bottom w:val="single" w:color="000000" w:sz="4" w:space="0"/>
              <w:right w:val="single" w:color="000000" w:sz="4" w:space="0"/>
            </w:tcBorders>
            <w:shd w:val="clear" w:color="auto" w:fill="auto"/>
            <w:noWrap/>
            <w:vAlign w:val="center"/>
          </w:tcPr>
          <w:p w14:paraId="177149F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4.216</w:t>
            </w:r>
          </w:p>
        </w:tc>
        <w:tc>
          <w:tcPr>
            <w:tcW w:w="1240" w:type="dxa"/>
            <w:tcBorders>
              <w:top w:val="nil"/>
              <w:left w:val="nil"/>
              <w:bottom w:val="single" w:color="000000" w:sz="4" w:space="0"/>
              <w:right w:val="single" w:color="000000" w:sz="4" w:space="0"/>
            </w:tcBorders>
            <w:shd w:val="clear" w:color="auto" w:fill="auto"/>
            <w:noWrap/>
            <w:vAlign w:val="center"/>
          </w:tcPr>
          <w:p w14:paraId="0E5F938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2.50</w:t>
            </w:r>
          </w:p>
        </w:tc>
        <w:tc>
          <w:tcPr>
            <w:tcW w:w="717" w:type="dxa"/>
            <w:tcBorders>
              <w:top w:val="nil"/>
              <w:left w:val="nil"/>
              <w:bottom w:val="single" w:color="000000" w:sz="4" w:space="0"/>
              <w:right w:val="single" w:color="000000" w:sz="4" w:space="0"/>
            </w:tcBorders>
            <w:shd w:val="clear" w:color="auto" w:fill="auto"/>
            <w:noWrap/>
            <w:vAlign w:val="center"/>
          </w:tcPr>
          <w:p w14:paraId="30BB063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5.067</w:t>
            </w:r>
          </w:p>
        </w:tc>
      </w:tr>
    </w:tbl>
    <w:p w14:paraId="6A65898C">
      <w:pPr>
        <w:spacing w:line="276" w:lineRule="auto"/>
        <w:ind w:firstLine="420" w:firstLineChars="200"/>
        <w:rPr>
          <w:rFonts w:ascii="Times New Roman" w:hAnsi="Times New Roman"/>
          <w:color w:val="auto"/>
          <w:highlight w:val="none"/>
        </w:rPr>
      </w:pPr>
    </w:p>
    <w:p w14:paraId="0E2B6717">
      <w:pPr>
        <w:spacing w:line="276" w:lineRule="auto"/>
        <w:ind w:firstLine="420" w:firstLineChars="200"/>
        <w:jc w:val="center"/>
        <w:outlineLvl w:val="0"/>
        <w:rPr>
          <w:rFonts w:ascii="Times New Roman" w:hAnsi="Times New Roman"/>
          <w:color w:val="auto"/>
          <w:highlight w:val="none"/>
        </w:rPr>
      </w:pPr>
      <w:bookmarkStart w:id="92" w:name="_Toc6888"/>
      <w:r>
        <w:rPr>
          <w:rFonts w:hint="eastAsia" w:ascii="Times New Roman" w:hAnsi="Times New Roman"/>
          <w:color w:val="auto"/>
          <w:highlight w:val="none"/>
        </w:rPr>
        <w:t>表B.3 常用气体温度换算系数</w:t>
      </w:r>
      <w:bookmarkEnd w:id="92"/>
    </w:p>
    <w:tbl>
      <w:tblPr>
        <w:tblStyle w:val="28"/>
        <w:tblW w:w="8903" w:type="dxa"/>
        <w:tblInd w:w="113" w:type="dxa"/>
        <w:tblLayout w:type="fixed"/>
        <w:tblCellMar>
          <w:top w:w="0" w:type="dxa"/>
          <w:left w:w="108" w:type="dxa"/>
          <w:bottom w:w="0" w:type="dxa"/>
          <w:right w:w="108" w:type="dxa"/>
        </w:tblCellMar>
      </w:tblPr>
      <w:tblGrid>
        <w:gridCol w:w="1442"/>
        <w:gridCol w:w="1082"/>
        <w:gridCol w:w="1559"/>
        <w:gridCol w:w="1418"/>
        <w:gridCol w:w="1701"/>
        <w:gridCol w:w="1701"/>
      </w:tblGrid>
      <w:tr w14:paraId="3361E258">
        <w:tblPrEx>
          <w:tblCellMar>
            <w:top w:w="0" w:type="dxa"/>
            <w:left w:w="108" w:type="dxa"/>
            <w:bottom w:w="0" w:type="dxa"/>
            <w:right w:w="108" w:type="dxa"/>
          </w:tblCellMar>
        </w:tblPrEx>
        <w:trPr>
          <w:trHeight w:val="255" w:hRule="atLeast"/>
        </w:trPr>
        <w:tc>
          <w:tcPr>
            <w:tcW w:w="144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CD6F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工作温度</w:t>
            </w:r>
            <w:r>
              <w:rPr>
                <w:rFonts w:hint="eastAsia" w:ascii="Arial" w:hAnsi="Arial" w:cs="Arial"/>
                <w:color w:val="auto"/>
                <w:kern w:val="0"/>
                <w:sz w:val="20"/>
                <w:szCs w:val="20"/>
                <w:highlight w:val="none"/>
              </w:rPr>
              <w:t>t</w:t>
            </w:r>
            <w:r>
              <w:rPr>
                <w:rFonts w:hint="eastAsia" w:ascii="Arial" w:hAnsi="Arial" w:cs="Arial"/>
                <w:color w:val="auto"/>
                <w:kern w:val="0"/>
                <w:sz w:val="20"/>
                <w:szCs w:val="20"/>
                <w:highlight w:val="none"/>
                <w:vertAlign w:val="subscript"/>
              </w:rPr>
              <w:t>1</w:t>
            </w:r>
          </w:p>
          <w:p w14:paraId="4B2FB5E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xml:space="preserve"> </w:t>
            </w:r>
            <w:r>
              <w:rPr>
                <w:rFonts w:ascii="宋体" w:hAnsi="宋体" w:cs="宋体"/>
                <w:color w:val="auto"/>
                <w:kern w:val="0"/>
                <w:sz w:val="20"/>
                <w:szCs w:val="20"/>
                <w:highlight w:val="none"/>
              </w:rPr>
              <w:t>℃</w:t>
            </w:r>
          </w:p>
        </w:tc>
        <w:tc>
          <w:tcPr>
            <w:tcW w:w="1082" w:type="dxa"/>
            <w:tcBorders>
              <w:top w:val="single" w:color="000000" w:sz="4" w:space="0"/>
              <w:left w:val="nil"/>
              <w:bottom w:val="single" w:color="000000" w:sz="4" w:space="0"/>
              <w:right w:val="single" w:color="000000" w:sz="4" w:space="0"/>
            </w:tcBorders>
            <w:shd w:val="clear" w:color="auto" w:fill="auto"/>
            <w:noWrap/>
            <w:vAlign w:val="center"/>
          </w:tcPr>
          <w:p w14:paraId="44917BE5">
            <w:pPr>
              <w:widowControl/>
              <w:ind w:left="420" w:hanging="420"/>
              <w:jc w:val="center"/>
              <w:rPr>
                <w:rFonts w:ascii="Arial" w:hAnsi="Arial" w:cs="Arial"/>
                <w:color w:val="auto"/>
                <w:kern w:val="0"/>
                <w:sz w:val="20"/>
                <w:szCs w:val="20"/>
                <w:highlight w:val="none"/>
              </w:rPr>
            </w:pPr>
            <w:r>
              <w:rPr>
                <w:rFonts w:ascii="Arial" w:hAnsi="Arial" w:cs="Arial"/>
                <w:color w:val="auto"/>
                <w:kern w:val="0"/>
                <w:sz w:val="20"/>
                <w:szCs w:val="20"/>
                <w:highlight w:val="none"/>
              </w:rPr>
              <w:t>K</w:t>
            </w:r>
            <w:r>
              <w:rPr>
                <w:rFonts w:hint="eastAsia" w:ascii="Arial" w:hAnsi="Arial" w:cs="Arial"/>
                <w:color w:val="auto"/>
                <w:kern w:val="0"/>
                <w:sz w:val="20"/>
                <w:szCs w:val="20"/>
                <w:highlight w:val="none"/>
                <w:vertAlign w:val="subscript"/>
              </w:rPr>
              <w:t>T</w:t>
            </w:r>
          </w:p>
        </w:tc>
        <w:tc>
          <w:tcPr>
            <w:tcW w:w="1559" w:type="dxa"/>
            <w:tcBorders>
              <w:top w:val="single" w:color="000000" w:sz="4" w:space="0"/>
              <w:left w:val="nil"/>
              <w:bottom w:val="single" w:color="000000" w:sz="4" w:space="0"/>
              <w:right w:val="single" w:color="000000" w:sz="4" w:space="0"/>
            </w:tcBorders>
            <w:shd w:val="clear" w:color="auto" w:fill="auto"/>
            <w:noWrap/>
            <w:vAlign w:val="center"/>
          </w:tcPr>
          <w:p w14:paraId="0CB8D6F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工作温度</w:t>
            </w:r>
            <w:r>
              <w:rPr>
                <w:rFonts w:hint="eastAsia" w:ascii="Arial" w:hAnsi="Arial" w:cs="Arial"/>
                <w:color w:val="auto"/>
                <w:kern w:val="0"/>
                <w:sz w:val="20"/>
                <w:szCs w:val="20"/>
                <w:highlight w:val="none"/>
              </w:rPr>
              <w:t>t</w:t>
            </w:r>
            <w:r>
              <w:rPr>
                <w:rFonts w:hint="eastAsia" w:ascii="Arial" w:hAnsi="Arial" w:cs="Arial"/>
                <w:color w:val="auto"/>
                <w:kern w:val="0"/>
                <w:sz w:val="20"/>
                <w:szCs w:val="20"/>
                <w:highlight w:val="none"/>
                <w:vertAlign w:val="subscript"/>
              </w:rPr>
              <w:t>1</w:t>
            </w:r>
            <w:r>
              <w:rPr>
                <w:rFonts w:ascii="Arial" w:hAnsi="Arial" w:cs="Arial"/>
                <w:color w:val="auto"/>
                <w:kern w:val="0"/>
                <w:sz w:val="20"/>
                <w:szCs w:val="20"/>
                <w:highlight w:val="none"/>
              </w:rPr>
              <w:t xml:space="preserve"> </w:t>
            </w:r>
          </w:p>
          <w:p w14:paraId="3D5CC6CA">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418" w:type="dxa"/>
            <w:tcBorders>
              <w:top w:val="single" w:color="000000" w:sz="4" w:space="0"/>
              <w:left w:val="nil"/>
              <w:bottom w:val="single" w:color="000000" w:sz="4" w:space="0"/>
              <w:right w:val="single" w:color="000000" w:sz="4" w:space="0"/>
            </w:tcBorders>
            <w:shd w:val="clear" w:color="auto" w:fill="auto"/>
            <w:noWrap/>
            <w:vAlign w:val="center"/>
          </w:tcPr>
          <w:p w14:paraId="107009D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K</w:t>
            </w:r>
            <w:r>
              <w:rPr>
                <w:rFonts w:hint="eastAsia" w:ascii="Arial" w:hAnsi="Arial" w:cs="Arial"/>
                <w:color w:val="auto"/>
                <w:kern w:val="0"/>
                <w:sz w:val="20"/>
                <w:szCs w:val="20"/>
                <w:highlight w:val="none"/>
                <w:vertAlign w:val="subscript"/>
              </w:rPr>
              <w:t>T</w:t>
            </w:r>
          </w:p>
        </w:tc>
        <w:tc>
          <w:tcPr>
            <w:tcW w:w="1701" w:type="dxa"/>
            <w:tcBorders>
              <w:top w:val="single" w:color="000000" w:sz="4" w:space="0"/>
              <w:left w:val="nil"/>
              <w:bottom w:val="single" w:color="000000" w:sz="4" w:space="0"/>
              <w:right w:val="single" w:color="000000" w:sz="4" w:space="0"/>
            </w:tcBorders>
            <w:shd w:val="clear" w:color="auto" w:fill="auto"/>
            <w:noWrap/>
            <w:vAlign w:val="center"/>
          </w:tcPr>
          <w:p w14:paraId="39CA738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工作温度</w:t>
            </w:r>
            <w:r>
              <w:rPr>
                <w:rFonts w:hint="eastAsia" w:ascii="Arial" w:hAnsi="Arial" w:cs="Arial"/>
                <w:color w:val="auto"/>
                <w:kern w:val="0"/>
                <w:sz w:val="20"/>
                <w:szCs w:val="20"/>
                <w:highlight w:val="none"/>
              </w:rPr>
              <w:t>t</w:t>
            </w:r>
            <w:r>
              <w:rPr>
                <w:rFonts w:hint="eastAsia" w:ascii="Arial" w:hAnsi="Arial" w:cs="Arial"/>
                <w:color w:val="auto"/>
                <w:kern w:val="0"/>
                <w:sz w:val="20"/>
                <w:szCs w:val="20"/>
                <w:highlight w:val="none"/>
                <w:vertAlign w:val="subscript"/>
              </w:rPr>
              <w:t>1</w:t>
            </w:r>
            <w:r>
              <w:rPr>
                <w:rFonts w:ascii="Arial" w:hAnsi="Arial" w:cs="Arial"/>
                <w:color w:val="auto"/>
                <w:kern w:val="0"/>
                <w:sz w:val="20"/>
                <w:szCs w:val="20"/>
                <w:highlight w:val="none"/>
              </w:rPr>
              <w:t xml:space="preserve"> </w:t>
            </w:r>
          </w:p>
          <w:p w14:paraId="718EBDD1">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w:t>
            </w:r>
          </w:p>
        </w:tc>
        <w:tc>
          <w:tcPr>
            <w:tcW w:w="1701" w:type="dxa"/>
            <w:tcBorders>
              <w:top w:val="single" w:color="000000" w:sz="4" w:space="0"/>
              <w:left w:val="nil"/>
              <w:bottom w:val="single" w:color="000000" w:sz="4" w:space="0"/>
              <w:right w:val="single" w:color="000000" w:sz="4" w:space="0"/>
            </w:tcBorders>
            <w:shd w:val="clear" w:color="auto" w:fill="auto"/>
            <w:noWrap/>
            <w:vAlign w:val="center"/>
          </w:tcPr>
          <w:p w14:paraId="29FC101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K</w:t>
            </w:r>
            <w:r>
              <w:rPr>
                <w:rFonts w:ascii="Arial" w:hAnsi="Arial" w:cs="Arial"/>
                <w:color w:val="auto"/>
                <w:kern w:val="0"/>
                <w:sz w:val="20"/>
                <w:szCs w:val="20"/>
                <w:highlight w:val="none"/>
                <w:vertAlign w:val="subscript"/>
              </w:rPr>
              <w:t>T</w:t>
            </w:r>
          </w:p>
        </w:tc>
      </w:tr>
      <w:tr w14:paraId="5F1C1892">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4D2A038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-25</w:t>
            </w:r>
          </w:p>
        </w:tc>
        <w:tc>
          <w:tcPr>
            <w:tcW w:w="1082" w:type="dxa"/>
            <w:tcBorders>
              <w:top w:val="nil"/>
              <w:left w:val="nil"/>
              <w:bottom w:val="single" w:color="000000" w:sz="4" w:space="0"/>
              <w:right w:val="single" w:color="000000" w:sz="4" w:space="0"/>
            </w:tcBorders>
            <w:shd w:val="clear" w:color="auto" w:fill="auto"/>
            <w:noWrap/>
            <w:vAlign w:val="center"/>
          </w:tcPr>
          <w:p w14:paraId="0DDFC56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1.0869</w:t>
            </w:r>
          </w:p>
        </w:tc>
        <w:tc>
          <w:tcPr>
            <w:tcW w:w="1559" w:type="dxa"/>
            <w:tcBorders>
              <w:top w:val="nil"/>
              <w:left w:val="nil"/>
              <w:bottom w:val="single" w:color="000000" w:sz="4" w:space="0"/>
              <w:right w:val="single" w:color="000000" w:sz="4" w:space="0"/>
            </w:tcBorders>
            <w:shd w:val="clear" w:color="auto" w:fill="auto"/>
            <w:noWrap/>
            <w:vAlign w:val="center"/>
          </w:tcPr>
          <w:p w14:paraId="2AF7C6E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80</w:t>
            </w:r>
          </w:p>
        </w:tc>
        <w:tc>
          <w:tcPr>
            <w:tcW w:w="1418" w:type="dxa"/>
            <w:tcBorders>
              <w:top w:val="nil"/>
              <w:left w:val="nil"/>
              <w:bottom w:val="single" w:color="000000" w:sz="4" w:space="0"/>
              <w:right w:val="single" w:color="000000" w:sz="4" w:space="0"/>
            </w:tcBorders>
            <w:shd w:val="clear" w:color="auto" w:fill="auto"/>
            <w:noWrap/>
            <w:vAlign w:val="center"/>
          </w:tcPr>
          <w:p w14:paraId="67C87DC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0.9111</w:t>
            </w:r>
          </w:p>
        </w:tc>
        <w:tc>
          <w:tcPr>
            <w:tcW w:w="1701" w:type="dxa"/>
            <w:tcBorders>
              <w:top w:val="nil"/>
              <w:left w:val="nil"/>
              <w:bottom w:val="single" w:color="000000" w:sz="4" w:space="0"/>
              <w:right w:val="single" w:color="000000" w:sz="4" w:space="0"/>
            </w:tcBorders>
            <w:shd w:val="clear" w:color="auto" w:fill="auto"/>
            <w:noWrap/>
            <w:vAlign w:val="center"/>
          </w:tcPr>
          <w:p w14:paraId="7523EB0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180</w:t>
            </w:r>
          </w:p>
        </w:tc>
        <w:tc>
          <w:tcPr>
            <w:tcW w:w="1701" w:type="dxa"/>
            <w:tcBorders>
              <w:top w:val="nil"/>
              <w:left w:val="nil"/>
              <w:bottom w:val="single" w:color="000000" w:sz="4" w:space="0"/>
              <w:right w:val="single" w:color="000000" w:sz="4" w:space="0"/>
            </w:tcBorders>
            <w:shd w:val="clear" w:color="auto" w:fill="auto"/>
            <w:noWrap/>
            <w:vAlign w:val="center"/>
          </w:tcPr>
          <w:p w14:paraId="791EEF2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0.804 3</w:t>
            </w:r>
          </w:p>
        </w:tc>
      </w:tr>
      <w:tr w14:paraId="3B575BDD">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26E92D5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w:t>
            </w:r>
          </w:p>
        </w:tc>
        <w:tc>
          <w:tcPr>
            <w:tcW w:w="1082" w:type="dxa"/>
            <w:tcBorders>
              <w:top w:val="nil"/>
              <w:left w:val="nil"/>
              <w:bottom w:val="single" w:color="000000" w:sz="4" w:space="0"/>
              <w:right w:val="single" w:color="000000" w:sz="4" w:space="0"/>
            </w:tcBorders>
            <w:shd w:val="clear" w:color="auto" w:fill="auto"/>
            <w:noWrap/>
            <w:vAlign w:val="center"/>
          </w:tcPr>
          <w:p w14:paraId="19330CC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1.0555</w:t>
            </w:r>
          </w:p>
        </w:tc>
        <w:tc>
          <w:tcPr>
            <w:tcW w:w="1559" w:type="dxa"/>
            <w:tcBorders>
              <w:top w:val="nil"/>
              <w:left w:val="nil"/>
              <w:bottom w:val="single" w:color="000000" w:sz="4" w:space="0"/>
              <w:right w:val="single" w:color="000000" w:sz="4" w:space="0"/>
            </w:tcBorders>
            <w:shd w:val="clear" w:color="auto" w:fill="auto"/>
            <w:noWrap/>
            <w:vAlign w:val="center"/>
          </w:tcPr>
          <w:p w14:paraId="6690AB5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90</w:t>
            </w:r>
          </w:p>
        </w:tc>
        <w:tc>
          <w:tcPr>
            <w:tcW w:w="1418" w:type="dxa"/>
            <w:tcBorders>
              <w:top w:val="nil"/>
              <w:left w:val="nil"/>
              <w:bottom w:val="single" w:color="000000" w:sz="4" w:space="0"/>
              <w:right w:val="single" w:color="000000" w:sz="4" w:space="0"/>
            </w:tcBorders>
            <w:shd w:val="clear" w:color="auto" w:fill="auto"/>
            <w:noWrap/>
            <w:vAlign w:val="center"/>
          </w:tcPr>
          <w:p w14:paraId="39C59BB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0.898 5</w:t>
            </w:r>
          </w:p>
        </w:tc>
        <w:tc>
          <w:tcPr>
            <w:tcW w:w="1701" w:type="dxa"/>
            <w:tcBorders>
              <w:top w:val="nil"/>
              <w:left w:val="nil"/>
              <w:bottom w:val="single" w:color="000000" w:sz="4" w:space="0"/>
              <w:right w:val="single" w:color="000000" w:sz="4" w:space="0"/>
            </w:tcBorders>
            <w:shd w:val="clear" w:color="auto" w:fill="auto"/>
            <w:noWrap/>
            <w:vAlign w:val="center"/>
          </w:tcPr>
          <w:p w14:paraId="5D3A03E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190</w:t>
            </w:r>
          </w:p>
        </w:tc>
        <w:tc>
          <w:tcPr>
            <w:tcW w:w="1701" w:type="dxa"/>
            <w:tcBorders>
              <w:top w:val="nil"/>
              <w:left w:val="nil"/>
              <w:bottom w:val="single" w:color="000000" w:sz="4" w:space="0"/>
              <w:right w:val="single" w:color="000000" w:sz="4" w:space="0"/>
            </w:tcBorders>
            <w:shd w:val="clear" w:color="auto" w:fill="auto"/>
            <w:noWrap/>
            <w:vAlign w:val="center"/>
          </w:tcPr>
          <w:p w14:paraId="7139954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0.795 6</w:t>
            </w:r>
          </w:p>
        </w:tc>
      </w:tr>
      <w:tr w14:paraId="5626C8FC">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71091757">
            <w:pPr>
              <w:widowControl/>
              <w:jc w:val="center"/>
              <w:rPr>
                <w:rFonts w:ascii="Arial" w:hAnsi="Arial" w:cs="Arial"/>
                <w:color w:val="auto"/>
                <w:kern w:val="0"/>
                <w:sz w:val="20"/>
                <w:szCs w:val="20"/>
                <w:highlight w:val="none"/>
              </w:rPr>
            </w:pPr>
            <w:r>
              <w:rPr>
                <w:rFonts w:hint="eastAsia" w:ascii="Arial" w:hAnsi="Arial" w:cs="Arial"/>
                <w:color w:val="auto"/>
                <w:kern w:val="0"/>
                <w:sz w:val="20"/>
                <w:szCs w:val="20"/>
                <w:highlight w:val="none"/>
              </w:rPr>
              <w:t>0</w:t>
            </w:r>
          </w:p>
        </w:tc>
        <w:tc>
          <w:tcPr>
            <w:tcW w:w="1082" w:type="dxa"/>
            <w:tcBorders>
              <w:top w:val="nil"/>
              <w:left w:val="nil"/>
              <w:bottom w:val="single" w:color="000000" w:sz="4" w:space="0"/>
              <w:right w:val="single" w:color="000000" w:sz="4" w:space="0"/>
            </w:tcBorders>
            <w:shd w:val="clear" w:color="auto" w:fill="auto"/>
            <w:noWrap/>
            <w:vAlign w:val="center"/>
          </w:tcPr>
          <w:p w14:paraId="511390D6">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1.0360</w:t>
            </w:r>
          </w:p>
        </w:tc>
        <w:tc>
          <w:tcPr>
            <w:tcW w:w="1559" w:type="dxa"/>
            <w:tcBorders>
              <w:top w:val="nil"/>
              <w:left w:val="nil"/>
              <w:bottom w:val="single" w:color="000000" w:sz="4" w:space="0"/>
              <w:right w:val="single" w:color="000000" w:sz="4" w:space="0"/>
            </w:tcBorders>
            <w:shd w:val="clear" w:color="auto" w:fill="auto"/>
            <w:noWrap/>
            <w:vAlign w:val="center"/>
          </w:tcPr>
          <w:p w14:paraId="6AD917FE">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100</w:t>
            </w:r>
          </w:p>
        </w:tc>
        <w:tc>
          <w:tcPr>
            <w:tcW w:w="1418" w:type="dxa"/>
            <w:tcBorders>
              <w:top w:val="nil"/>
              <w:left w:val="nil"/>
              <w:bottom w:val="single" w:color="000000" w:sz="4" w:space="0"/>
              <w:right w:val="single" w:color="000000" w:sz="4" w:space="0"/>
            </w:tcBorders>
            <w:shd w:val="clear" w:color="auto" w:fill="auto"/>
            <w:noWrap/>
            <w:vAlign w:val="center"/>
          </w:tcPr>
          <w:p w14:paraId="576C655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0.8863</w:t>
            </w:r>
          </w:p>
        </w:tc>
        <w:tc>
          <w:tcPr>
            <w:tcW w:w="1701" w:type="dxa"/>
            <w:tcBorders>
              <w:top w:val="nil"/>
              <w:left w:val="nil"/>
              <w:bottom w:val="single" w:color="000000" w:sz="4" w:space="0"/>
              <w:right w:val="single" w:color="000000" w:sz="4" w:space="0"/>
            </w:tcBorders>
            <w:shd w:val="clear" w:color="auto" w:fill="auto"/>
            <w:noWrap/>
            <w:vAlign w:val="center"/>
          </w:tcPr>
          <w:p w14:paraId="6D31AC0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200</w:t>
            </w:r>
          </w:p>
        </w:tc>
        <w:tc>
          <w:tcPr>
            <w:tcW w:w="1701" w:type="dxa"/>
            <w:tcBorders>
              <w:top w:val="nil"/>
              <w:left w:val="nil"/>
              <w:bottom w:val="single" w:color="000000" w:sz="4" w:space="0"/>
              <w:right w:val="single" w:color="000000" w:sz="4" w:space="0"/>
            </w:tcBorders>
            <w:shd w:val="clear" w:color="auto" w:fill="auto"/>
            <w:noWrap/>
            <w:vAlign w:val="center"/>
          </w:tcPr>
          <w:p w14:paraId="3C9CC5C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0.787 1</w:t>
            </w:r>
          </w:p>
        </w:tc>
      </w:tr>
      <w:tr w14:paraId="050A9E84">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7943719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w:t>
            </w:r>
          </w:p>
        </w:tc>
        <w:tc>
          <w:tcPr>
            <w:tcW w:w="1082" w:type="dxa"/>
            <w:tcBorders>
              <w:top w:val="nil"/>
              <w:left w:val="nil"/>
              <w:bottom w:val="single" w:color="000000" w:sz="4" w:space="0"/>
              <w:right w:val="single" w:color="000000" w:sz="4" w:space="0"/>
            </w:tcBorders>
            <w:shd w:val="clear" w:color="auto" w:fill="auto"/>
            <w:noWrap/>
            <w:vAlign w:val="center"/>
          </w:tcPr>
          <w:p w14:paraId="65772EC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1.0175</w:t>
            </w:r>
          </w:p>
        </w:tc>
        <w:tc>
          <w:tcPr>
            <w:tcW w:w="1559" w:type="dxa"/>
            <w:tcBorders>
              <w:top w:val="nil"/>
              <w:left w:val="nil"/>
              <w:bottom w:val="single" w:color="000000" w:sz="4" w:space="0"/>
              <w:right w:val="single" w:color="000000" w:sz="4" w:space="0"/>
            </w:tcBorders>
            <w:shd w:val="clear" w:color="auto" w:fill="auto"/>
            <w:noWrap/>
            <w:vAlign w:val="center"/>
          </w:tcPr>
          <w:p w14:paraId="558D866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110</w:t>
            </w:r>
          </w:p>
        </w:tc>
        <w:tc>
          <w:tcPr>
            <w:tcW w:w="1418" w:type="dxa"/>
            <w:tcBorders>
              <w:top w:val="nil"/>
              <w:left w:val="nil"/>
              <w:bottom w:val="single" w:color="000000" w:sz="4" w:space="0"/>
              <w:right w:val="single" w:color="000000" w:sz="4" w:space="0"/>
            </w:tcBorders>
            <w:shd w:val="clear" w:color="auto" w:fill="auto"/>
            <w:noWrap/>
            <w:vAlign w:val="center"/>
          </w:tcPr>
          <w:p w14:paraId="3DB711A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0.8747</w:t>
            </w:r>
          </w:p>
        </w:tc>
        <w:tc>
          <w:tcPr>
            <w:tcW w:w="1701" w:type="dxa"/>
            <w:tcBorders>
              <w:top w:val="nil"/>
              <w:left w:val="nil"/>
              <w:bottom w:val="single" w:color="000000" w:sz="4" w:space="0"/>
              <w:right w:val="single" w:color="000000" w:sz="4" w:space="0"/>
            </w:tcBorders>
            <w:shd w:val="clear" w:color="auto" w:fill="auto"/>
            <w:noWrap/>
            <w:vAlign w:val="center"/>
          </w:tcPr>
          <w:p w14:paraId="012CBC81">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210</w:t>
            </w:r>
          </w:p>
        </w:tc>
        <w:tc>
          <w:tcPr>
            <w:tcW w:w="1701" w:type="dxa"/>
            <w:tcBorders>
              <w:top w:val="nil"/>
              <w:left w:val="nil"/>
              <w:bottom w:val="single" w:color="000000" w:sz="4" w:space="0"/>
              <w:right w:val="single" w:color="000000" w:sz="4" w:space="0"/>
            </w:tcBorders>
            <w:shd w:val="clear" w:color="auto" w:fill="auto"/>
            <w:noWrap/>
            <w:vAlign w:val="center"/>
          </w:tcPr>
          <w:p w14:paraId="4D4286E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0.778 9</w:t>
            </w:r>
          </w:p>
        </w:tc>
      </w:tr>
      <w:tr w14:paraId="492F50EF">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4986014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20</w:t>
            </w:r>
          </w:p>
        </w:tc>
        <w:tc>
          <w:tcPr>
            <w:tcW w:w="1082" w:type="dxa"/>
            <w:tcBorders>
              <w:top w:val="nil"/>
              <w:left w:val="nil"/>
              <w:bottom w:val="single" w:color="000000" w:sz="4" w:space="0"/>
              <w:right w:val="single" w:color="000000" w:sz="4" w:space="0"/>
            </w:tcBorders>
            <w:shd w:val="clear" w:color="auto" w:fill="auto"/>
            <w:noWrap/>
            <w:vAlign w:val="center"/>
          </w:tcPr>
          <w:p w14:paraId="1F6CF27F">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1.000</w:t>
            </w:r>
          </w:p>
        </w:tc>
        <w:tc>
          <w:tcPr>
            <w:tcW w:w="1559" w:type="dxa"/>
            <w:tcBorders>
              <w:top w:val="nil"/>
              <w:left w:val="nil"/>
              <w:bottom w:val="single" w:color="000000" w:sz="4" w:space="0"/>
              <w:right w:val="single" w:color="000000" w:sz="4" w:space="0"/>
            </w:tcBorders>
            <w:shd w:val="clear" w:color="auto" w:fill="auto"/>
            <w:noWrap/>
            <w:vAlign w:val="center"/>
          </w:tcPr>
          <w:p w14:paraId="50EDF43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120</w:t>
            </w:r>
          </w:p>
        </w:tc>
        <w:tc>
          <w:tcPr>
            <w:tcW w:w="1418" w:type="dxa"/>
            <w:tcBorders>
              <w:top w:val="nil"/>
              <w:left w:val="nil"/>
              <w:bottom w:val="single" w:color="000000" w:sz="4" w:space="0"/>
              <w:right w:val="single" w:color="000000" w:sz="4" w:space="0"/>
            </w:tcBorders>
            <w:shd w:val="clear" w:color="auto" w:fill="auto"/>
            <w:noWrap/>
            <w:vAlign w:val="center"/>
          </w:tcPr>
          <w:p w14:paraId="04387AF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0.8635</w:t>
            </w:r>
          </w:p>
        </w:tc>
        <w:tc>
          <w:tcPr>
            <w:tcW w:w="1701" w:type="dxa"/>
            <w:tcBorders>
              <w:top w:val="nil"/>
              <w:left w:val="nil"/>
              <w:bottom w:val="single" w:color="000000" w:sz="4" w:space="0"/>
              <w:right w:val="single" w:color="000000" w:sz="4" w:space="0"/>
            </w:tcBorders>
            <w:shd w:val="clear" w:color="auto" w:fill="auto"/>
            <w:noWrap/>
            <w:vAlign w:val="center"/>
          </w:tcPr>
          <w:p w14:paraId="78E71B9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220</w:t>
            </w:r>
          </w:p>
        </w:tc>
        <w:tc>
          <w:tcPr>
            <w:tcW w:w="1701" w:type="dxa"/>
            <w:tcBorders>
              <w:top w:val="nil"/>
              <w:left w:val="nil"/>
              <w:bottom w:val="single" w:color="000000" w:sz="4" w:space="0"/>
              <w:right w:val="single" w:color="000000" w:sz="4" w:space="0"/>
            </w:tcBorders>
            <w:shd w:val="clear" w:color="auto" w:fill="auto"/>
            <w:noWrap/>
            <w:vAlign w:val="center"/>
          </w:tcPr>
          <w:p w14:paraId="0BFEC83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0.7710</w:t>
            </w:r>
          </w:p>
        </w:tc>
      </w:tr>
      <w:tr w14:paraId="44006030">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10CC81CA">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30</w:t>
            </w:r>
          </w:p>
        </w:tc>
        <w:tc>
          <w:tcPr>
            <w:tcW w:w="1082" w:type="dxa"/>
            <w:tcBorders>
              <w:top w:val="nil"/>
              <w:left w:val="nil"/>
              <w:bottom w:val="single" w:color="000000" w:sz="4" w:space="0"/>
              <w:right w:val="single" w:color="000000" w:sz="4" w:space="0"/>
            </w:tcBorders>
            <w:shd w:val="clear" w:color="auto" w:fill="auto"/>
            <w:noWrap/>
            <w:vAlign w:val="center"/>
          </w:tcPr>
          <w:p w14:paraId="5A61C2D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0.983 4</w:t>
            </w:r>
          </w:p>
        </w:tc>
        <w:tc>
          <w:tcPr>
            <w:tcW w:w="1559" w:type="dxa"/>
            <w:tcBorders>
              <w:top w:val="nil"/>
              <w:left w:val="nil"/>
              <w:bottom w:val="single" w:color="000000" w:sz="4" w:space="0"/>
              <w:right w:val="single" w:color="000000" w:sz="4" w:space="0"/>
            </w:tcBorders>
            <w:shd w:val="clear" w:color="auto" w:fill="auto"/>
            <w:noWrap/>
            <w:vAlign w:val="center"/>
          </w:tcPr>
          <w:p w14:paraId="5E2150F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130</w:t>
            </w:r>
          </w:p>
        </w:tc>
        <w:tc>
          <w:tcPr>
            <w:tcW w:w="1418" w:type="dxa"/>
            <w:tcBorders>
              <w:top w:val="nil"/>
              <w:left w:val="nil"/>
              <w:bottom w:val="single" w:color="000000" w:sz="4" w:space="0"/>
              <w:right w:val="single" w:color="000000" w:sz="4" w:space="0"/>
            </w:tcBorders>
            <w:shd w:val="clear" w:color="auto" w:fill="auto"/>
            <w:noWrap/>
            <w:vAlign w:val="center"/>
          </w:tcPr>
          <w:p w14:paraId="7B184E6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0.8527</w:t>
            </w:r>
          </w:p>
        </w:tc>
        <w:tc>
          <w:tcPr>
            <w:tcW w:w="1701" w:type="dxa"/>
            <w:tcBorders>
              <w:top w:val="nil"/>
              <w:left w:val="nil"/>
              <w:bottom w:val="single" w:color="000000" w:sz="4" w:space="0"/>
              <w:right w:val="single" w:color="000000" w:sz="4" w:space="0"/>
            </w:tcBorders>
            <w:shd w:val="clear" w:color="auto" w:fill="auto"/>
            <w:noWrap/>
            <w:vAlign w:val="center"/>
          </w:tcPr>
          <w:p w14:paraId="527A33E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230</w:t>
            </w:r>
          </w:p>
        </w:tc>
        <w:tc>
          <w:tcPr>
            <w:tcW w:w="1701" w:type="dxa"/>
            <w:tcBorders>
              <w:top w:val="nil"/>
              <w:left w:val="nil"/>
              <w:bottom w:val="single" w:color="000000" w:sz="4" w:space="0"/>
              <w:right w:val="single" w:color="000000" w:sz="4" w:space="0"/>
            </w:tcBorders>
            <w:shd w:val="clear" w:color="auto" w:fill="auto"/>
            <w:noWrap/>
            <w:vAlign w:val="center"/>
          </w:tcPr>
          <w:p w14:paraId="732E82F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0.7633</w:t>
            </w:r>
          </w:p>
        </w:tc>
      </w:tr>
      <w:tr w14:paraId="6F9CB3FB">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2D16267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40</w:t>
            </w:r>
          </w:p>
        </w:tc>
        <w:tc>
          <w:tcPr>
            <w:tcW w:w="1082" w:type="dxa"/>
            <w:tcBorders>
              <w:top w:val="nil"/>
              <w:left w:val="nil"/>
              <w:bottom w:val="single" w:color="000000" w:sz="4" w:space="0"/>
              <w:right w:val="single" w:color="000000" w:sz="4" w:space="0"/>
            </w:tcBorders>
            <w:shd w:val="clear" w:color="auto" w:fill="auto"/>
            <w:noWrap/>
            <w:vAlign w:val="center"/>
          </w:tcPr>
          <w:p w14:paraId="59B46B5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0.9675</w:t>
            </w:r>
          </w:p>
        </w:tc>
        <w:tc>
          <w:tcPr>
            <w:tcW w:w="1559" w:type="dxa"/>
            <w:tcBorders>
              <w:top w:val="nil"/>
              <w:left w:val="nil"/>
              <w:bottom w:val="single" w:color="000000" w:sz="4" w:space="0"/>
              <w:right w:val="single" w:color="000000" w:sz="4" w:space="0"/>
            </w:tcBorders>
            <w:shd w:val="clear" w:color="auto" w:fill="auto"/>
            <w:noWrap/>
            <w:vAlign w:val="center"/>
          </w:tcPr>
          <w:p w14:paraId="1703BAD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140</w:t>
            </w:r>
          </w:p>
        </w:tc>
        <w:tc>
          <w:tcPr>
            <w:tcW w:w="1418" w:type="dxa"/>
            <w:tcBorders>
              <w:top w:val="nil"/>
              <w:left w:val="nil"/>
              <w:bottom w:val="single" w:color="000000" w:sz="4" w:space="0"/>
              <w:right w:val="single" w:color="000000" w:sz="4" w:space="0"/>
            </w:tcBorders>
            <w:shd w:val="clear" w:color="auto" w:fill="auto"/>
            <w:noWrap/>
            <w:vAlign w:val="center"/>
          </w:tcPr>
          <w:p w14:paraId="655E96D0">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0.8423</w:t>
            </w:r>
          </w:p>
        </w:tc>
        <w:tc>
          <w:tcPr>
            <w:tcW w:w="1701" w:type="dxa"/>
            <w:tcBorders>
              <w:top w:val="nil"/>
              <w:left w:val="nil"/>
              <w:bottom w:val="single" w:color="000000" w:sz="4" w:space="0"/>
              <w:right w:val="single" w:color="000000" w:sz="4" w:space="0"/>
            </w:tcBorders>
            <w:shd w:val="clear" w:color="auto" w:fill="auto"/>
            <w:noWrap/>
            <w:vAlign w:val="center"/>
          </w:tcPr>
          <w:p w14:paraId="23386CB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240</w:t>
            </w:r>
          </w:p>
        </w:tc>
        <w:tc>
          <w:tcPr>
            <w:tcW w:w="1701" w:type="dxa"/>
            <w:tcBorders>
              <w:top w:val="nil"/>
              <w:left w:val="nil"/>
              <w:bottom w:val="single" w:color="000000" w:sz="4" w:space="0"/>
              <w:right w:val="single" w:color="000000" w:sz="4" w:space="0"/>
            </w:tcBorders>
            <w:shd w:val="clear" w:color="auto" w:fill="auto"/>
            <w:noWrap/>
            <w:vAlign w:val="center"/>
          </w:tcPr>
          <w:p w14:paraId="3714096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0.755 8</w:t>
            </w:r>
          </w:p>
        </w:tc>
      </w:tr>
      <w:tr w14:paraId="5B9B05AE">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65A740D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50</w:t>
            </w:r>
          </w:p>
        </w:tc>
        <w:tc>
          <w:tcPr>
            <w:tcW w:w="1082" w:type="dxa"/>
            <w:tcBorders>
              <w:top w:val="nil"/>
              <w:left w:val="nil"/>
              <w:bottom w:val="single" w:color="000000" w:sz="4" w:space="0"/>
              <w:right w:val="single" w:color="000000" w:sz="4" w:space="0"/>
            </w:tcBorders>
            <w:shd w:val="clear" w:color="auto" w:fill="auto"/>
            <w:noWrap/>
            <w:vAlign w:val="center"/>
          </w:tcPr>
          <w:p w14:paraId="749BC24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0.9625</w:t>
            </w:r>
          </w:p>
        </w:tc>
        <w:tc>
          <w:tcPr>
            <w:tcW w:w="1559" w:type="dxa"/>
            <w:tcBorders>
              <w:top w:val="nil"/>
              <w:left w:val="nil"/>
              <w:bottom w:val="single" w:color="000000" w:sz="4" w:space="0"/>
              <w:right w:val="single" w:color="000000" w:sz="4" w:space="0"/>
            </w:tcBorders>
            <w:shd w:val="clear" w:color="auto" w:fill="auto"/>
            <w:noWrap/>
            <w:vAlign w:val="center"/>
          </w:tcPr>
          <w:p w14:paraId="766EE38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150</w:t>
            </w:r>
          </w:p>
        </w:tc>
        <w:tc>
          <w:tcPr>
            <w:tcW w:w="1418" w:type="dxa"/>
            <w:tcBorders>
              <w:top w:val="nil"/>
              <w:left w:val="nil"/>
              <w:bottom w:val="single" w:color="000000" w:sz="4" w:space="0"/>
              <w:right w:val="single" w:color="000000" w:sz="4" w:space="0"/>
            </w:tcBorders>
            <w:shd w:val="clear" w:color="auto" w:fill="auto"/>
            <w:noWrap/>
            <w:vAlign w:val="center"/>
          </w:tcPr>
          <w:p w14:paraId="5B53D74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0.8323</w:t>
            </w:r>
          </w:p>
        </w:tc>
        <w:tc>
          <w:tcPr>
            <w:tcW w:w="1701" w:type="dxa"/>
            <w:tcBorders>
              <w:top w:val="nil"/>
              <w:left w:val="nil"/>
              <w:bottom w:val="single" w:color="000000" w:sz="4" w:space="0"/>
              <w:right w:val="single" w:color="000000" w:sz="4" w:space="0"/>
            </w:tcBorders>
            <w:shd w:val="clear" w:color="auto" w:fill="auto"/>
            <w:noWrap/>
            <w:vAlign w:val="center"/>
          </w:tcPr>
          <w:p w14:paraId="27EEF89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250</w:t>
            </w:r>
          </w:p>
        </w:tc>
        <w:tc>
          <w:tcPr>
            <w:tcW w:w="1701" w:type="dxa"/>
            <w:tcBorders>
              <w:top w:val="nil"/>
              <w:left w:val="nil"/>
              <w:bottom w:val="single" w:color="000000" w:sz="4" w:space="0"/>
              <w:right w:val="single" w:color="000000" w:sz="4" w:space="0"/>
            </w:tcBorders>
            <w:shd w:val="clear" w:color="auto" w:fill="auto"/>
            <w:noWrap/>
            <w:vAlign w:val="center"/>
          </w:tcPr>
          <w:p w14:paraId="77D2C565">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0.748 6</w:t>
            </w:r>
          </w:p>
        </w:tc>
      </w:tr>
      <w:tr w14:paraId="16E65F73">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0193F2D4">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60</w:t>
            </w:r>
          </w:p>
        </w:tc>
        <w:tc>
          <w:tcPr>
            <w:tcW w:w="1082" w:type="dxa"/>
            <w:tcBorders>
              <w:top w:val="nil"/>
              <w:left w:val="nil"/>
              <w:bottom w:val="single" w:color="000000" w:sz="4" w:space="0"/>
              <w:right w:val="single" w:color="000000" w:sz="4" w:space="0"/>
            </w:tcBorders>
            <w:shd w:val="clear" w:color="auto" w:fill="auto"/>
            <w:noWrap/>
            <w:vAlign w:val="center"/>
          </w:tcPr>
          <w:p w14:paraId="4F5901B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0.9380</w:t>
            </w:r>
          </w:p>
        </w:tc>
        <w:tc>
          <w:tcPr>
            <w:tcW w:w="1559" w:type="dxa"/>
            <w:tcBorders>
              <w:top w:val="nil"/>
              <w:left w:val="nil"/>
              <w:bottom w:val="single" w:color="000000" w:sz="4" w:space="0"/>
              <w:right w:val="single" w:color="000000" w:sz="4" w:space="0"/>
            </w:tcBorders>
            <w:shd w:val="clear" w:color="auto" w:fill="auto"/>
            <w:noWrap/>
            <w:vAlign w:val="center"/>
          </w:tcPr>
          <w:p w14:paraId="2099E3C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160</w:t>
            </w:r>
          </w:p>
        </w:tc>
        <w:tc>
          <w:tcPr>
            <w:tcW w:w="1418" w:type="dxa"/>
            <w:tcBorders>
              <w:top w:val="nil"/>
              <w:left w:val="nil"/>
              <w:bottom w:val="single" w:color="000000" w:sz="4" w:space="0"/>
              <w:right w:val="single" w:color="000000" w:sz="4" w:space="0"/>
            </w:tcBorders>
            <w:shd w:val="clear" w:color="auto" w:fill="auto"/>
            <w:noWrap/>
            <w:vAlign w:val="center"/>
          </w:tcPr>
          <w:p w14:paraId="72B18DB9">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0.8227</w:t>
            </w:r>
          </w:p>
        </w:tc>
        <w:tc>
          <w:tcPr>
            <w:tcW w:w="1701" w:type="dxa"/>
            <w:tcBorders>
              <w:top w:val="nil"/>
              <w:left w:val="nil"/>
              <w:bottom w:val="single" w:color="000000" w:sz="4" w:space="0"/>
              <w:right w:val="single" w:color="000000" w:sz="4" w:space="0"/>
            </w:tcBorders>
            <w:shd w:val="clear" w:color="auto" w:fill="auto"/>
            <w:noWrap/>
            <w:vAlign w:val="center"/>
          </w:tcPr>
          <w:p w14:paraId="695B61E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w:t>
            </w:r>
          </w:p>
        </w:tc>
        <w:tc>
          <w:tcPr>
            <w:tcW w:w="1701" w:type="dxa"/>
            <w:tcBorders>
              <w:top w:val="nil"/>
              <w:left w:val="nil"/>
              <w:bottom w:val="single" w:color="000000" w:sz="4" w:space="0"/>
              <w:right w:val="single" w:color="000000" w:sz="4" w:space="0"/>
            </w:tcBorders>
            <w:shd w:val="clear" w:color="auto" w:fill="auto"/>
            <w:noWrap/>
            <w:vAlign w:val="center"/>
          </w:tcPr>
          <w:p w14:paraId="2A71C352">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w:t>
            </w:r>
          </w:p>
        </w:tc>
      </w:tr>
      <w:tr w14:paraId="2931583B">
        <w:tblPrEx>
          <w:tblCellMar>
            <w:top w:w="0" w:type="dxa"/>
            <w:left w:w="108" w:type="dxa"/>
            <w:bottom w:w="0" w:type="dxa"/>
            <w:right w:w="108" w:type="dxa"/>
          </w:tblCellMar>
        </w:tblPrEx>
        <w:trPr>
          <w:trHeight w:val="255" w:hRule="atLeast"/>
        </w:trPr>
        <w:tc>
          <w:tcPr>
            <w:tcW w:w="1442" w:type="dxa"/>
            <w:tcBorders>
              <w:top w:val="nil"/>
              <w:left w:val="single" w:color="000000" w:sz="4" w:space="0"/>
              <w:bottom w:val="single" w:color="000000" w:sz="4" w:space="0"/>
              <w:right w:val="single" w:color="000000" w:sz="4" w:space="0"/>
            </w:tcBorders>
            <w:shd w:val="clear" w:color="auto" w:fill="auto"/>
            <w:noWrap/>
            <w:vAlign w:val="center"/>
          </w:tcPr>
          <w:p w14:paraId="0626B757">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70</w:t>
            </w:r>
          </w:p>
        </w:tc>
        <w:tc>
          <w:tcPr>
            <w:tcW w:w="1082" w:type="dxa"/>
            <w:tcBorders>
              <w:top w:val="nil"/>
              <w:left w:val="nil"/>
              <w:bottom w:val="single" w:color="000000" w:sz="4" w:space="0"/>
              <w:right w:val="single" w:color="000000" w:sz="4" w:space="0"/>
            </w:tcBorders>
            <w:shd w:val="clear" w:color="auto" w:fill="auto"/>
            <w:noWrap/>
            <w:vAlign w:val="center"/>
          </w:tcPr>
          <w:p w14:paraId="3F05972C">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0.924 3</w:t>
            </w:r>
          </w:p>
        </w:tc>
        <w:tc>
          <w:tcPr>
            <w:tcW w:w="1559" w:type="dxa"/>
            <w:tcBorders>
              <w:top w:val="nil"/>
              <w:left w:val="nil"/>
              <w:bottom w:val="single" w:color="000000" w:sz="4" w:space="0"/>
              <w:right w:val="single" w:color="000000" w:sz="4" w:space="0"/>
            </w:tcBorders>
            <w:shd w:val="clear" w:color="auto" w:fill="auto"/>
            <w:noWrap/>
            <w:vAlign w:val="center"/>
          </w:tcPr>
          <w:p w14:paraId="5C7252D8">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170</w:t>
            </w:r>
          </w:p>
        </w:tc>
        <w:tc>
          <w:tcPr>
            <w:tcW w:w="1418" w:type="dxa"/>
            <w:tcBorders>
              <w:top w:val="nil"/>
              <w:left w:val="nil"/>
              <w:bottom w:val="single" w:color="000000" w:sz="4" w:space="0"/>
              <w:right w:val="single" w:color="000000" w:sz="4" w:space="0"/>
            </w:tcBorders>
            <w:shd w:val="clear" w:color="auto" w:fill="auto"/>
            <w:noWrap/>
            <w:vAlign w:val="center"/>
          </w:tcPr>
          <w:p w14:paraId="3B1BCC43">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0.813 3</w:t>
            </w:r>
          </w:p>
        </w:tc>
        <w:tc>
          <w:tcPr>
            <w:tcW w:w="1701" w:type="dxa"/>
            <w:tcBorders>
              <w:top w:val="nil"/>
              <w:left w:val="nil"/>
              <w:bottom w:val="single" w:color="000000" w:sz="4" w:space="0"/>
              <w:right w:val="single" w:color="000000" w:sz="4" w:space="0"/>
            </w:tcBorders>
            <w:shd w:val="clear" w:color="auto" w:fill="auto"/>
            <w:noWrap/>
            <w:vAlign w:val="center"/>
          </w:tcPr>
          <w:p w14:paraId="35321C0D">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w:t>
            </w:r>
          </w:p>
        </w:tc>
        <w:tc>
          <w:tcPr>
            <w:tcW w:w="1701" w:type="dxa"/>
            <w:tcBorders>
              <w:top w:val="nil"/>
              <w:left w:val="nil"/>
              <w:bottom w:val="single" w:color="000000" w:sz="4" w:space="0"/>
              <w:right w:val="single" w:color="000000" w:sz="4" w:space="0"/>
            </w:tcBorders>
            <w:shd w:val="clear" w:color="auto" w:fill="auto"/>
            <w:noWrap/>
            <w:vAlign w:val="center"/>
          </w:tcPr>
          <w:p w14:paraId="2D91C15B">
            <w:pPr>
              <w:widowControl/>
              <w:jc w:val="center"/>
              <w:rPr>
                <w:rFonts w:ascii="Arial" w:hAnsi="Arial" w:cs="Arial"/>
                <w:color w:val="auto"/>
                <w:kern w:val="0"/>
                <w:sz w:val="20"/>
                <w:szCs w:val="20"/>
                <w:highlight w:val="none"/>
              </w:rPr>
            </w:pPr>
            <w:r>
              <w:rPr>
                <w:rFonts w:ascii="Arial" w:hAnsi="Arial" w:cs="Arial"/>
                <w:color w:val="auto"/>
                <w:kern w:val="0"/>
                <w:sz w:val="20"/>
                <w:szCs w:val="20"/>
                <w:highlight w:val="none"/>
              </w:rPr>
              <w:t>　</w:t>
            </w:r>
          </w:p>
        </w:tc>
      </w:tr>
    </w:tbl>
    <w:p w14:paraId="5961294A">
      <w:pPr>
        <w:pStyle w:val="61"/>
        <w:tabs>
          <w:tab w:val="left" w:pos="5320"/>
        </w:tabs>
        <w:spacing w:before="50" w:after="50"/>
        <w:ind w:firstLine="0" w:firstLineChars="0"/>
        <w:rPr>
          <w:rFonts w:hint="eastAsia"/>
          <w:sz w:val="18"/>
          <w:szCs w:val="18"/>
          <w:lang w:eastAsia="zh-CN"/>
        </w:rPr>
        <w:sectPr>
          <w:footerReference r:id="rId8" w:type="default"/>
          <w:footerReference r:id="rId9" w:type="even"/>
          <w:pgSz w:w="11907" w:h="16839"/>
          <w:pgMar w:top="1418" w:right="1134" w:bottom="1134" w:left="1418" w:header="1418" w:footer="851" w:gutter="0"/>
          <w:pgNumType w:start="1"/>
          <w:cols w:space="720" w:num="1"/>
          <w:docGrid w:type="lines" w:linePitch="312" w:charSpace="0"/>
        </w:sectPr>
      </w:pPr>
      <w:r>
        <w:rPr>
          <w:sz w:val="20"/>
        </w:rPr>
        <mc:AlternateContent>
          <mc:Choice Requires="wps">
            <w:drawing>
              <wp:anchor distT="0" distB="0" distL="114300" distR="114300" simplePos="0" relativeHeight="251669504" behindDoc="0" locked="0" layoutInCell="1" allowOverlap="1">
                <wp:simplePos x="0" y="0"/>
                <wp:positionH relativeFrom="column">
                  <wp:posOffset>2077720</wp:posOffset>
                </wp:positionH>
                <wp:positionV relativeFrom="paragraph">
                  <wp:posOffset>226060</wp:posOffset>
                </wp:positionV>
                <wp:extent cx="1842770" cy="0"/>
                <wp:effectExtent l="0" t="0" r="0" b="0"/>
                <wp:wrapNone/>
                <wp:docPr id="11" name="直线 15"/>
                <wp:cNvGraphicFramePr/>
                <a:graphic xmlns:a="http://schemas.openxmlformats.org/drawingml/2006/main">
                  <a:graphicData uri="http://schemas.microsoft.com/office/word/2010/wordprocessingShape">
                    <wps:wsp>
                      <wps:cNvCnPr/>
                      <wps:spPr>
                        <a:xfrm>
                          <a:off x="0" y="0"/>
                          <a:ext cx="184277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5" o:spid="_x0000_s1026" o:spt="20" style="position:absolute;left:0pt;margin-left:163.6pt;margin-top:17.8pt;height:0pt;width:145.1pt;z-index:251669504;mso-width-relative:page;mso-height-relative:page;" filled="f" stroked="t" coordsize="21600,21600" o:gfxdata="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O/amu&#10;1gAAAAkBAAAPAAAAAAAAAAEAIAAAACIAAABkcnMvZG93bnJldi54bWxQSwECFAAUAAAACACHTuJA&#10;2dzFPuoBAADdAwAADgAAAAAAAAABACAAAAAlAQAAZHJzL2Uyb0RvYy54bWxQSwUGAAAAAAYABgBZ&#10;AQAAgQUAAAAA&#10;">
                <v:fill on="f" focussize="0,0"/>
                <v:stroke color="#000000" joinstyle="round"/>
                <v:imagedata o:title=""/>
                <o:lock v:ext="edit" aspectratio="f"/>
              </v:line>
            </w:pict>
          </mc:Fallback>
        </mc:AlternateContent>
      </w:r>
      <w:bookmarkEnd w:id="1"/>
      <w:r>
        <w:rPr>
          <w:rFonts w:hint="eastAsia"/>
          <w:sz w:val="18"/>
          <w:szCs w:val="18"/>
          <w:lang w:eastAsia="zh-CN"/>
        </w:rPr>
        <w:tab/>
      </w:r>
    </w:p>
    <w:p w14:paraId="7473B5F3">
      <w:pPr>
        <w:spacing w:before="234" w:beforeLines="50" w:after="234" w:afterLines="50" w:line="360" w:lineRule="auto"/>
        <w:jc w:val="center"/>
        <w:rPr>
          <w:b/>
          <w:color w:val="auto"/>
          <w:sz w:val="36"/>
          <w:szCs w:val="36"/>
        </w:rPr>
      </w:pPr>
      <w:r>
        <w:rPr>
          <w:rFonts w:hint="eastAsia"/>
          <w:b/>
          <w:color w:val="auto"/>
          <w:sz w:val="36"/>
          <w:szCs w:val="36"/>
        </w:rPr>
        <w:t>团体标准编制说明</w:t>
      </w:r>
    </w:p>
    <w:p w14:paraId="070557DA">
      <w:pPr>
        <w:pStyle w:val="112"/>
        <w:spacing w:before="234" w:beforeLines="50" w:after="0" w:line="360" w:lineRule="auto"/>
        <w:ind w:firstLine="0" w:firstLineChars="0"/>
        <w:jc w:val="left"/>
        <w:rPr>
          <w:b/>
          <w:bCs/>
          <w:color w:val="auto"/>
          <w:sz w:val="32"/>
          <w:szCs w:val="32"/>
        </w:rPr>
      </w:pPr>
      <w:r>
        <w:rPr>
          <w:rFonts w:hint="eastAsia"/>
          <w:b/>
          <w:bCs/>
          <w:color w:val="auto"/>
          <w:sz w:val="32"/>
          <w:szCs w:val="32"/>
        </w:rPr>
        <w:t>一、任务背景</w:t>
      </w:r>
    </w:p>
    <w:p w14:paraId="437C0C42">
      <w:pPr>
        <w:spacing w:after="0"/>
        <w:ind w:firstLine="560" w:firstLineChars="200"/>
        <w:jc w:val="left"/>
        <w:rPr>
          <w:color w:val="auto"/>
          <w:sz w:val="28"/>
          <w:szCs w:val="28"/>
        </w:rPr>
      </w:pPr>
      <w:r>
        <w:rPr>
          <w:rFonts w:hint="eastAsia"/>
          <w:color w:val="auto"/>
          <w:sz w:val="28"/>
          <w:szCs w:val="28"/>
        </w:rPr>
        <w:t>针对石油开采行业复杂工况（如高粘度、含颗粒原油及油、气多相混合液）流量计量的世界性难题，传统流量计（如涡街流量计、金属管浮子流量计、</w:t>
      </w:r>
      <w:r>
        <w:rPr>
          <w:rFonts w:hint="eastAsia"/>
          <w:color w:val="auto"/>
          <w:sz w:val="28"/>
          <w:szCs w:val="28"/>
          <w:lang w:eastAsia="zh-CN"/>
        </w:rPr>
        <w:t>涡轮流量计</w:t>
      </w:r>
      <w:r>
        <w:rPr>
          <w:rFonts w:hint="eastAsia"/>
          <w:color w:val="auto"/>
          <w:sz w:val="28"/>
          <w:szCs w:val="28"/>
        </w:rPr>
        <w:t>等）在精度、稳定性和适应性方面存在明显不足。具体问题包括：</w:t>
      </w:r>
    </w:p>
    <w:p w14:paraId="562AA563">
      <w:pPr>
        <w:spacing w:after="0"/>
        <w:ind w:firstLine="560" w:firstLineChars="200"/>
        <w:jc w:val="left"/>
        <w:rPr>
          <w:color w:val="auto"/>
          <w:sz w:val="28"/>
          <w:szCs w:val="28"/>
        </w:rPr>
      </w:pPr>
      <w:r>
        <w:rPr>
          <w:rFonts w:hint="eastAsia"/>
          <w:color w:val="auto"/>
          <w:sz w:val="28"/>
          <w:szCs w:val="28"/>
        </w:rPr>
        <w:t>精度不足：原油成分复杂、粘度变化大，传统流量计易受环境温压波动影响，导致计量误差超标。</w:t>
      </w:r>
    </w:p>
    <w:p w14:paraId="0F6398AA">
      <w:pPr>
        <w:spacing w:after="0"/>
        <w:ind w:firstLine="560" w:firstLineChars="200"/>
        <w:jc w:val="left"/>
        <w:rPr>
          <w:color w:val="auto"/>
          <w:sz w:val="28"/>
          <w:szCs w:val="28"/>
        </w:rPr>
      </w:pPr>
      <w:r>
        <w:rPr>
          <w:rFonts w:hint="eastAsia"/>
          <w:color w:val="auto"/>
          <w:sz w:val="28"/>
          <w:szCs w:val="28"/>
        </w:rPr>
        <w:t>易堵塞与磨损：原油含杂质、固体颗粒，易堵塞测量管道，机械传动部件磨损严重，维护成本高。</w:t>
      </w:r>
    </w:p>
    <w:p w14:paraId="3D45C974">
      <w:pPr>
        <w:spacing w:after="0"/>
        <w:ind w:firstLine="560" w:firstLineChars="200"/>
        <w:jc w:val="left"/>
        <w:rPr>
          <w:color w:val="auto"/>
          <w:sz w:val="28"/>
          <w:szCs w:val="28"/>
        </w:rPr>
      </w:pPr>
      <w:r>
        <w:rPr>
          <w:rFonts w:hint="eastAsia"/>
          <w:color w:val="auto"/>
          <w:sz w:val="28"/>
          <w:szCs w:val="28"/>
        </w:rPr>
        <w:t>缺少多介质适用性：传统流量计在工作场景下无法适应多介质流体计量的需求。</w:t>
      </w:r>
    </w:p>
    <w:p w14:paraId="4D1E1875">
      <w:pPr>
        <w:spacing w:after="0"/>
        <w:ind w:firstLine="560" w:firstLineChars="200"/>
        <w:jc w:val="left"/>
        <w:rPr>
          <w:color w:val="auto"/>
          <w:sz w:val="28"/>
          <w:szCs w:val="28"/>
        </w:rPr>
      </w:pPr>
      <w:r>
        <w:rPr>
          <w:rFonts w:hint="eastAsia"/>
          <w:color w:val="auto"/>
          <w:sz w:val="28"/>
          <w:szCs w:val="28"/>
        </w:rPr>
        <w:t>冲感式浮子流量计通过非接触式磁感定位、多参数动态补偿、耐腐蚀一体化结构等技术创新，显著提升测量精度、抗堵塞能力和长期稳定性。其独立供电、防爆设计及远程数据传输功能，特别适用于油田野外作业和复杂工业场景。然而，现有标准（如JB/T 6844-2015《金属管浮子流量计》）无法覆盖其技术特性，亟需制定专用团体标准，规范产品设计、生产及检验流程，推动行业技术进步。</w:t>
      </w:r>
    </w:p>
    <w:p w14:paraId="56C09D8C">
      <w:pPr>
        <w:pStyle w:val="112"/>
        <w:spacing w:after="0" w:line="360" w:lineRule="auto"/>
        <w:ind w:firstLine="0" w:firstLineChars="0"/>
        <w:jc w:val="left"/>
        <w:rPr>
          <w:b/>
          <w:bCs/>
          <w:color w:val="auto"/>
          <w:sz w:val="32"/>
          <w:szCs w:val="32"/>
        </w:rPr>
      </w:pPr>
      <w:r>
        <w:rPr>
          <w:rFonts w:hint="eastAsia"/>
          <w:b/>
          <w:bCs/>
          <w:color w:val="auto"/>
          <w:sz w:val="32"/>
          <w:szCs w:val="32"/>
        </w:rPr>
        <w:t>二、任务来源</w:t>
      </w:r>
    </w:p>
    <w:p w14:paraId="6940F4DB">
      <w:pPr>
        <w:spacing w:after="0"/>
        <w:ind w:firstLine="560" w:firstLineChars="200"/>
        <w:jc w:val="left"/>
        <w:rPr>
          <w:color w:val="auto"/>
          <w:sz w:val="28"/>
          <w:szCs w:val="28"/>
        </w:rPr>
      </w:pPr>
      <w:r>
        <w:rPr>
          <w:rFonts w:hint="eastAsia"/>
          <w:color w:val="auto"/>
          <w:sz w:val="28"/>
          <w:szCs w:val="28"/>
        </w:rPr>
        <w:t>本标准由山东天工石油装备有限公司牵头，联合中国石油化工股份有限公司胜利油田分公司、山东省计量科学研究院、中国石油大学（华东）、曲阜师范大学、胜利油田东强机电设备制造有限公司、沈阳中科奥维科技股份有限公司等单位共同起草。标准编制任务基于以下需求：</w:t>
      </w:r>
    </w:p>
    <w:p w14:paraId="4638CD05">
      <w:pPr>
        <w:spacing w:after="0"/>
        <w:ind w:firstLine="560" w:firstLineChars="200"/>
        <w:jc w:val="left"/>
        <w:rPr>
          <w:color w:val="auto"/>
          <w:sz w:val="28"/>
          <w:szCs w:val="28"/>
        </w:rPr>
      </w:pPr>
      <w:r>
        <w:rPr>
          <w:rFonts w:hint="eastAsia"/>
          <w:color w:val="auto"/>
          <w:sz w:val="28"/>
          <w:szCs w:val="28"/>
        </w:rPr>
        <w:t>行业需求：填补原油开采及化工领域专用流量计标准的空白。</w:t>
      </w:r>
    </w:p>
    <w:p w14:paraId="274B2A6A">
      <w:pPr>
        <w:spacing w:after="0"/>
        <w:ind w:firstLine="560" w:firstLineChars="200"/>
        <w:jc w:val="left"/>
        <w:rPr>
          <w:color w:val="auto"/>
          <w:sz w:val="28"/>
          <w:szCs w:val="28"/>
        </w:rPr>
      </w:pPr>
      <w:r>
        <w:rPr>
          <w:rFonts w:hint="eastAsia"/>
          <w:color w:val="auto"/>
          <w:sz w:val="28"/>
          <w:szCs w:val="28"/>
        </w:rPr>
        <w:t>技术驱动：规范冲感式浮子流量计的非接触检测、多参数补偿等核心技术指标。</w:t>
      </w:r>
    </w:p>
    <w:p w14:paraId="30DF0C03">
      <w:pPr>
        <w:spacing w:after="0"/>
        <w:ind w:firstLine="560" w:firstLineChars="200"/>
        <w:jc w:val="left"/>
        <w:rPr>
          <w:color w:val="auto"/>
          <w:sz w:val="28"/>
          <w:szCs w:val="28"/>
        </w:rPr>
      </w:pPr>
      <w:r>
        <w:rPr>
          <w:rFonts w:hint="eastAsia"/>
          <w:color w:val="auto"/>
          <w:sz w:val="28"/>
          <w:szCs w:val="28"/>
        </w:rPr>
        <w:t>政策支持：响应国家智能制造和绿色能源战略，推动石油行业计量设备标准化、智能化、国产化。</w:t>
      </w:r>
    </w:p>
    <w:p w14:paraId="404BE780">
      <w:pPr>
        <w:spacing w:after="0"/>
        <w:ind w:firstLine="643" w:firstLineChars="200"/>
        <w:jc w:val="left"/>
        <w:rPr>
          <w:b/>
          <w:bCs/>
          <w:color w:val="auto"/>
          <w:sz w:val="32"/>
          <w:szCs w:val="32"/>
        </w:rPr>
      </w:pPr>
      <w:r>
        <w:rPr>
          <w:rFonts w:hint="eastAsia"/>
          <w:b/>
          <w:bCs/>
          <w:color w:val="auto"/>
          <w:sz w:val="32"/>
          <w:szCs w:val="32"/>
        </w:rPr>
        <w:t>三、编写依据</w:t>
      </w:r>
    </w:p>
    <w:p w14:paraId="0017C10E">
      <w:pPr>
        <w:spacing w:after="0"/>
        <w:ind w:firstLine="560" w:firstLineChars="200"/>
        <w:jc w:val="left"/>
        <w:rPr>
          <w:color w:val="auto"/>
          <w:sz w:val="28"/>
          <w:szCs w:val="28"/>
        </w:rPr>
      </w:pPr>
      <w:r>
        <w:rPr>
          <w:rFonts w:hint="eastAsia"/>
          <w:color w:val="auto"/>
          <w:sz w:val="28"/>
          <w:szCs w:val="28"/>
        </w:rPr>
        <w:t>根据国家《中国制造 2025》行动纲领提出的“创新驱动、质量为先、绿色发展、结构优化”基本方针，参照我国金属管浮子流量计已有的标准，制定符合市场需求的团体标准，提升石油开采地面管道中原油（含油、气混合液）及天然气和石油化工等工业生产过程中的流量计量的检测水平。标准制定的格式按照 GB/T 1.1-2020《标准化工作导则》，其技术内容力求体现科学性、先进性、实用性和绿色环保。</w:t>
      </w:r>
    </w:p>
    <w:p w14:paraId="2E69B34A">
      <w:pPr>
        <w:spacing w:after="0"/>
        <w:ind w:firstLine="560" w:firstLineChars="200"/>
        <w:jc w:val="left"/>
        <w:rPr>
          <w:rFonts w:hint="eastAsia"/>
          <w:color w:val="auto"/>
          <w:sz w:val="28"/>
          <w:szCs w:val="28"/>
        </w:rPr>
      </w:pPr>
      <w:r>
        <w:rPr>
          <w:rFonts w:hint="eastAsia"/>
          <w:color w:val="auto"/>
          <w:sz w:val="28"/>
          <w:szCs w:val="28"/>
        </w:rPr>
        <w:t>本标准规范性引用文件：</w:t>
      </w:r>
    </w:p>
    <w:p w14:paraId="33506E52">
      <w:pPr>
        <w:spacing w:after="0"/>
        <w:ind w:firstLine="560" w:firstLineChars="200"/>
        <w:jc w:val="left"/>
        <w:rPr>
          <w:rFonts w:hint="eastAsia"/>
          <w:color w:val="auto"/>
          <w:sz w:val="28"/>
          <w:szCs w:val="28"/>
        </w:rPr>
      </w:pPr>
      <w:r>
        <w:rPr>
          <w:rFonts w:hint="eastAsia"/>
          <w:color w:val="auto"/>
          <w:sz w:val="28"/>
          <w:szCs w:val="28"/>
        </w:rPr>
        <w:t>GB/T 191—2025 包装储运图形符号标志</w:t>
      </w:r>
    </w:p>
    <w:p w14:paraId="009CC6E7">
      <w:pPr>
        <w:spacing w:after="0"/>
        <w:ind w:firstLine="560" w:firstLineChars="200"/>
        <w:jc w:val="left"/>
        <w:rPr>
          <w:rFonts w:hint="eastAsia"/>
          <w:color w:val="auto"/>
          <w:sz w:val="28"/>
          <w:szCs w:val="28"/>
        </w:rPr>
      </w:pPr>
      <w:r>
        <w:rPr>
          <w:rFonts w:hint="eastAsia"/>
          <w:color w:val="auto"/>
          <w:sz w:val="28"/>
          <w:szCs w:val="28"/>
        </w:rPr>
        <w:t>GB/T 3836.1-2021 爆炸性环境第1 部分：设备通用要求</w:t>
      </w:r>
    </w:p>
    <w:p w14:paraId="10958199">
      <w:pPr>
        <w:spacing w:after="0"/>
        <w:ind w:firstLine="560" w:firstLineChars="200"/>
        <w:jc w:val="left"/>
        <w:rPr>
          <w:rFonts w:hint="eastAsia"/>
          <w:color w:val="auto"/>
          <w:sz w:val="28"/>
          <w:szCs w:val="28"/>
        </w:rPr>
      </w:pPr>
      <w:r>
        <w:rPr>
          <w:rFonts w:hint="eastAsia"/>
          <w:color w:val="auto"/>
          <w:sz w:val="28"/>
          <w:szCs w:val="28"/>
        </w:rPr>
        <w:t>GB/T 3836.2-2021 爆炸性环境第 2 部分：由隔爆外壳“d”保护的设备</w:t>
      </w:r>
    </w:p>
    <w:p w14:paraId="01F79CBD">
      <w:pPr>
        <w:spacing w:after="0"/>
        <w:ind w:firstLine="560" w:firstLineChars="200"/>
        <w:jc w:val="left"/>
        <w:rPr>
          <w:rFonts w:hint="eastAsia"/>
          <w:color w:val="auto"/>
          <w:sz w:val="28"/>
          <w:szCs w:val="28"/>
        </w:rPr>
      </w:pPr>
      <w:r>
        <w:rPr>
          <w:rFonts w:hint="eastAsia"/>
          <w:color w:val="auto"/>
          <w:sz w:val="28"/>
          <w:szCs w:val="28"/>
        </w:rPr>
        <w:t>GB/T 3836.4-2021 爆炸性环境第4 部分：由本质安全型“i”保护的设备</w:t>
      </w:r>
    </w:p>
    <w:p w14:paraId="3FEA1F5C">
      <w:pPr>
        <w:spacing w:after="0"/>
        <w:ind w:firstLine="560" w:firstLineChars="200"/>
        <w:jc w:val="left"/>
        <w:rPr>
          <w:rFonts w:hint="eastAsia"/>
          <w:color w:val="auto"/>
          <w:sz w:val="28"/>
          <w:szCs w:val="28"/>
        </w:rPr>
      </w:pPr>
      <w:r>
        <w:rPr>
          <w:rFonts w:hint="eastAsia"/>
          <w:color w:val="auto"/>
          <w:sz w:val="28"/>
          <w:szCs w:val="28"/>
        </w:rPr>
        <w:t>GB/T 4208-2017 外壳防护等级（IP 代码）</w:t>
      </w:r>
    </w:p>
    <w:p w14:paraId="7E1B17BF">
      <w:pPr>
        <w:spacing w:after="0"/>
        <w:ind w:firstLine="560" w:firstLineChars="200"/>
        <w:jc w:val="left"/>
        <w:rPr>
          <w:rFonts w:hint="eastAsia"/>
          <w:color w:val="auto"/>
          <w:sz w:val="28"/>
          <w:szCs w:val="28"/>
        </w:rPr>
      </w:pPr>
      <w:r>
        <w:rPr>
          <w:rFonts w:hint="eastAsia"/>
          <w:color w:val="auto"/>
          <w:sz w:val="28"/>
          <w:szCs w:val="28"/>
        </w:rPr>
        <w:t>GB6388—1986 运输包装收发货标志</w:t>
      </w:r>
    </w:p>
    <w:p w14:paraId="345C9FA7">
      <w:pPr>
        <w:spacing w:after="0"/>
        <w:ind w:firstLine="560" w:firstLineChars="200"/>
        <w:jc w:val="left"/>
        <w:rPr>
          <w:rFonts w:hint="eastAsia"/>
          <w:color w:val="auto"/>
          <w:sz w:val="28"/>
          <w:szCs w:val="28"/>
        </w:rPr>
      </w:pPr>
      <w:r>
        <w:rPr>
          <w:rFonts w:hint="eastAsia"/>
          <w:color w:val="auto"/>
          <w:sz w:val="28"/>
          <w:szCs w:val="28"/>
        </w:rPr>
        <w:t>GB/T 13384—2008 机电产品包装通用技术条件</w:t>
      </w:r>
    </w:p>
    <w:p w14:paraId="3F98B674">
      <w:pPr>
        <w:spacing w:after="0"/>
        <w:ind w:firstLine="560" w:firstLineChars="200"/>
        <w:jc w:val="left"/>
        <w:rPr>
          <w:rFonts w:hint="eastAsia"/>
          <w:color w:val="auto"/>
          <w:sz w:val="28"/>
          <w:szCs w:val="28"/>
        </w:rPr>
      </w:pPr>
      <w:r>
        <w:rPr>
          <w:rFonts w:hint="eastAsia"/>
          <w:color w:val="auto"/>
          <w:sz w:val="28"/>
          <w:szCs w:val="28"/>
        </w:rPr>
        <w:t>GB/T 17626.2-2018 电磁兼容试验和测量技术静电放电抗扰度试验</w:t>
      </w:r>
    </w:p>
    <w:p w14:paraId="1C5F8A51">
      <w:pPr>
        <w:spacing w:after="0"/>
        <w:ind w:firstLine="560" w:firstLineChars="200"/>
        <w:jc w:val="left"/>
        <w:rPr>
          <w:rFonts w:hint="eastAsia"/>
          <w:color w:val="auto"/>
          <w:sz w:val="28"/>
          <w:szCs w:val="28"/>
        </w:rPr>
      </w:pPr>
      <w:r>
        <w:rPr>
          <w:rFonts w:hint="eastAsia"/>
          <w:color w:val="auto"/>
          <w:sz w:val="28"/>
          <w:szCs w:val="28"/>
        </w:rPr>
        <w:t>GB/T 17626.3-2023 电磁兼容 试验和测量技术 第3部分：射频电磁场辐射抗扰度试验</w:t>
      </w:r>
    </w:p>
    <w:p w14:paraId="48F57E55">
      <w:pPr>
        <w:spacing w:after="0"/>
        <w:ind w:firstLine="560" w:firstLineChars="200"/>
        <w:jc w:val="left"/>
        <w:rPr>
          <w:rFonts w:hint="eastAsia"/>
          <w:color w:val="auto"/>
          <w:sz w:val="28"/>
          <w:szCs w:val="28"/>
        </w:rPr>
      </w:pPr>
      <w:r>
        <w:rPr>
          <w:rFonts w:hint="eastAsia"/>
          <w:color w:val="auto"/>
          <w:sz w:val="28"/>
          <w:szCs w:val="28"/>
        </w:rPr>
        <w:t>GB/T 17626.11-2023 电磁兼容 试验和测量技术 第11部分：对每相输入电流小于或等于16 A设备的电压暂降、短时中断和电压变化抗扰度试验</w:t>
      </w:r>
    </w:p>
    <w:p w14:paraId="2FF53BFC">
      <w:pPr>
        <w:spacing w:after="0"/>
        <w:ind w:firstLine="560" w:firstLineChars="200"/>
        <w:jc w:val="left"/>
        <w:rPr>
          <w:rFonts w:hint="eastAsia"/>
          <w:color w:val="auto"/>
          <w:sz w:val="28"/>
          <w:szCs w:val="28"/>
        </w:rPr>
      </w:pPr>
      <w:r>
        <w:rPr>
          <w:rFonts w:hint="eastAsia"/>
          <w:color w:val="auto"/>
          <w:sz w:val="28"/>
          <w:szCs w:val="28"/>
        </w:rPr>
        <w:t>GB/T 18271.3 -2017过程测量和控制装置 通用性能评定方法和程序 第3部分：影响量影响的试验</w:t>
      </w:r>
    </w:p>
    <w:p w14:paraId="24DE9B79">
      <w:pPr>
        <w:spacing w:after="0"/>
        <w:ind w:firstLine="560" w:firstLineChars="200"/>
        <w:jc w:val="left"/>
        <w:rPr>
          <w:rFonts w:hint="eastAsia"/>
          <w:color w:val="auto"/>
          <w:sz w:val="28"/>
          <w:szCs w:val="28"/>
        </w:rPr>
      </w:pPr>
      <w:r>
        <w:rPr>
          <w:rFonts w:hint="eastAsia"/>
          <w:color w:val="auto"/>
          <w:sz w:val="28"/>
          <w:szCs w:val="28"/>
        </w:rPr>
        <w:t>GB/T 25480—2010 仪器仪表运输、贮存基本环境条件及试验方法</w:t>
      </w:r>
    </w:p>
    <w:p w14:paraId="50BB2228">
      <w:pPr>
        <w:spacing w:after="0"/>
        <w:ind w:firstLine="560" w:firstLineChars="200"/>
        <w:jc w:val="left"/>
        <w:rPr>
          <w:rFonts w:hint="eastAsia"/>
          <w:color w:val="auto"/>
          <w:sz w:val="28"/>
          <w:szCs w:val="28"/>
        </w:rPr>
      </w:pPr>
      <w:r>
        <w:rPr>
          <w:rFonts w:hint="eastAsia"/>
          <w:color w:val="auto"/>
          <w:sz w:val="28"/>
          <w:szCs w:val="28"/>
        </w:rPr>
        <w:t>JB/T 6844-2015 金属管浮子流量计</w:t>
      </w:r>
    </w:p>
    <w:p w14:paraId="2B349476">
      <w:pPr>
        <w:spacing w:after="0"/>
        <w:ind w:firstLine="643" w:firstLineChars="200"/>
        <w:jc w:val="left"/>
        <w:rPr>
          <w:b/>
          <w:bCs/>
          <w:color w:val="auto"/>
          <w:sz w:val="32"/>
          <w:szCs w:val="32"/>
        </w:rPr>
      </w:pPr>
      <w:r>
        <w:rPr>
          <w:rFonts w:hint="eastAsia"/>
          <w:b/>
          <w:bCs/>
          <w:color w:val="auto"/>
          <w:sz w:val="32"/>
          <w:szCs w:val="32"/>
        </w:rPr>
        <w:t>四、编写过程</w:t>
      </w:r>
    </w:p>
    <w:p w14:paraId="5ECE4B79">
      <w:pPr>
        <w:spacing w:after="0"/>
        <w:ind w:firstLine="560" w:firstLineChars="200"/>
        <w:jc w:val="left"/>
        <w:rPr>
          <w:color w:val="auto"/>
          <w:sz w:val="28"/>
          <w:szCs w:val="28"/>
        </w:rPr>
      </w:pPr>
      <w:r>
        <w:rPr>
          <w:rFonts w:hint="eastAsia"/>
          <w:color w:val="auto"/>
          <w:sz w:val="28"/>
          <w:szCs w:val="28"/>
        </w:rPr>
        <w:t>1)筹备阶段（2025年</w:t>
      </w:r>
      <w:r>
        <w:rPr>
          <w:rFonts w:hint="eastAsia"/>
          <w:color w:val="auto"/>
          <w:sz w:val="28"/>
          <w:szCs w:val="28"/>
          <w:lang w:val="en-US" w:eastAsia="zh-CN"/>
        </w:rPr>
        <w:t>7</w:t>
      </w:r>
      <w:r>
        <w:rPr>
          <w:rFonts w:hint="eastAsia"/>
          <w:color w:val="auto"/>
          <w:sz w:val="28"/>
          <w:szCs w:val="28"/>
        </w:rPr>
        <w:t>月-</w:t>
      </w:r>
      <w:r>
        <w:rPr>
          <w:rFonts w:hint="eastAsia"/>
          <w:color w:val="auto"/>
          <w:sz w:val="28"/>
          <w:szCs w:val="28"/>
          <w:lang w:val="en-US" w:eastAsia="zh-CN"/>
        </w:rPr>
        <w:t>2025年9</w:t>
      </w:r>
      <w:r>
        <w:rPr>
          <w:rFonts w:hint="eastAsia"/>
          <w:color w:val="auto"/>
          <w:sz w:val="28"/>
          <w:szCs w:val="28"/>
        </w:rPr>
        <w:t>月）：成立标准起草组，完成草案初稿，明确产品定义、技术要求及试验方法。</w:t>
      </w:r>
    </w:p>
    <w:p w14:paraId="5D60DA6D">
      <w:pPr>
        <w:spacing w:after="0"/>
        <w:ind w:firstLine="560" w:firstLineChars="200"/>
        <w:jc w:val="left"/>
        <w:rPr>
          <w:color w:val="auto"/>
          <w:sz w:val="28"/>
          <w:szCs w:val="28"/>
        </w:rPr>
      </w:pPr>
      <w:r>
        <w:rPr>
          <w:rFonts w:hint="eastAsia"/>
          <w:color w:val="auto"/>
          <w:sz w:val="28"/>
          <w:szCs w:val="28"/>
        </w:rPr>
        <w:t>2)验证阶段（2025年</w:t>
      </w:r>
      <w:r>
        <w:rPr>
          <w:rFonts w:hint="eastAsia"/>
          <w:color w:val="auto"/>
          <w:sz w:val="28"/>
          <w:szCs w:val="28"/>
          <w:lang w:val="en-US" w:eastAsia="zh-CN"/>
        </w:rPr>
        <w:t>9</w:t>
      </w:r>
      <w:r>
        <w:rPr>
          <w:rFonts w:hint="eastAsia"/>
          <w:color w:val="auto"/>
          <w:sz w:val="28"/>
          <w:szCs w:val="28"/>
        </w:rPr>
        <w:t>月-</w:t>
      </w:r>
      <w:r>
        <w:rPr>
          <w:rFonts w:hint="eastAsia"/>
          <w:color w:val="auto"/>
          <w:sz w:val="28"/>
          <w:szCs w:val="28"/>
          <w:lang w:val="en-US" w:eastAsia="zh-CN"/>
        </w:rPr>
        <w:t>2026年3</w:t>
      </w:r>
      <w:r>
        <w:rPr>
          <w:rFonts w:hint="eastAsia"/>
          <w:color w:val="auto"/>
          <w:sz w:val="28"/>
          <w:szCs w:val="28"/>
        </w:rPr>
        <w:t>月）：依托合作单位实验室，开展多相流模拟测试、长期稳定性试验及防爆性能验证；召开专家研讨会，修订技术指标（如耐压强度、温度范围）。</w:t>
      </w:r>
    </w:p>
    <w:p w14:paraId="2A8AC358">
      <w:pPr>
        <w:spacing w:after="0"/>
        <w:ind w:firstLine="560" w:firstLineChars="200"/>
        <w:jc w:val="left"/>
        <w:rPr>
          <w:color w:val="auto"/>
          <w:sz w:val="28"/>
          <w:szCs w:val="28"/>
        </w:rPr>
      </w:pPr>
      <w:r>
        <w:rPr>
          <w:rFonts w:hint="eastAsia"/>
          <w:color w:val="auto"/>
          <w:sz w:val="28"/>
          <w:szCs w:val="28"/>
        </w:rPr>
        <w:t>3）征求意见（202</w:t>
      </w:r>
      <w:r>
        <w:rPr>
          <w:rFonts w:hint="eastAsia"/>
          <w:color w:val="auto"/>
          <w:sz w:val="28"/>
          <w:szCs w:val="28"/>
          <w:lang w:val="en-US" w:eastAsia="zh-CN"/>
        </w:rPr>
        <w:t>6</w:t>
      </w:r>
      <w:r>
        <w:rPr>
          <w:rFonts w:hint="eastAsia"/>
          <w:color w:val="auto"/>
          <w:sz w:val="28"/>
          <w:szCs w:val="28"/>
        </w:rPr>
        <w:t>年</w:t>
      </w:r>
      <w:r>
        <w:rPr>
          <w:rFonts w:hint="eastAsia"/>
          <w:color w:val="auto"/>
          <w:sz w:val="28"/>
          <w:szCs w:val="28"/>
          <w:lang w:val="en-US" w:eastAsia="zh-CN"/>
        </w:rPr>
        <w:t>3</w:t>
      </w:r>
      <w:r>
        <w:rPr>
          <w:rFonts w:hint="eastAsia"/>
          <w:color w:val="auto"/>
          <w:sz w:val="28"/>
          <w:szCs w:val="28"/>
        </w:rPr>
        <w:t>月-</w:t>
      </w:r>
      <w:r>
        <w:rPr>
          <w:rFonts w:hint="eastAsia"/>
          <w:color w:val="auto"/>
          <w:sz w:val="28"/>
          <w:szCs w:val="28"/>
          <w:lang w:val="en-US" w:eastAsia="zh-CN"/>
        </w:rPr>
        <w:t>2026年4</w:t>
      </w:r>
      <w:r>
        <w:rPr>
          <w:rFonts w:hint="eastAsia"/>
          <w:color w:val="auto"/>
          <w:sz w:val="28"/>
          <w:szCs w:val="28"/>
        </w:rPr>
        <w:t>月）：向石油工程、计量检测领域专家及企业（如胜利油田、中石化）公开征求意见，重点优化主要技术</w:t>
      </w:r>
      <w:bookmarkStart w:id="98" w:name="_GoBack"/>
      <w:bookmarkEnd w:id="98"/>
      <w:r>
        <w:rPr>
          <w:rFonts w:hint="eastAsia"/>
          <w:color w:val="auto"/>
          <w:sz w:val="28"/>
          <w:szCs w:val="28"/>
        </w:rPr>
        <w:t>内容和适用范围。</w:t>
      </w:r>
    </w:p>
    <w:p w14:paraId="02437F54">
      <w:pPr>
        <w:spacing w:after="0"/>
        <w:ind w:firstLine="560" w:firstLineChars="200"/>
        <w:jc w:val="left"/>
        <w:rPr>
          <w:color w:val="auto"/>
          <w:sz w:val="28"/>
          <w:szCs w:val="28"/>
        </w:rPr>
      </w:pPr>
      <w:r>
        <w:rPr>
          <w:rFonts w:hint="eastAsia"/>
          <w:color w:val="auto"/>
          <w:sz w:val="28"/>
          <w:szCs w:val="28"/>
        </w:rPr>
        <w:t>4）定稿阶段（202</w:t>
      </w:r>
      <w:r>
        <w:rPr>
          <w:rFonts w:hint="eastAsia"/>
          <w:color w:val="auto"/>
          <w:sz w:val="28"/>
          <w:szCs w:val="28"/>
          <w:lang w:val="en-US" w:eastAsia="zh-CN"/>
        </w:rPr>
        <w:t>6</w:t>
      </w:r>
      <w:r>
        <w:rPr>
          <w:rFonts w:hint="eastAsia"/>
          <w:color w:val="auto"/>
          <w:sz w:val="28"/>
          <w:szCs w:val="28"/>
        </w:rPr>
        <w:t>年</w:t>
      </w:r>
      <w:r>
        <w:rPr>
          <w:rFonts w:hint="eastAsia"/>
          <w:color w:val="auto"/>
          <w:sz w:val="28"/>
          <w:szCs w:val="28"/>
          <w:lang w:val="en-US" w:eastAsia="zh-CN"/>
        </w:rPr>
        <w:t>4</w:t>
      </w:r>
      <w:r>
        <w:rPr>
          <w:rFonts w:hint="eastAsia"/>
          <w:color w:val="auto"/>
          <w:sz w:val="28"/>
          <w:szCs w:val="28"/>
        </w:rPr>
        <w:t>月-202</w:t>
      </w:r>
      <w:r>
        <w:rPr>
          <w:rFonts w:hint="eastAsia"/>
          <w:color w:val="auto"/>
          <w:sz w:val="28"/>
          <w:szCs w:val="28"/>
          <w:lang w:val="en-US" w:eastAsia="zh-CN"/>
        </w:rPr>
        <w:t>6</w:t>
      </w:r>
      <w:r>
        <w:rPr>
          <w:rFonts w:hint="eastAsia"/>
          <w:color w:val="auto"/>
          <w:sz w:val="28"/>
          <w:szCs w:val="28"/>
        </w:rPr>
        <w:t>年</w:t>
      </w:r>
      <w:r>
        <w:rPr>
          <w:rFonts w:hint="eastAsia"/>
          <w:color w:val="auto"/>
          <w:sz w:val="28"/>
          <w:szCs w:val="28"/>
          <w:lang w:val="en-US" w:eastAsia="zh-CN"/>
        </w:rPr>
        <w:t>5</w:t>
      </w:r>
      <w:r>
        <w:rPr>
          <w:rFonts w:hint="eastAsia"/>
          <w:color w:val="auto"/>
          <w:sz w:val="28"/>
          <w:szCs w:val="28"/>
        </w:rPr>
        <w:t>月）：整合反馈意见，形成《冲感式浮子流量计》团体标准报批稿及编制说明。</w:t>
      </w:r>
    </w:p>
    <w:p w14:paraId="07617C85">
      <w:pPr>
        <w:spacing w:after="0"/>
        <w:ind w:firstLine="602" w:firstLineChars="200"/>
        <w:jc w:val="left"/>
        <w:rPr>
          <w:b/>
          <w:bCs/>
          <w:color w:val="auto"/>
          <w:sz w:val="30"/>
          <w:szCs w:val="30"/>
        </w:rPr>
      </w:pPr>
      <w:r>
        <w:rPr>
          <w:rFonts w:hint="eastAsia"/>
          <w:b/>
          <w:bCs/>
          <w:color w:val="auto"/>
          <w:sz w:val="30"/>
          <w:szCs w:val="30"/>
        </w:rPr>
        <w:t>五、规范的主要内容与技术关键</w:t>
      </w:r>
    </w:p>
    <w:p w14:paraId="789F08AF">
      <w:pPr>
        <w:spacing w:after="0"/>
        <w:ind w:firstLine="560" w:firstLineChars="200"/>
        <w:jc w:val="left"/>
        <w:rPr>
          <w:color w:val="auto"/>
          <w:sz w:val="28"/>
          <w:szCs w:val="28"/>
        </w:rPr>
      </w:pPr>
      <w:r>
        <w:rPr>
          <w:color w:val="auto"/>
          <w:sz w:val="28"/>
          <w:szCs w:val="28"/>
        </w:rPr>
        <w:t>1. 主要内容</w:t>
      </w:r>
    </w:p>
    <w:p w14:paraId="05C449A2">
      <w:pPr>
        <w:spacing w:after="0"/>
        <w:ind w:firstLine="560" w:firstLineChars="200"/>
        <w:jc w:val="left"/>
        <w:rPr>
          <w:color w:val="auto"/>
          <w:sz w:val="28"/>
          <w:szCs w:val="28"/>
        </w:rPr>
      </w:pPr>
      <w:r>
        <w:rPr>
          <w:color w:val="auto"/>
          <w:sz w:val="28"/>
          <w:szCs w:val="28"/>
        </w:rPr>
        <w:t>产品定义与分类（第3章）：定义冲感式浮子流量计为非接触磁感检测原理的金属管流量计，按信号输出方式（现场指示型、电远传型、报警型）及环境适应性（普通型、防爆型）分类。</w:t>
      </w:r>
    </w:p>
    <w:p w14:paraId="3B2BFDE7">
      <w:pPr>
        <w:pStyle w:val="5"/>
        <w:widowControl/>
        <w:shd w:val="clear" w:color="auto" w:fill="FFFFFF"/>
        <w:ind w:firstLine="560" w:firstLineChars="200"/>
        <w:rPr>
          <w:rFonts w:hint="default" w:ascii="Calibri" w:hAnsi="Calibri" w:eastAsia="宋体" w:cs="Calibri"/>
          <w:b w:val="0"/>
          <w:bCs w:val="0"/>
          <w:color w:val="auto"/>
          <w:kern w:val="2"/>
          <w:sz w:val="28"/>
          <w:szCs w:val="28"/>
          <w:lang w:val="en-US" w:eastAsia="zh-CN" w:bidi="ar-SA"/>
        </w:rPr>
      </w:pPr>
      <w:r>
        <w:rPr>
          <w:rFonts w:hint="eastAsia" w:ascii="Calibri" w:hAnsi="Calibri" w:eastAsia="宋体" w:cs="Calibri"/>
          <w:b w:val="0"/>
          <w:bCs w:val="0"/>
          <w:color w:val="auto"/>
          <w:kern w:val="2"/>
          <w:sz w:val="28"/>
          <w:szCs w:val="28"/>
          <w:lang w:val="en-US" w:eastAsia="zh-CN" w:bidi="ar-SA"/>
        </w:rPr>
        <w:t>结构原理</w:t>
      </w:r>
      <w:r>
        <w:rPr>
          <w:rFonts w:hint="default" w:ascii="Calibri" w:hAnsi="Calibri" w:eastAsia="宋体" w:cs="Calibri"/>
          <w:b w:val="0"/>
          <w:bCs w:val="0"/>
          <w:color w:val="auto"/>
          <w:kern w:val="2"/>
          <w:sz w:val="28"/>
          <w:szCs w:val="28"/>
          <w:lang w:val="en-US" w:eastAsia="zh-CN" w:bidi="ar-SA"/>
        </w:rPr>
        <w:t>（第</w:t>
      </w:r>
      <w:r>
        <w:rPr>
          <w:rFonts w:hint="eastAsia" w:ascii="Calibri" w:hAnsi="Calibri" w:eastAsia="宋体" w:cs="Calibri"/>
          <w:b w:val="0"/>
          <w:bCs w:val="0"/>
          <w:color w:val="auto"/>
          <w:kern w:val="2"/>
          <w:sz w:val="28"/>
          <w:szCs w:val="28"/>
          <w:lang w:val="en-US" w:eastAsia="zh-CN" w:bidi="ar-SA"/>
        </w:rPr>
        <w:t>3</w:t>
      </w:r>
      <w:r>
        <w:rPr>
          <w:rFonts w:hint="default" w:ascii="Calibri" w:hAnsi="Calibri" w:eastAsia="宋体" w:cs="Calibri"/>
          <w:b w:val="0"/>
          <w:bCs w:val="0"/>
          <w:color w:val="auto"/>
          <w:kern w:val="2"/>
          <w:sz w:val="28"/>
          <w:szCs w:val="28"/>
          <w:lang w:val="en-US" w:eastAsia="zh-CN" w:bidi="ar-SA"/>
        </w:rPr>
        <w:t>章）：a)浮子与流体力学的平衡机制</w:t>
      </w:r>
      <w:r>
        <w:rPr>
          <w:rFonts w:hint="eastAsia" w:ascii="Calibri" w:hAnsi="Calibri" w:eastAsia="宋体" w:cs="Calibri"/>
          <w:b w:val="0"/>
          <w:bCs w:val="0"/>
          <w:color w:val="auto"/>
          <w:kern w:val="2"/>
          <w:sz w:val="28"/>
          <w:szCs w:val="28"/>
          <w:lang w:val="en-US" w:eastAsia="zh-CN" w:bidi="ar-SA"/>
        </w:rPr>
        <w:t>；</w:t>
      </w:r>
      <w:r>
        <w:rPr>
          <w:rFonts w:hint="default" w:ascii="Calibri" w:hAnsi="Calibri" w:eastAsia="宋体" w:cs="Calibri"/>
          <w:b w:val="0"/>
          <w:bCs w:val="0"/>
          <w:color w:val="auto"/>
          <w:kern w:val="2"/>
          <w:sz w:val="28"/>
          <w:szCs w:val="28"/>
          <w:lang w:val="en-US" w:eastAsia="zh-CN" w:bidi="ar-SA"/>
        </w:rPr>
        <w:t>b）非接触式磁感定位</w:t>
      </w:r>
      <w:r>
        <w:rPr>
          <w:rFonts w:hint="eastAsia" w:ascii="Calibri" w:hAnsi="Calibri" w:eastAsia="宋体" w:cs="Calibri"/>
          <w:b w:val="0"/>
          <w:bCs w:val="0"/>
          <w:color w:val="auto"/>
          <w:kern w:val="2"/>
          <w:sz w:val="28"/>
          <w:szCs w:val="28"/>
          <w:lang w:val="en-US" w:eastAsia="zh-CN" w:bidi="ar-SA"/>
        </w:rPr>
        <w:t>；</w:t>
      </w:r>
      <w:r>
        <w:rPr>
          <w:rFonts w:hint="default" w:ascii="Calibri" w:hAnsi="Calibri" w:eastAsia="宋体" w:cs="Calibri"/>
          <w:b w:val="0"/>
          <w:bCs w:val="0"/>
          <w:color w:val="auto"/>
          <w:kern w:val="2"/>
          <w:sz w:val="28"/>
          <w:szCs w:val="28"/>
          <w:lang w:val="en-US" w:eastAsia="zh-CN" w:bidi="ar-SA"/>
        </w:rPr>
        <w:t>c）导流管压力平衡通道</w:t>
      </w:r>
      <w:r>
        <w:rPr>
          <w:rFonts w:hint="eastAsia" w:ascii="Calibri" w:hAnsi="Calibri" w:eastAsia="宋体" w:cs="Calibri"/>
          <w:b w:val="0"/>
          <w:bCs w:val="0"/>
          <w:color w:val="auto"/>
          <w:kern w:val="2"/>
          <w:sz w:val="28"/>
          <w:szCs w:val="28"/>
          <w:lang w:val="en-US" w:eastAsia="zh-CN" w:bidi="ar-SA"/>
        </w:rPr>
        <w:t>；</w:t>
      </w:r>
      <w:r>
        <w:rPr>
          <w:rFonts w:hint="default" w:ascii="Calibri" w:hAnsi="Calibri" w:eastAsia="宋体" w:cs="Calibri"/>
          <w:b w:val="0"/>
          <w:bCs w:val="0"/>
          <w:color w:val="auto"/>
          <w:kern w:val="2"/>
          <w:sz w:val="28"/>
          <w:szCs w:val="28"/>
          <w:lang w:val="en-US" w:eastAsia="zh-CN" w:bidi="ar-SA"/>
        </w:rPr>
        <w:t>d）多参数动态补偿</w:t>
      </w:r>
      <w:r>
        <w:rPr>
          <w:rFonts w:hint="eastAsia" w:ascii="Calibri" w:hAnsi="Calibri" w:eastAsia="宋体" w:cs="Calibri"/>
          <w:b w:val="0"/>
          <w:bCs w:val="0"/>
          <w:color w:val="auto"/>
          <w:kern w:val="2"/>
          <w:sz w:val="28"/>
          <w:szCs w:val="28"/>
          <w:lang w:val="en-US" w:eastAsia="zh-CN" w:bidi="ar-SA"/>
        </w:rPr>
        <w:t>；</w:t>
      </w:r>
      <w:r>
        <w:rPr>
          <w:rFonts w:hint="default" w:ascii="Calibri" w:hAnsi="Calibri" w:eastAsia="宋体" w:cs="Calibri"/>
          <w:b w:val="0"/>
          <w:bCs w:val="0"/>
          <w:color w:val="auto"/>
          <w:kern w:val="2"/>
          <w:sz w:val="28"/>
          <w:szCs w:val="28"/>
          <w:lang w:val="en-US" w:eastAsia="zh-CN" w:bidi="ar-SA"/>
        </w:rPr>
        <w:t>e）数字化显示与远程传输</w:t>
      </w:r>
      <w:r>
        <w:rPr>
          <w:rFonts w:hint="eastAsia" w:ascii="Calibri" w:hAnsi="Calibri" w:eastAsia="宋体" w:cs="Calibri"/>
          <w:b w:val="0"/>
          <w:bCs w:val="0"/>
          <w:color w:val="auto"/>
          <w:kern w:val="2"/>
          <w:sz w:val="28"/>
          <w:szCs w:val="28"/>
          <w:lang w:val="en-US" w:eastAsia="zh-CN" w:bidi="ar-SA"/>
        </w:rPr>
        <w:t>；</w:t>
      </w:r>
      <w:r>
        <w:rPr>
          <w:rFonts w:hint="default" w:ascii="Calibri" w:hAnsi="Calibri" w:eastAsia="宋体" w:cs="Calibri"/>
          <w:b w:val="0"/>
          <w:bCs w:val="0"/>
          <w:color w:val="auto"/>
          <w:kern w:val="2"/>
          <w:sz w:val="28"/>
          <w:szCs w:val="28"/>
          <w:lang w:val="en-US" w:eastAsia="zh-CN" w:bidi="ar-SA"/>
        </w:rPr>
        <w:t>f）耐环境设计与独立供电</w:t>
      </w:r>
    </w:p>
    <w:p w14:paraId="4A040595">
      <w:pPr>
        <w:pStyle w:val="5"/>
        <w:widowControl/>
        <w:shd w:val="clear" w:color="auto" w:fill="FFFFFF"/>
        <w:ind w:firstLine="560" w:firstLineChars="200"/>
        <w:rPr>
          <w:rFonts w:hint="default" w:ascii="Calibri" w:hAnsi="Calibri" w:eastAsia="宋体" w:cs="Calibri"/>
          <w:b w:val="0"/>
          <w:bCs w:val="0"/>
          <w:color w:val="auto"/>
          <w:kern w:val="2"/>
          <w:sz w:val="28"/>
          <w:szCs w:val="28"/>
          <w:lang w:val="en-US" w:eastAsia="zh-CN" w:bidi="ar-SA"/>
        </w:rPr>
      </w:pPr>
      <w:r>
        <w:rPr>
          <w:rFonts w:hint="default" w:ascii="Calibri" w:hAnsi="Calibri" w:eastAsia="宋体" w:cs="Calibri"/>
          <w:b w:val="0"/>
          <w:bCs w:val="0"/>
          <w:color w:val="auto"/>
          <w:kern w:val="2"/>
          <w:sz w:val="28"/>
          <w:szCs w:val="28"/>
          <w:lang w:val="en-US" w:eastAsia="zh-CN" w:bidi="ar-SA"/>
        </w:rPr>
        <w:t>试验方法（第5章）：涵盖基本性能试验（流量范围、回差）、环境适应性试验（湿热、振动）、安全试验（防爆认证、绝缘强度）。</w:t>
      </w:r>
    </w:p>
    <w:p w14:paraId="0357E176">
      <w:pPr>
        <w:pStyle w:val="5"/>
        <w:widowControl/>
        <w:shd w:val="clear" w:color="auto" w:fill="FFFFFF"/>
        <w:ind w:firstLine="560" w:firstLineChars="200"/>
        <w:rPr>
          <w:rFonts w:hint="default" w:ascii="Calibri" w:hAnsi="Calibri" w:eastAsia="宋体" w:cs="Calibri"/>
          <w:b w:val="0"/>
          <w:bCs w:val="0"/>
          <w:color w:val="auto"/>
          <w:kern w:val="2"/>
          <w:sz w:val="28"/>
          <w:szCs w:val="28"/>
          <w:lang w:val="en-US" w:eastAsia="zh-CN" w:bidi="ar-SA"/>
        </w:rPr>
      </w:pPr>
      <w:r>
        <w:rPr>
          <w:rFonts w:hint="default" w:ascii="Calibri" w:hAnsi="Calibri" w:eastAsia="宋体" w:cs="Calibri"/>
          <w:b w:val="0"/>
          <w:bCs w:val="0"/>
          <w:color w:val="auto"/>
          <w:kern w:val="2"/>
          <w:sz w:val="28"/>
          <w:szCs w:val="28"/>
          <w:lang w:val="en-US" w:eastAsia="zh-CN" w:bidi="ar-SA"/>
        </w:rPr>
        <w:t>检验规则（第6章）：区分出厂检验（必检项：基本误差、耐压强度）与型式检验（全项目覆盖）。</w:t>
      </w:r>
    </w:p>
    <w:p w14:paraId="3612620F">
      <w:pPr>
        <w:numPr>
          <w:ilvl w:val="0"/>
          <w:numId w:val="13"/>
        </w:numPr>
        <w:spacing w:after="0"/>
        <w:ind w:firstLine="560" w:firstLineChars="200"/>
        <w:jc w:val="left"/>
        <w:rPr>
          <w:rFonts w:hint="eastAsia"/>
          <w:color w:val="auto"/>
          <w:sz w:val="28"/>
          <w:szCs w:val="28"/>
        </w:rPr>
      </w:pPr>
      <w:r>
        <w:rPr>
          <w:rFonts w:hint="eastAsia"/>
          <w:color w:val="auto"/>
          <w:sz w:val="28"/>
          <w:szCs w:val="28"/>
        </w:rPr>
        <w:t>技术关键</w:t>
      </w:r>
    </w:p>
    <w:p w14:paraId="2171D763">
      <w:pPr>
        <w:numPr>
          <w:ilvl w:val="0"/>
          <w:numId w:val="0"/>
        </w:numPr>
        <w:spacing w:after="0"/>
        <w:ind w:firstLine="560" w:firstLineChars="200"/>
        <w:jc w:val="left"/>
        <w:rPr>
          <w:rFonts w:hint="default" w:ascii="Times New Roman" w:hAnsi="Times New Roman"/>
          <w:b w:val="0"/>
          <w:color w:val="auto"/>
          <w:kern w:val="2"/>
          <w:sz w:val="28"/>
          <w:szCs w:val="28"/>
        </w:rPr>
      </w:pPr>
      <w:r>
        <w:rPr>
          <w:rFonts w:hint="default" w:ascii="Times New Roman" w:hAnsi="Times New Roman"/>
          <w:b w:val="0"/>
          <w:color w:val="auto"/>
          <w:kern w:val="2"/>
          <w:sz w:val="28"/>
          <w:szCs w:val="28"/>
        </w:rPr>
        <w:t>多参数动态补偿：集成温度、压力传感器，实时修正流量值，提升复杂工况下的测量精度。</w:t>
      </w:r>
    </w:p>
    <w:p w14:paraId="65DC2EF1">
      <w:pPr>
        <w:pStyle w:val="5"/>
        <w:widowControl/>
        <w:shd w:val="clear" w:color="auto" w:fill="FFFFFF"/>
        <w:ind w:firstLine="560" w:firstLineChars="200"/>
        <w:rPr>
          <w:rFonts w:hint="default" w:ascii="Times New Roman" w:hAnsi="Times New Roman"/>
          <w:b w:val="0"/>
          <w:color w:val="auto"/>
          <w:kern w:val="2"/>
          <w:sz w:val="28"/>
          <w:szCs w:val="28"/>
        </w:rPr>
      </w:pPr>
      <w:r>
        <w:rPr>
          <w:rFonts w:hint="default" w:ascii="Times New Roman" w:hAnsi="Times New Roman" w:eastAsia="宋体" w:cs="Calibri"/>
          <w:b w:val="0"/>
          <w:bCs w:val="0"/>
          <w:color w:val="auto"/>
          <w:kern w:val="2"/>
          <w:sz w:val="28"/>
          <w:szCs w:val="28"/>
          <w:lang w:val="en-US" w:eastAsia="zh-CN" w:bidi="ar-SA"/>
        </w:rPr>
        <w:t>非接触磁感定位：消除机械磨损，延长使用寿命，适配含颗粒流体</w:t>
      </w:r>
      <w:r>
        <w:rPr>
          <w:rFonts w:hint="default" w:ascii="Calibri" w:hAnsi="Calibri" w:eastAsia="宋体" w:cs="Calibri"/>
          <w:b w:val="0"/>
          <w:bCs w:val="0"/>
          <w:color w:val="auto"/>
          <w:kern w:val="2"/>
          <w:sz w:val="28"/>
          <w:szCs w:val="28"/>
          <w:lang w:val="en-US" w:eastAsia="zh-CN" w:bidi="ar-SA"/>
        </w:rPr>
        <w:t>。</w:t>
      </w:r>
    </w:p>
    <w:p w14:paraId="65D16769">
      <w:pPr>
        <w:pStyle w:val="26"/>
        <w:widowControl/>
        <w:spacing w:after="0"/>
        <w:ind w:firstLine="560" w:firstLineChars="200"/>
        <w:rPr>
          <w:color w:val="auto"/>
          <w:sz w:val="28"/>
          <w:szCs w:val="28"/>
        </w:rPr>
      </w:pPr>
      <w:r>
        <w:rPr>
          <w:color w:val="auto"/>
          <w:sz w:val="28"/>
          <w:szCs w:val="28"/>
        </w:rPr>
        <w:t>导流管压力平衡：防止气相物质积聚，降低堵塞风险。</w:t>
      </w:r>
    </w:p>
    <w:p w14:paraId="57E2C2F7">
      <w:pPr>
        <w:spacing w:before="234" w:beforeLines="50" w:after="0"/>
        <w:jc w:val="left"/>
        <w:rPr>
          <w:b/>
          <w:bCs/>
          <w:color w:val="auto"/>
          <w:sz w:val="30"/>
          <w:szCs w:val="30"/>
        </w:rPr>
      </w:pPr>
      <w:r>
        <w:rPr>
          <w:rFonts w:hint="eastAsia"/>
          <w:b/>
          <w:bCs/>
          <w:color w:val="auto"/>
          <w:sz w:val="30"/>
          <w:szCs w:val="30"/>
        </w:rPr>
        <w:t>六、工作小结</w:t>
      </w:r>
    </w:p>
    <w:p w14:paraId="0C9F6C70">
      <w:pPr>
        <w:spacing w:after="0"/>
        <w:ind w:firstLine="560" w:firstLineChars="200"/>
        <w:jc w:val="left"/>
        <w:rPr>
          <w:rFonts w:hint="eastAsia"/>
          <w:color w:val="auto"/>
          <w:sz w:val="28"/>
          <w:szCs w:val="28"/>
          <w:lang w:eastAsia="zh-CN"/>
        </w:rPr>
      </w:pPr>
      <w:r>
        <w:rPr>
          <w:rFonts w:hint="eastAsia"/>
          <w:color w:val="auto"/>
          <w:sz w:val="28"/>
          <w:szCs w:val="28"/>
        </w:rPr>
        <w:t>本标准结合石油开采行业实际需求，系统规范了冲感式浮子流量计的技术要求与试验方法，填补了国内外复杂工况流量计量标准的空白。编制过程中充分吸纳产学研用多方意见，确保标准的科学性、先进性和实用性。未来将根据技术发展动态修订标准，持续推动行业高质量发展。</w:t>
      </w:r>
    </w:p>
    <w:sectPr>
      <w:pgSz w:w="11907" w:h="16839"/>
      <w:pgMar w:top="1418" w:right="1134" w:bottom="1134" w:left="1418" w:header="1418" w:footer="851"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C340F">
    <w:pPr>
      <w:pStyle w:val="73"/>
      <w:rPr>
        <w:rStyle w:val="30"/>
      </w:rPr>
    </w:pPr>
    <w:r>
      <w:fldChar w:fldCharType="begin"/>
    </w:r>
    <w:r>
      <w:rPr>
        <w:rStyle w:val="30"/>
      </w:rPr>
      <w:instrText xml:space="preserve">PAGE  </w:instrText>
    </w:r>
    <w:r>
      <w:fldChar w:fldCharType="separate"/>
    </w:r>
    <w:r>
      <w:rPr>
        <w:rStyle w:val="30"/>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D3A57">
    <w:pPr>
      <w:pStyle w:val="97"/>
      <w:rPr>
        <w:rStyle w:val="30"/>
      </w:rPr>
    </w:pPr>
    <w:r>
      <w:fldChar w:fldCharType="begin"/>
    </w:r>
    <w:r>
      <w:rPr>
        <w:rStyle w:val="30"/>
      </w:rPr>
      <w:instrText xml:space="preserve">PAGE  </w:instrText>
    </w:r>
    <w:r>
      <w:fldChar w:fldCharType="separate"/>
    </w:r>
    <w:r>
      <w:rPr>
        <w:rStyle w:val="30"/>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DD2EE3">
    <w:pPr>
      <w:pStyle w:val="73"/>
      <w:rPr>
        <w:rStyle w:val="30"/>
      </w:rPr>
    </w:pPr>
    <w:r>
      <w:fldChar w:fldCharType="begin"/>
    </w:r>
    <w:r>
      <w:rPr>
        <w:rStyle w:val="30"/>
      </w:rPr>
      <w:instrText xml:space="preserve">PAGE  </w:instrText>
    </w:r>
    <w:r>
      <w:fldChar w:fldCharType="separate"/>
    </w:r>
    <w:r>
      <w:rPr>
        <w:rStyle w:val="30"/>
      </w:rP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F2A9C2">
    <w:pPr>
      <w:pStyle w:val="97"/>
      <w:rPr>
        <w:rStyle w:val="30"/>
      </w:rPr>
    </w:pPr>
    <w:r>
      <w:fldChar w:fldCharType="begin"/>
    </w:r>
    <w:r>
      <w:rPr>
        <w:rStyle w:val="30"/>
      </w:rPr>
      <w:instrText xml:space="preserve">PAGE  </w:instrText>
    </w:r>
    <w:r>
      <w:fldChar w:fldCharType="separate"/>
    </w:r>
    <w:r>
      <w:rPr>
        <w:rStyle w:val="30"/>
      </w:rP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723A4">
    <w:pPr>
      <w:pStyle w:val="22"/>
      <w:pBdr>
        <w:bottom w:val="none" w:color="auto" w:sz="0" w:space="0"/>
      </w:pBdr>
      <w:wordWrap w:val="0"/>
      <w:ind w:firstLine="420"/>
      <w:jc w:val="right"/>
    </w:pPr>
    <w:r>
      <w:rPr>
        <w:rFonts w:ascii="Calibri" w:hAnsi="Calibri" w:eastAsia="宋体"/>
        <w:sz w:val="21"/>
        <w:szCs w:val="21"/>
      </w:rPr>
      <w:t>T/CSMT-00*—20xx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DB733">
    <w:pPr>
      <w:pStyle w:val="82"/>
    </w:pPr>
    <w:r>
      <w:t>DB42/T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3FBC1B">
    <w:pPr>
      <w:pStyle w:val="99"/>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277157"/>
    <w:multiLevelType w:val="singleLevel"/>
    <w:tmpl w:val="EE277157"/>
    <w:lvl w:ilvl="0" w:tentative="0">
      <w:start w:val="1"/>
      <w:numFmt w:val="decimal"/>
      <w:lvlText w:val="%1)"/>
      <w:lvlJc w:val="left"/>
      <w:pPr>
        <w:tabs>
          <w:tab w:val="left" w:pos="312"/>
        </w:tabs>
      </w:pPr>
    </w:lvl>
  </w:abstractNum>
  <w:abstractNum w:abstractNumId="1">
    <w:nsid w:val="F059A7E0"/>
    <w:multiLevelType w:val="singleLevel"/>
    <w:tmpl w:val="F059A7E0"/>
    <w:lvl w:ilvl="0" w:tentative="0">
      <w:start w:val="2"/>
      <w:numFmt w:val="decimal"/>
      <w:suff w:val="space"/>
      <w:lvlText w:val="%1."/>
      <w:lvlJc w:val="left"/>
    </w:lvl>
  </w:abstractNum>
  <w:abstractNum w:abstractNumId="2">
    <w:nsid w:val="00000002"/>
    <w:multiLevelType w:val="multilevel"/>
    <w:tmpl w:val="00000002"/>
    <w:lvl w:ilvl="0" w:tentative="0">
      <w:start w:val="1"/>
      <w:numFmt w:val="none"/>
      <w:suff w:val="nothing"/>
      <w:lvlText w:val=""/>
      <w:lvlJc w:val="left"/>
      <w:pPr>
        <w:ind w:left="0" w:firstLine="0"/>
      </w:pPr>
      <w:rPr>
        <w:rFonts w:hint="eastAsia" w:ascii="黑体" w:hAnsi="Times New Roman" w:eastAsia="黑体"/>
        <w:b w:val="0"/>
        <w:i w:val="0"/>
        <w:sz w:val="21"/>
      </w:rPr>
    </w:lvl>
    <w:lvl w:ilvl="1" w:tentative="0">
      <w:start w:val="1"/>
      <w:numFmt w:val="decimal"/>
      <w:isLgl/>
      <w:suff w:val="nothing"/>
      <w:lvlText w:val="%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96"/>
      <w:suff w:val="nothing"/>
      <w:lvlText w:val="%1%2.%3　"/>
      <w:lvlJc w:val="left"/>
      <w:pPr>
        <w:ind w:left="0" w:firstLine="0"/>
      </w:pPr>
      <w:rPr>
        <w:rFonts w:hint="eastAsia" w:ascii="黑体" w:hAnsi="Times New Roman" w:eastAsia="黑体"/>
        <w:b w:val="0"/>
        <w:i w:val="0"/>
        <w:sz w:val="21"/>
      </w:rPr>
    </w:lvl>
    <w:lvl w:ilvl="3" w:tentative="0">
      <w:start w:val="1"/>
      <w:numFmt w:val="decimal"/>
      <w:pStyle w:val="104"/>
      <w:suff w:val="nothing"/>
      <w:lvlText w:val="%1%2.%3.%4　"/>
      <w:lvlJc w:val="left"/>
      <w:pPr>
        <w:ind w:left="0" w:firstLine="0"/>
      </w:pPr>
      <w:rPr>
        <w:rFonts w:hint="eastAsia" w:ascii="黑体" w:hAnsi="Times New Roman" w:eastAsia="黑体"/>
        <w:b w:val="0"/>
        <w:i w:val="0"/>
        <w:sz w:val="21"/>
      </w:rPr>
    </w:lvl>
    <w:lvl w:ilvl="4" w:tentative="0">
      <w:start w:val="1"/>
      <w:numFmt w:val="decimal"/>
      <w:pStyle w:val="57"/>
      <w:suff w:val="nothing"/>
      <w:lvlText w:val="%1%2.%3.%4.%5　"/>
      <w:lvlJc w:val="left"/>
      <w:pPr>
        <w:ind w:left="0" w:firstLine="0"/>
      </w:pPr>
      <w:rPr>
        <w:rFonts w:hint="eastAsia" w:ascii="黑体" w:hAnsi="Times New Roman" w:eastAsia="黑体"/>
        <w:b w:val="0"/>
        <w:i w:val="0"/>
        <w:sz w:val="21"/>
      </w:rPr>
    </w:lvl>
    <w:lvl w:ilvl="5" w:tentative="0">
      <w:start w:val="1"/>
      <w:numFmt w:val="decimal"/>
      <w:pStyle w:val="62"/>
      <w:suff w:val="nothing"/>
      <w:lvlText w:val="%1%2.%3.%4.%5.%6　"/>
      <w:lvlJc w:val="left"/>
      <w:pPr>
        <w:ind w:left="0" w:firstLine="0"/>
      </w:pPr>
      <w:rPr>
        <w:rFonts w:hint="eastAsia" w:ascii="黑体" w:hAnsi="Times New Roman" w:eastAsia="黑体"/>
        <w:b w:val="0"/>
        <w:i w:val="0"/>
        <w:sz w:val="21"/>
      </w:rPr>
    </w:lvl>
    <w:lvl w:ilvl="6" w:tentative="0">
      <w:start w:val="1"/>
      <w:numFmt w:val="decimal"/>
      <w:pStyle w:val="74"/>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
    <w:nsid w:val="00000004"/>
    <w:multiLevelType w:val="multilevel"/>
    <w:tmpl w:val="00000004"/>
    <w:lvl w:ilvl="0" w:tentative="0">
      <w:start w:val="0"/>
      <w:numFmt w:val="none"/>
      <w:pStyle w:val="98"/>
      <w:lvlText w:val=""/>
      <w:lvlJc w:val="left"/>
      <w:pPr>
        <w:tabs>
          <w:tab w:val="left" w:pos="360"/>
        </w:tabs>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0000009"/>
    <w:multiLevelType w:val="multilevel"/>
    <w:tmpl w:val="00000009"/>
    <w:lvl w:ilvl="0" w:tentative="0">
      <w:start w:val="0"/>
      <w:numFmt w:val="none"/>
      <w:pStyle w:val="103"/>
      <w:lvlText w:val=""/>
      <w:lvlJc w:val="left"/>
      <w:pPr>
        <w:tabs>
          <w:tab w:val="left" w:pos="360"/>
        </w:tabs>
      </w:p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5">
    <w:nsid w:val="0000000A"/>
    <w:multiLevelType w:val="multilevel"/>
    <w:tmpl w:val="0000000A"/>
    <w:lvl w:ilvl="0" w:tentative="0">
      <w:start w:val="0"/>
      <w:numFmt w:val="none"/>
      <w:pStyle w:val="43"/>
      <w:lvlText w:val=""/>
      <w:lvlJc w:val="left"/>
      <w:pPr>
        <w:tabs>
          <w:tab w:val="left" w:pos="360"/>
        </w:tabs>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000000D"/>
    <w:multiLevelType w:val="multilevel"/>
    <w:tmpl w:val="0000000D"/>
    <w:lvl w:ilvl="0" w:tentative="0">
      <w:start w:val="1"/>
      <w:numFmt w:val="decimal"/>
      <w:pStyle w:val="44"/>
      <w:suff w:val="nothing"/>
      <w:lvlText w:val="图%1　"/>
      <w:lvlJc w:val="left"/>
      <w:pPr>
        <w:ind w:left="0" w:firstLine="0"/>
      </w:pPr>
      <w:rPr>
        <w:rFonts w:hint="eastAsia" w:ascii="黑体" w:hAnsi="Times New Roman" w:eastAsia="黑体"/>
        <w:b w:val="0"/>
        <w:i w:val="0"/>
        <w:sz w:val="21"/>
      </w:rPr>
    </w:lvl>
    <w:lvl w:ilvl="1" w:tentative="0">
      <w:start w:val="1"/>
      <w:numFmt w:val="decimal"/>
      <w:suff w:val="nothing"/>
      <w:lvlText w:val="%1%2　"/>
      <w:lvlJc w:val="left"/>
      <w:pPr>
        <w:ind w:left="0" w:firstLine="0"/>
      </w:pPr>
      <w:rPr>
        <w:rFonts w:hint="default" w:ascii="Times New Roman" w:hAnsi="Times New Roman" w:eastAsia="黑体"/>
        <w:b w:val="0"/>
        <w:i w:val="0"/>
        <w:sz w:val="21"/>
      </w:rPr>
    </w:lvl>
    <w:lvl w:ilvl="2" w:tentative="0">
      <w:start w:val="1"/>
      <w:numFmt w:val="decimal"/>
      <w:suff w:val="nothing"/>
      <w:lvlText w:val="%1%2.%3　"/>
      <w:lvlJc w:val="left"/>
      <w:pPr>
        <w:ind w:left="0" w:firstLine="0"/>
      </w:pPr>
      <w:rPr>
        <w:rFonts w:hint="default" w:ascii="Times New Roman" w:hAnsi="Times New Roman" w:eastAsia="黑体"/>
        <w:b w:val="0"/>
        <w:i w:val="0"/>
        <w:sz w:val="21"/>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7">
    <w:nsid w:val="00000010"/>
    <w:multiLevelType w:val="multilevel"/>
    <w:tmpl w:val="00000010"/>
    <w:lvl w:ilvl="0" w:tentative="0">
      <w:start w:val="1"/>
      <w:numFmt w:val="upperLetter"/>
      <w:pStyle w:val="67"/>
      <w:lvlText w:val="%1"/>
      <w:lvlJc w:val="left"/>
      <w:pPr>
        <w:tabs>
          <w:tab w:val="left" w:pos="0"/>
        </w:tabs>
        <w:ind w:left="0" w:hanging="425"/>
      </w:pPr>
      <w:rPr>
        <w:rFonts w:hint="eastAsia"/>
      </w:rPr>
    </w:lvl>
    <w:lvl w:ilvl="1" w:tentative="0">
      <w:start w:val="1"/>
      <w:numFmt w:val="decimal"/>
      <w:pStyle w:val="85"/>
      <w:suff w:val="nothing"/>
      <w:lvlText w:val="表%1.%2　"/>
      <w:lvlJc w:val="left"/>
      <w:pPr>
        <w:ind w:left="6805" w:hanging="567"/>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8">
    <w:nsid w:val="00000012"/>
    <w:multiLevelType w:val="multilevel"/>
    <w:tmpl w:val="00000012"/>
    <w:lvl w:ilvl="0" w:tentative="0">
      <w:start w:val="1"/>
      <w:numFmt w:val="decimal"/>
      <w:pStyle w:val="102"/>
      <w:suff w:val="nothing"/>
      <w:lvlText w:val="表%1　"/>
      <w:lvlJc w:val="left"/>
      <w:pPr>
        <w:ind w:left="0" w:firstLine="0"/>
      </w:pPr>
      <w:rPr>
        <w:rFonts w:hint="eastAsia" w:ascii="黑体" w:hAnsi="Times New Roman" w:eastAsia="黑体"/>
        <w:b w:val="0"/>
        <w:i w:val="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9">
    <w:nsid w:val="00000013"/>
    <w:multiLevelType w:val="multilevel"/>
    <w:tmpl w:val="00000013"/>
    <w:lvl w:ilvl="0" w:tentative="0">
      <w:start w:val="1"/>
      <w:numFmt w:val="upperLetter"/>
      <w:pStyle w:val="71"/>
      <w:suff w:val="nothing"/>
      <w:lvlText w:val="附　录　%1"/>
      <w:lvlJc w:val="left"/>
      <w:pPr>
        <w:ind w:left="993" w:firstLine="0"/>
      </w:pPr>
      <w:rPr>
        <w:rFonts w:hint="eastAsia" w:ascii="黑体" w:hAnsi="Times New Roman" w:eastAsia="黑体"/>
        <w:b w:val="0"/>
        <w:i w:val="0"/>
        <w:sz w:val="21"/>
      </w:rPr>
    </w:lvl>
    <w:lvl w:ilvl="1" w:tentative="0">
      <w:start w:val="1"/>
      <w:numFmt w:val="decimal"/>
      <w:pStyle w:val="51"/>
      <w:suff w:val="nothing"/>
      <w:lvlText w:val="%1.%2　"/>
      <w:lvlJc w:val="left"/>
      <w:pPr>
        <w:ind w:left="993" w:firstLine="0"/>
      </w:pPr>
      <w:rPr>
        <w:rFonts w:hint="eastAsia" w:ascii="黑体" w:hAnsi="Times New Roman" w:eastAsia="黑体"/>
        <w:b w:val="0"/>
        <w:i w:val="0"/>
        <w:snapToGrid/>
        <w:spacing w:val="0"/>
        <w:w w:val="100"/>
        <w:kern w:val="21"/>
        <w:sz w:val="21"/>
      </w:rPr>
    </w:lvl>
    <w:lvl w:ilvl="2" w:tentative="0">
      <w:start w:val="1"/>
      <w:numFmt w:val="decimal"/>
      <w:pStyle w:val="50"/>
      <w:suff w:val="nothing"/>
      <w:lvlText w:val="%1.%2.%3　"/>
      <w:lvlJc w:val="left"/>
      <w:pPr>
        <w:ind w:left="993" w:firstLine="0"/>
      </w:pPr>
      <w:rPr>
        <w:rFonts w:hint="eastAsia" w:ascii="黑体" w:hAnsi="Times New Roman" w:eastAsia="黑体"/>
        <w:b w:val="0"/>
        <w:i w:val="0"/>
        <w:sz w:val="21"/>
      </w:rPr>
    </w:lvl>
    <w:lvl w:ilvl="3" w:tentative="0">
      <w:start w:val="1"/>
      <w:numFmt w:val="decimal"/>
      <w:pStyle w:val="49"/>
      <w:suff w:val="nothing"/>
      <w:lvlText w:val="%1.%2.%3.%4　"/>
      <w:lvlJc w:val="left"/>
      <w:pPr>
        <w:ind w:left="993" w:firstLine="0"/>
      </w:pPr>
      <w:rPr>
        <w:rFonts w:hint="eastAsia" w:ascii="黑体" w:hAnsi="Times New Roman" w:eastAsia="黑体"/>
        <w:b w:val="0"/>
        <w:i w:val="0"/>
        <w:sz w:val="21"/>
      </w:rPr>
    </w:lvl>
    <w:lvl w:ilvl="4" w:tentative="0">
      <w:start w:val="1"/>
      <w:numFmt w:val="decimal"/>
      <w:pStyle w:val="48"/>
      <w:suff w:val="nothing"/>
      <w:lvlText w:val="%1.%2.%3.%4.%5　"/>
      <w:lvlJc w:val="left"/>
      <w:pPr>
        <w:ind w:left="993" w:firstLine="0"/>
      </w:pPr>
      <w:rPr>
        <w:rFonts w:hint="eastAsia" w:ascii="黑体" w:hAnsi="Times New Roman" w:eastAsia="黑体"/>
        <w:b w:val="0"/>
        <w:i w:val="0"/>
        <w:sz w:val="21"/>
      </w:rPr>
    </w:lvl>
    <w:lvl w:ilvl="5" w:tentative="0">
      <w:start w:val="1"/>
      <w:numFmt w:val="decimal"/>
      <w:pStyle w:val="47"/>
      <w:suff w:val="nothing"/>
      <w:lvlText w:val="%1.%2.%3.%4.%5.%6　"/>
      <w:lvlJc w:val="left"/>
      <w:pPr>
        <w:ind w:left="993" w:firstLine="0"/>
      </w:pPr>
      <w:rPr>
        <w:rFonts w:hint="eastAsia" w:ascii="黑体" w:hAnsi="Times New Roman" w:eastAsia="黑体"/>
        <w:b w:val="0"/>
        <w:i w:val="0"/>
        <w:sz w:val="21"/>
      </w:rPr>
    </w:lvl>
    <w:lvl w:ilvl="6" w:tentative="0">
      <w:start w:val="1"/>
      <w:numFmt w:val="decimal"/>
      <w:pStyle w:val="46"/>
      <w:suff w:val="nothing"/>
      <w:lvlText w:val="%1.%2.%3.%4.%5.%6.%7　"/>
      <w:lvlJc w:val="left"/>
      <w:pPr>
        <w:ind w:left="993" w:firstLine="0"/>
      </w:pPr>
      <w:rPr>
        <w:rFonts w:hint="eastAsia" w:ascii="黑体" w:hAnsi="Times New Roman" w:eastAsia="黑体"/>
        <w:b w:val="0"/>
        <w:i w:val="0"/>
        <w:sz w:val="21"/>
      </w:rPr>
    </w:lvl>
    <w:lvl w:ilvl="7" w:tentative="0">
      <w:start w:val="1"/>
      <w:numFmt w:val="decimal"/>
      <w:lvlText w:val="%1.%2.%3.%4.%5.%6.%7.%8"/>
      <w:lvlJc w:val="left"/>
      <w:pPr>
        <w:tabs>
          <w:tab w:val="left" w:pos="5387"/>
        </w:tabs>
        <w:ind w:left="5387" w:hanging="1418"/>
      </w:pPr>
      <w:rPr>
        <w:rFonts w:hint="eastAsia"/>
      </w:rPr>
    </w:lvl>
    <w:lvl w:ilvl="8" w:tentative="0">
      <w:start w:val="1"/>
      <w:numFmt w:val="decimal"/>
      <w:lvlText w:val="%1.%2.%3.%4.%5.%6.%7.%8.%9"/>
      <w:lvlJc w:val="left"/>
      <w:pPr>
        <w:tabs>
          <w:tab w:val="left" w:pos="6095"/>
        </w:tabs>
        <w:ind w:left="6095" w:hanging="1700"/>
      </w:pPr>
      <w:rPr>
        <w:rFonts w:hint="eastAsia"/>
      </w:rPr>
    </w:lvl>
  </w:abstractNum>
  <w:abstractNum w:abstractNumId="10">
    <w:nsid w:val="00000014"/>
    <w:multiLevelType w:val="multilevel"/>
    <w:tmpl w:val="00000014"/>
    <w:lvl w:ilvl="0" w:tentative="0">
      <w:start w:val="0"/>
      <w:numFmt w:val="none"/>
      <w:pStyle w:val="65"/>
      <w:lvlText w:val=""/>
      <w:lvlJc w:val="left"/>
      <w:pPr>
        <w:tabs>
          <w:tab w:val="left" w:pos="360"/>
        </w:tabs>
      </w:pPr>
    </w:lvl>
    <w:lvl w:ilvl="1" w:tentative="0">
      <w:start w:val="1"/>
      <w:numFmt w:val="decimal"/>
      <w:pStyle w:val="53"/>
      <w:suff w:val="nothing"/>
      <w:lvlText w:val="%1%2　"/>
      <w:lvlJc w:val="left"/>
      <w:pPr>
        <w:ind w:left="0" w:firstLine="0"/>
      </w:pPr>
      <w:rPr>
        <w:rFonts w:hint="eastAsia" w:ascii="黑体" w:hAnsi="Times New Roman" w:eastAsia="黑体"/>
        <w:b w:val="0"/>
        <w:i w:val="0"/>
        <w:sz w:val="21"/>
      </w:rPr>
    </w:lvl>
    <w:lvl w:ilvl="2" w:tentative="0">
      <w:start w:val="1"/>
      <w:numFmt w:val="decimal"/>
      <w:pStyle w:val="54"/>
      <w:suff w:val="nothing"/>
      <w:lvlText w:val="%1%2.%3　"/>
      <w:lvlJc w:val="left"/>
      <w:pPr>
        <w:ind w:left="1560" w:firstLine="0"/>
      </w:pPr>
      <w:rPr>
        <w:rFonts w:hint="eastAsia" w:ascii="黑体" w:hAnsi="Times New Roman" w:eastAsia="黑体"/>
        <w:b w:val="0"/>
        <w:i w:val="0"/>
        <w:sz w:val="21"/>
      </w:rPr>
    </w:lvl>
    <w:lvl w:ilvl="3" w:tentative="0">
      <w:start w:val="1"/>
      <w:numFmt w:val="decimal"/>
      <w:pStyle w:val="59"/>
      <w:suff w:val="nothing"/>
      <w:lvlText w:val="%1%2.%3.%4　"/>
      <w:lvlJc w:val="left"/>
      <w:pPr>
        <w:ind w:left="0" w:firstLine="0"/>
      </w:pPr>
      <w:rPr>
        <w:rFonts w:hint="eastAsia" w:ascii="黑体" w:hAnsi="Times New Roman" w:eastAsia="黑体"/>
        <w:b w:val="0"/>
        <w:i w:val="0"/>
        <w:sz w:val="21"/>
      </w:rPr>
    </w:lvl>
    <w:lvl w:ilvl="4" w:tentative="0">
      <w:start w:val="1"/>
      <w:numFmt w:val="decimal"/>
      <w:pStyle w:val="78"/>
      <w:suff w:val="nothing"/>
      <w:lvlText w:val="%1%2.%3.%4.%5　"/>
      <w:lvlJc w:val="left"/>
      <w:pPr>
        <w:ind w:left="2269" w:firstLine="0"/>
      </w:pPr>
      <w:rPr>
        <w:rFonts w:hint="eastAsia" w:ascii="黑体" w:hAnsi="Times New Roman" w:eastAsia="黑体"/>
        <w:b w:val="0"/>
        <w:i w:val="0"/>
        <w:sz w:val="21"/>
      </w:rPr>
    </w:lvl>
    <w:lvl w:ilvl="5" w:tentative="0">
      <w:start w:val="1"/>
      <w:numFmt w:val="decimal"/>
      <w:pStyle w:val="92"/>
      <w:suff w:val="nothing"/>
      <w:lvlText w:val="%1%2.%3.%4.%5.%6　"/>
      <w:lvlJc w:val="left"/>
      <w:pPr>
        <w:ind w:left="0" w:firstLine="0"/>
      </w:pPr>
      <w:rPr>
        <w:rFonts w:hint="eastAsia" w:ascii="黑体" w:hAnsi="Times New Roman" w:eastAsia="黑体"/>
        <w:b w:val="0"/>
        <w:i w:val="0"/>
        <w:sz w:val="21"/>
      </w:rPr>
    </w:lvl>
    <w:lvl w:ilvl="6" w:tentative="0">
      <w:start w:val="1"/>
      <w:numFmt w:val="decimal"/>
      <w:pStyle w:val="91"/>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1">
    <w:nsid w:val="00000015"/>
    <w:multiLevelType w:val="multilevel"/>
    <w:tmpl w:val="00000015"/>
    <w:lvl w:ilvl="0" w:tentative="0">
      <w:start w:val="0"/>
      <w:numFmt w:val="none"/>
      <w:pStyle w:val="63"/>
      <w:lvlText w:val=""/>
      <w:lvlJc w:val="left"/>
      <w:pPr>
        <w:tabs>
          <w:tab w:val="left" w:pos="360"/>
        </w:tabs>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00000016"/>
    <w:multiLevelType w:val="multilevel"/>
    <w:tmpl w:val="00000016"/>
    <w:lvl w:ilvl="0" w:tentative="0">
      <w:start w:val="1"/>
      <w:numFmt w:val="lowerLetter"/>
      <w:pStyle w:val="41"/>
      <w:lvlText w:val="%1)"/>
      <w:lvlJc w:val="left"/>
      <w:pPr>
        <w:tabs>
          <w:tab w:val="left" w:pos="1140"/>
        </w:tabs>
        <w:ind w:left="840" w:hanging="420"/>
      </w:pPr>
      <w:rPr>
        <w:rFonts w:ascii="宋体" w:hAnsi="Times New Roman" w:eastAsia="宋体" w:cs="Times New Roman"/>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2"/>
  </w:num>
  <w:num w:numId="2">
    <w:abstractNumId w:val="5"/>
  </w:num>
  <w:num w:numId="3">
    <w:abstractNumId w:val="6"/>
  </w:num>
  <w:num w:numId="4">
    <w:abstractNumId w:val="9"/>
  </w:num>
  <w:num w:numId="5">
    <w:abstractNumId w:val="10"/>
  </w:num>
  <w:num w:numId="6">
    <w:abstractNumId w:val="2"/>
  </w:num>
  <w:num w:numId="7">
    <w:abstractNumId w:val="11"/>
  </w:num>
  <w:num w:numId="8">
    <w:abstractNumId w:val="7"/>
  </w:num>
  <w:num w:numId="9">
    <w:abstractNumId w:val="3"/>
  </w:num>
  <w:num w:numId="10">
    <w:abstractNumId w:val="8"/>
  </w:num>
  <w:num w:numId="11">
    <w:abstractNumId w:val="4"/>
  </w:num>
  <w:num w:numId="12">
    <w:abstractNumId w:val="0"/>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nforcement="0"/>
  <w:defaultTabStop w:val="420"/>
  <w:hyphenationZone w:val="360"/>
  <w:evenAndOddHeaders w:val="1"/>
  <w:drawingGridHorizontalSpacing w:val="105"/>
  <w:drawingGridVerticalSpacing w:val="156"/>
  <w:displayHorizontalDrawingGridEvery w:val="0"/>
  <w:displayVerticalDrawingGridEvery w:val="2"/>
  <w:doNotShadeFormData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VjNzEwMDg2YTZlODE4OTliZjhkNjlmMjNiZDk2NWEifQ=="/>
  </w:docVars>
  <w:rsids>
    <w:rsidRoot w:val="00172A27"/>
    <w:rsid w:val="00001A23"/>
    <w:rsid w:val="000235DB"/>
    <w:rsid w:val="000414A3"/>
    <w:rsid w:val="000421B2"/>
    <w:rsid w:val="00046453"/>
    <w:rsid w:val="00053A65"/>
    <w:rsid w:val="00056744"/>
    <w:rsid w:val="00061616"/>
    <w:rsid w:val="00080B0D"/>
    <w:rsid w:val="00092E9F"/>
    <w:rsid w:val="000A20CA"/>
    <w:rsid w:val="000A267D"/>
    <w:rsid w:val="000A5742"/>
    <w:rsid w:val="000B6A87"/>
    <w:rsid w:val="000C3243"/>
    <w:rsid w:val="000D0C72"/>
    <w:rsid w:val="000D1109"/>
    <w:rsid w:val="000D6F48"/>
    <w:rsid w:val="000F0CB0"/>
    <w:rsid w:val="00112637"/>
    <w:rsid w:val="001219D1"/>
    <w:rsid w:val="00121BEB"/>
    <w:rsid w:val="00125D09"/>
    <w:rsid w:val="0013024E"/>
    <w:rsid w:val="00131B2D"/>
    <w:rsid w:val="00142861"/>
    <w:rsid w:val="00155B50"/>
    <w:rsid w:val="00184308"/>
    <w:rsid w:val="0018716E"/>
    <w:rsid w:val="001A0A82"/>
    <w:rsid w:val="001A673D"/>
    <w:rsid w:val="001B3066"/>
    <w:rsid w:val="001F3DE8"/>
    <w:rsid w:val="001F4D94"/>
    <w:rsid w:val="00202287"/>
    <w:rsid w:val="002030E6"/>
    <w:rsid w:val="00210D68"/>
    <w:rsid w:val="0021298C"/>
    <w:rsid w:val="00224D6E"/>
    <w:rsid w:val="002250F4"/>
    <w:rsid w:val="0023479C"/>
    <w:rsid w:val="00246E88"/>
    <w:rsid w:val="00252130"/>
    <w:rsid w:val="00253E56"/>
    <w:rsid w:val="00270ECF"/>
    <w:rsid w:val="00286D19"/>
    <w:rsid w:val="002901E1"/>
    <w:rsid w:val="002A061C"/>
    <w:rsid w:val="002A3FC6"/>
    <w:rsid w:val="002B0250"/>
    <w:rsid w:val="002B5961"/>
    <w:rsid w:val="002B5EFC"/>
    <w:rsid w:val="002C639C"/>
    <w:rsid w:val="002D3217"/>
    <w:rsid w:val="002D617F"/>
    <w:rsid w:val="002E246A"/>
    <w:rsid w:val="002F7176"/>
    <w:rsid w:val="003020AF"/>
    <w:rsid w:val="0032669A"/>
    <w:rsid w:val="003516B6"/>
    <w:rsid w:val="00360821"/>
    <w:rsid w:val="00372D3D"/>
    <w:rsid w:val="0037763F"/>
    <w:rsid w:val="0039338F"/>
    <w:rsid w:val="00397C7D"/>
    <w:rsid w:val="003E75EE"/>
    <w:rsid w:val="003F0524"/>
    <w:rsid w:val="003F26C3"/>
    <w:rsid w:val="003F7640"/>
    <w:rsid w:val="00405318"/>
    <w:rsid w:val="00441B30"/>
    <w:rsid w:val="00450104"/>
    <w:rsid w:val="00452E96"/>
    <w:rsid w:val="00452EDE"/>
    <w:rsid w:val="0045391B"/>
    <w:rsid w:val="004577FE"/>
    <w:rsid w:val="00460302"/>
    <w:rsid w:val="00461D0D"/>
    <w:rsid w:val="00480FA2"/>
    <w:rsid w:val="004824F4"/>
    <w:rsid w:val="004826AD"/>
    <w:rsid w:val="004A276A"/>
    <w:rsid w:val="004C2C47"/>
    <w:rsid w:val="004E2FE2"/>
    <w:rsid w:val="004E5039"/>
    <w:rsid w:val="004F38D1"/>
    <w:rsid w:val="004F74EA"/>
    <w:rsid w:val="005052C4"/>
    <w:rsid w:val="00507793"/>
    <w:rsid w:val="00523762"/>
    <w:rsid w:val="005422D6"/>
    <w:rsid w:val="00557787"/>
    <w:rsid w:val="0056261E"/>
    <w:rsid w:val="00591CF7"/>
    <w:rsid w:val="005A4F11"/>
    <w:rsid w:val="005A533F"/>
    <w:rsid w:val="005B5EB9"/>
    <w:rsid w:val="005C037E"/>
    <w:rsid w:val="005C43A4"/>
    <w:rsid w:val="005E4C32"/>
    <w:rsid w:val="006061E1"/>
    <w:rsid w:val="00636E2E"/>
    <w:rsid w:val="006430CF"/>
    <w:rsid w:val="00643591"/>
    <w:rsid w:val="006512D6"/>
    <w:rsid w:val="00654554"/>
    <w:rsid w:val="006559D7"/>
    <w:rsid w:val="006624E6"/>
    <w:rsid w:val="006712D6"/>
    <w:rsid w:val="00681931"/>
    <w:rsid w:val="00697097"/>
    <w:rsid w:val="006C444E"/>
    <w:rsid w:val="006D09EE"/>
    <w:rsid w:val="006D1939"/>
    <w:rsid w:val="006D1B53"/>
    <w:rsid w:val="006D4B1E"/>
    <w:rsid w:val="006D56D5"/>
    <w:rsid w:val="006E3C06"/>
    <w:rsid w:val="006E3E45"/>
    <w:rsid w:val="00714CAE"/>
    <w:rsid w:val="00733494"/>
    <w:rsid w:val="00735C49"/>
    <w:rsid w:val="00745CBF"/>
    <w:rsid w:val="0075698C"/>
    <w:rsid w:val="00767229"/>
    <w:rsid w:val="00771A82"/>
    <w:rsid w:val="00777F77"/>
    <w:rsid w:val="0078242D"/>
    <w:rsid w:val="007942D6"/>
    <w:rsid w:val="007C1F67"/>
    <w:rsid w:val="007C5338"/>
    <w:rsid w:val="007F3452"/>
    <w:rsid w:val="007F6552"/>
    <w:rsid w:val="008028C9"/>
    <w:rsid w:val="00802FEC"/>
    <w:rsid w:val="008072C6"/>
    <w:rsid w:val="00812566"/>
    <w:rsid w:val="00823266"/>
    <w:rsid w:val="0083230E"/>
    <w:rsid w:val="00843022"/>
    <w:rsid w:val="00850B44"/>
    <w:rsid w:val="00866A6C"/>
    <w:rsid w:val="00875B74"/>
    <w:rsid w:val="00886908"/>
    <w:rsid w:val="008910E1"/>
    <w:rsid w:val="0089197D"/>
    <w:rsid w:val="008A0237"/>
    <w:rsid w:val="008D043E"/>
    <w:rsid w:val="008E44BB"/>
    <w:rsid w:val="008F2401"/>
    <w:rsid w:val="008F322C"/>
    <w:rsid w:val="008F3831"/>
    <w:rsid w:val="00904AE2"/>
    <w:rsid w:val="00910282"/>
    <w:rsid w:val="00920C5C"/>
    <w:rsid w:val="00921F10"/>
    <w:rsid w:val="00921FB4"/>
    <w:rsid w:val="0092683F"/>
    <w:rsid w:val="009278C9"/>
    <w:rsid w:val="00943BB9"/>
    <w:rsid w:val="00950E2D"/>
    <w:rsid w:val="0095408C"/>
    <w:rsid w:val="00962359"/>
    <w:rsid w:val="009710E5"/>
    <w:rsid w:val="00981603"/>
    <w:rsid w:val="00983DF9"/>
    <w:rsid w:val="009A132C"/>
    <w:rsid w:val="009B6503"/>
    <w:rsid w:val="009C1AD5"/>
    <w:rsid w:val="009F34A3"/>
    <w:rsid w:val="009F6CB6"/>
    <w:rsid w:val="00A107C4"/>
    <w:rsid w:val="00A11F24"/>
    <w:rsid w:val="00A413A6"/>
    <w:rsid w:val="00A426A5"/>
    <w:rsid w:val="00A479D1"/>
    <w:rsid w:val="00A51225"/>
    <w:rsid w:val="00A7191E"/>
    <w:rsid w:val="00A76B25"/>
    <w:rsid w:val="00A93031"/>
    <w:rsid w:val="00AA0D08"/>
    <w:rsid w:val="00AA31B5"/>
    <w:rsid w:val="00AA3846"/>
    <w:rsid w:val="00AA62EC"/>
    <w:rsid w:val="00AC4E6C"/>
    <w:rsid w:val="00AD75DC"/>
    <w:rsid w:val="00AE692A"/>
    <w:rsid w:val="00AF615E"/>
    <w:rsid w:val="00B0363F"/>
    <w:rsid w:val="00B047F6"/>
    <w:rsid w:val="00B0506C"/>
    <w:rsid w:val="00B11F60"/>
    <w:rsid w:val="00B23ED3"/>
    <w:rsid w:val="00B40644"/>
    <w:rsid w:val="00B43072"/>
    <w:rsid w:val="00B4479A"/>
    <w:rsid w:val="00B47298"/>
    <w:rsid w:val="00B57CFE"/>
    <w:rsid w:val="00B81DB7"/>
    <w:rsid w:val="00B9571D"/>
    <w:rsid w:val="00B96546"/>
    <w:rsid w:val="00BA37ED"/>
    <w:rsid w:val="00BD581F"/>
    <w:rsid w:val="00BD66A4"/>
    <w:rsid w:val="00BE173E"/>
    <w:rsid w:val="00C05B6F"/>
    <w:rsid w:val="00C2020F"/>
    <w:rsid w:val="00C26B97"/>
    <w:rsid w:val="00C574F2"/>
    <w:rsid w:val="00C57C01"/>
    <w:rsid w:val="00C62552"/>
    <w:rsid w:val="00C9409F"/>
    <w:rsid w:val="00CA3383"/>
    <w:rsid w:val="00CB463F"/>
    <w:rsid w:val="00CD3FFF"/>
    <w:rsid w:val="00CE2C83"/>
    <w:rsid w:val="00CE41EE"/>
    <w:rsid w:val="00CE4AB3"/>
    <w:rsid w:val="00CE4E11"/>
    <w:rsid w:val="00CF4B18"/>
    <w:rsid w:val="00CF6DD7"/>
    <w:rsid w:val="00D000B1"/>
    <w:rsid w:val="00D00616"/>
    <w:rsid w:val="00D123DA"/>
    <w:rsid w:val="00D140AF"/>
    <w:rsid w:val="00D2067F"/>
    <w:rsid w:val="00D21BED"/>
    <w:rsid w:val="00D335E1"/>
    <w:rsid w:val="00D477C5"/>
    <w:rsid w:val="00D52F90"/>
    <w:rsid w:val="00D5430F"/>
    <w:rsid w:val="00D56325"/>
    <w:rsid w:val="00D65F95"/>
    <w:rsid w:val="00D71720"/>
    <w:rsid w:val="00D72E4E"/>
    <w:rsid w:val="00D74179"/>
    <w:rsid w:val="00D77F37"/>
    <w:rsid w:val="00DA11D8"/>
    <w:rsid w:val="00DA21FB"/>
    <w:rsid w:val="00DD6EC9"/>
    <w:rsid w:val="00DE6404"/>
    <w:rsid w:val="00DF05F2"/>
    <w:rsid w:val="00DF08A3"/>
    <w:rsid w:val="00DF575F"/>
    <w:rsid w:val="00E311A1"/>
    <w:rsid w:val="00E317B0"/>
    <w:rsid w:val="00E33A2A"/>
    <w:rsid w:val="00E661DF"/>
    <w:rsid w:val="00E77AC0"/>
    <w:rsid w:val="00E77EDA"/>
    <w:rsid w:val="00E83B28"/>
    <w:rsid w:val="00E90535"/>
    <w:rsid w:val="00E92729"/>
    <w:rsid w:val="00EA1C05"/>
    <w:rsid w:val="00EA5117"/>
    <w:rsid w:val="00EC1F92"/>
    <w:rsid w:val="00EE2FCB"/>
    <w:rsid w:val="00EE48E2"/>
    <w:rsid w:val="00EE5A37"/>
    <w:rsid w:val="00EF590E"/>
    <w:rsid w:val="00F179AD"/>
    <w:rsid w:val="00F34B4F"/>
    <w:rsid w:val="00F35517"/>
    <w:rsid w:val="00F36E86"/>
    <w:rsid w:val="00F47ED7"/>
    <w:rsid w:val="00F6150B"/>
    <w:rsid w:val="00F81631"/>
    <w:rsid w:val="00F9080A"/>
    <w:rsid w:val="00F9588E"/>
    <w:rsid w:val="00FA3438"/>
    <w:rsid w:val="00FA7FE5"/>
    <w:rsid w:val="00FB2C32"/>
    <w:rsid w:val="00FB37AE"/>
    <w:rsid w:val="00FE2603"/>
    <w:rsid w:val="00FF4D27"/>
    <w:rsid w:val="045540FE"/>
    <w:rsid w:val="090845C8"/>
    <w:rsid w:val="1EAC219B"/>
    <w:rsid w:val="289B479A"/>
    <w:rsid w:val="2CF4467E"/>
    <w:rsid w:val="30053BBD"/>
    <w:rsid w:val="383334AD"/>
    <w:rsid w:val="399600A5"/>
    <w:rsid w:val="3EC02FF8"/>
    <w:rsid w:val="40775682"/>
    <w:rsid w:val="47ED62E0"/>
    <w:rsid w:val="4E744D85"/>
    <w:rsid w:val="4EBE0CE0"/>
    <w:rsid w:val="553620FF"/>
    <w:rsid w:val="593F0EE6"/>
    <w:rsid w:val="68B40255"/>
    <w:rsid w:val="6A3F3494"/>
    <w:rsid w:val="6BF50C06"/>
    <w:rsid w:val="710A23D2"/>
    <w:rsid w:val="71950145"/>
    <w:rsid w:val="752C24D5"/>
    <w:rsid w:val="7576325A"/>
    <w:rsid w:val="7E601DE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39" w:semiHidden="0" w:name="toc 3"/>
    <w:lsdException w:qFormat="1" w:unhideWhenUsed="0" w:uiPriority="39"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qFormat/>
    <w:uiPriority w:val="0"/>
    <w:pPr>
      <w:keepNext/>
      <w:keepLines/>
      <w:spacing w:before="260" w:after="260" w:line="416" w:lineRule="auto"/>
      <w:outlineLvl w:val="1"/>
    </w:pPr>
    <w:rPr>
      <w:rFonts w:ascii="Arial" w:hAnsi="Arial" w:eastAsia="黑体" w:cs="Times New Roman"/>
      <w:b/>
      <w:bCs/>
      <w:sz w:val="32"/>
      <w:szCs w:val="32"/>
    </w:rPr>
  </w:style>
  <w:style w:type="paragraph" w:styleId="4">
    <w:name w:val="heading 3"/>
    <w:basedOn w:val="1"/>
    <w:next w:val="1"/>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qFormat/>
    <w:uiPriority w:val="0"/>
    <w:pPr>
      <w:keepNext/>
      <w:keepLines/>
      <w:spacing w:before="280" w:after="290" w:line="376" w:lineRule="auto"/>
      <w:outlineLvl w:val="3"/>
    </w:pPr>
    <w:rPr>
      <w:rFonts w:ascii="Arial" w:hAnsi="Arial" w:eastAsia="黑体" w:cs="Times New Roman"/>
      <w:b/>
      <w:bCs/>
      <w:sz w:val="28"/>
      <w:szCs w:val="28"/>
    </w:rPr>
  </w:style>
  <w:style w:type="paragraph" w:styleId="6">
    <w:name w:val="heading 5"/>
    <w:basedOn w:val="1"/>
    <w:next w:val="1"/>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qFormat/>
    <w:uiPriority w:val="0"/>
    <w:pPr>
      <w:keepNext/>
      <w:keepLines/>
      <w:spacing w:before="240" w:after="64" w:line="320" w:lineRule="auto"/>
      <w:outlineLvl w:val="5"/>
    </w:pPr>
    <w:rPr>
      <w:rFonts w:ascii="Arial" w:hAnsi="Arial" w:eastAsia="黑体" w:cs="Times New Roman"/>
      <w:b/>
      <w:bCs/>
      <w:sz w:val="24"/>
    </w:rPr>
  </w:style>
  <w:style w:type="paragraph" w:styleId="8">
    <w:name w:val="heading 7"/>
    <w:basedOn w:val="1"/>
    <w:next w:val="1"/>
    <w:qFormat/>
    <w:uiPriority w:val="0"/>
    <w:pPr>
      <w:keepNext/>
      <w:keepLines/>
      <w:spacing w:before="240" w:after="64" w:line="320" w:lineRule="auto"/>
      <w:outlineLvl w:val="6"/>
    </w:pPr>
    <w:rPr>
      <w:rFonts w:ascii="Times New Roman" w:hAnsi="Times New Roman" w:eastAsia="宋体" w:cs="Times New Roman"/>
      <w:b/>
      <w:bCs/>
      <w:sz w:val="24"/>
    </w:rPr>
  </w:style>
  <w:style w:type="paragraph" w:styleId="9">
    <w:name w:val="heading 8"/>
    <w:basedOn w:val="1"/>
    <w:next w:val="1"/>
    <w:qFormat/>
    <w:uiPriority w:val="0"/>
    <w:pPr>
      <w:keepNext/>
      <w:keepLines/>
      <w:spacing w:before="240" w:after="64" w:line="320" w:lineRule="auto"/>
      <w:outlineLvl w:val="7"/>
    </w:pPr>
    <w:rPr>
      <w:rFonts w:ascii="Arial" w:hAnsi="Arial" w:eastAsia="黑体" w:cs="Times New Roman"/>
      <w:sz w:val="24"/>
    </w:rPr>
  </w:style>
  <w:style w:type="paragraph" w:styleId="10">
    <w:name w:val="heading 9"/>
    <w:basedOn w:val="1"/>
    <w:next w:val="1"/>
    <w:qFormat/>
    <w:uiPriority w:val="0"/>
    <w:pPr>
      <w:keepNext/>
      <w:keepLines/>
      <w:spacing w:before="240" w:after="64" w:line="320" w:lineRule="auto"/>
      <w:outlineLvl w:val="8"/>
    </w:pPr>
    <w:rPr>
      <w:rFonts w:ascii="Arial" w:hAnsi="Arial" w:eastAsia="黑体" w:cs="Times New Roman"/>
      <w:szCs w:val="21"/>
    </w:rPr>
  </w:style>
  <w:style w:type="character" w:default="1" w:styleId="29">
    <w:name w:val="Default Paragraph Font"/>
    <w:qFormat/>
    <w:uiPriority w:val="0"/>
    <w:rPr>
      <w:rFonts w:ascii="Times New Roman" w:hAnsi="Times New Roman" w:eastAsia="宋体" w:cs="Times New Roman"/>
    </w:rPr>
  </w:style>
  <w:style w:type="table" w:default="1" w:styleId="28">
    <w:name w:val="Normal Table"/>
    <w:qFormat/>
    <w:uiPriority w:val="0"/>
    <w:rPr>
      <w:rFonts w:ascii="Times New Roman" w:hAnsi="Times New Roman" w:eastAsia="宋体" w:cs="Times New Roman"/>
    </w:rPr>
    <w:tblPr>
      <w:tblCellMar>
        <w:top w:w="0" w:type="dxa"/>
        <w:left w:w="108" w:type="dxa"/>
        <w:bottom w:w="0" w:type="dxa"/>
        <w:right w:w="108" w:type="dxa"/>
      </w:tblCellMar>
    </w:tblPr>
  </w:style>
  <w:style w:type="paragraph" w:styleId="11">
    <w:name w:val="toc 7"/>
    <w:basedOn w:val="12"/>
    <w:next w:val="1"/>
    <w:qFormat/>
    <w:uiPriority w:val="0"/>
    <w:rPr>
      <w:rFonts w:ascii="Times New Roman" w:hAnsi="Times New Roman" w:eastAsia="宋体" w:cs="Times New Roman"/>
    </w:rPr>
  </w:style>
  <w:style w:type="paragraph" w:styleId="12">
    <w:name w:val="toc 6"/>
    <w:basedOn w:val="13"/>
    <w:next w:val="1"/>
    <w:qFormat/>
    <w:uiPriority w:val="0"/>
    <w:rPr>
      <w:rFonts w:ascii="Times New Roman" w:hAnsi="Times New Roman" w:eastAsia="宋体" w:cs="Times New Roman"/>
    </w:rPr>
  </w:style>
  <w:style w:type="paragraph" w:styleId="13">
    <w:name w:val="toc 5"/>
    <w:basedOn w:val="14"/>
    <w:next w:val="1"/>
    <w:qFormat/>
    <w:uiPriority w:val="0"/>
    <w:rPr>
      <w:rFonts w:ascii="Times New Roman" w:hAnsi="Times New Roman" w:eastAsia="宋体" w:cs="Times New Roman"/>
    </w:rPr>
  </w:style>
  <w:style w:type="paragraph" w:styleId="14">
    <w:name w:val="toc 4"/>
    <w:basedOn w:val="15"/>
    <w:next w:val="1"/>
    <w:qFormat/>
    <w:uiPriority w:val="39"/>
    <w:rPr>
      <w:rFonts w:ascii="Times New Roman" w:hAnsi="Times New Roman" w:eastAsia="宋体" w:cs="Times New Roman"/>
    </w:rPr>
  </w:style>
  <w:style w:type="paragraph" w:styleId="15">
    <w:name w:val="toc 3"/>
    <w:basedOn w:val="16"/>
    <w:next w:val="1"/>
    <w:qFormat/>
    <w:uiPriority w:val="39"/>
    <w:rPr>
      <w:rFonts w:ascii="Times New Roman" w:hAnsi="Times New Roman" w:eastAsia="宋体" w:cs="Times New Roman"/>
    </w:rPr>
  </w:style>
  <w:style w:type="paragraph" w:styleId="16">
    <w:name w:val="toc 2"/>
    <w:basedOn w:val="17"/>
    <w:next w:val="1"/>
    <w:qFormat/>
    <w:uiPriority w:val="0"/>
    <w:rPr>
      <w:rFonts w:ascii="Times New Roman" w:hAnsi="Times New Roman" w:eastAsia="宋体" w:cs="Times New Roman"/>
    </w:rPr>
  </w:style>
  <w:style w:type="paragraph" w:styleId="17">
    <w:name w:val="toc 1"/>
    <w:next w:val="1"/>
    <w:qFormat/>
    <w:uiPriority w:val="39"/>
    <w:pPr>
      <w:jc w:val="both"/>
    </w:pPr>
    <w:rPr>
      <w:rFonts w:ascii="宋体" w:hAnsi="Calibri" w:eastAsia="宋体" w:cs="Calibri"/>
      <w:sz w:val="21"/>
      <w:lang w:val="en-US" w:eastAsia="zh-CN" w:bidi="ar-SA"/>
    </w:rPr>
  </w:style>
  <w:style w:type="paragraph" w:styleId="18">
    <w:name w:val="HTML Address"/>
    <w:basedOn w:val="1"/>
    <w:qFormat/>
    <w:uiPriority w:val="0"/>
    <w:rPr>
      <w:rFonts w:ascii="Times New Roman" w:hAnsi="Times New Roman" w:eastAsia="宋体" w:cs="Times New Roman"/>
      <w:i/>
      <w:iCs/>
    </w:rPr>
  </w:style>
  <w:style w:type="paragraph" w:styleId="19">
    <w:name w:val="Plain Text"/>
    <w:basedOn w:val="1"/>
    <w:qFormat/>
    <w:uiPriority w:val="0"/>
    <w:rPr>
      <w:rFonts w:ascii="宋体" w:hAnsi="Courier New" w:cs="Times New Roman"/>
      <w:szCs w:val="20"/>
      <w:lang w:val="zh-CN" w:eastAsia="zh-CN"/>
    </w:rPr>
  </w:style>
  <w:style w:type="paragraph" w:styleId="20">
    <w:name w:val="toc 8"/>
    <w:basedOn w:val="11"/>
    <w:next w:val="1"/>
    <w:qFormat/>
    <w:uiPriority w:val="0"/>
    <w:rPr>
      <w:rFonts w:ascii="Times New Roman" w:hAnsi="Times New Roman" w:eastAsia="宋体" w:cs="Times New Roman"/>
    </w:rPr>
  </w:style>
  <w:style w:type="paragraph" w:styleId="21">
    <w:name w:val="footer"/>
    <w:basedOn w:val="1"/>
    <w:qFormat/>
    <w:uiPriority w:val="0"/>
    <w:pPr>
      <w:tabs>
        <w:tab w:val="center" w:pos="4153"/>
        <w:tab w:val="right" w:pos="8306"/>
      </w:tabs>
      <w:snapToGrid w:val="0"/>
      <w:ind w:right="210" w:rightChars="100"/>
      <w:jc w:val="right"/>
    </w:pPr>
    <w:rPr>
      <w:rFonts w:ascii="Times New Roman" w:hAnsi="Times New Roman" w:eastAsia="宋体" w:cs="Times New Roman"/>
      <w:sz w:val="18"/>
      <w:szCs w:val="18"/>
    </w:rPr>
  </w:style>
  <w:style w:type="paragraph" w:styleId="22">
    <w:name w:val="header"/>
    <w:basedOn w:val="1"/>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23">
    <w:name w:val="footnote text"/>
    <w:basedOn w:val="1"/>
    <w:qFormat/>
    <w:uiPriority w:val="0"/>
    <w:pPr>
      <w:snapToGrid w:val="0"/>
      <w:jc w:val="left"/>
    </w:pPr>
    <w:rPr>
      <w:rFonts w:ascii="Times New Roman" w:hAnsi="Times New Roman" w:eastAsia="宋体" w:cs="Times New Roman"/>
      <w:sz w:val="18"/>
      <w:szCs w:val="18"/>
    </w:rPr>
  </w:style>
  <w:style w:type="paragraph" w:styleId="24">
    <w:name w:val="toc 9"/>
    <w:basedOn w:val="20"/>
    <w:next w:val="1"/>
    <w:qFormat/>
    <w:uiPriority w:val="0"/>
    <w:rPr>
      <w:rFonts w:ascii="Times New Roman" w:hAnsi="Times New Roman" w:eastAsia="宋体" w:cs="Times New Roman"/>
    </w:rPr>
  </w:style>
  <w:style w:type="paragraph" w:styleId="25">
    <w:name w:val="HTML Preformatted"/>
    <w:basedOn w:val="1"/>
    <w:qFormat/>
    <w:uiPriority w:val="0"/>
    <w:rPr>
      <w:rFonts w:ascii="Courier New" w:hAnsi="Courier New" w:eastAsia="宋体" w:cs="Courier New"/>
      <w:sz w:val="20"/>
      <w:szCs w:val="20"/>
    </w:rPr>
  </w:style>
  <w:style w:type="paragraph" w:styleId="26">
    <w:name w:val="Normal (Web)"/>
    <w:basedOn w:val="1"/>
    <w:qFormat/>
    <w:uiPriority w:val="0"/>
    <w:rPr>
      <w:sz w:val="24"/>
    </w:rPr>
  </w:style>
  <w:style w:type="paragraph" w:styleId="27">
    <w:name w:val="Title"/>
    <w:basedOn w:val="1"/>
    <w:qFormat/>
    <w:uiPriority w:val="0"/>
    <w:pPr>
      <w:spacing w:before="240" w:after="60"/>
      <w:jc w:val="center"/>
      <w:outlineLvl w:val="0"/>
    </w:pPr>
    <w:rPr>
      <w:rFonts w:ascii="Arial" w:hAnsi="Arial" w:eastAsia="宋体" w:cs="Arial"/>
      <w:b/>
      <w:bCs/>
      <w:sz w:val="32"/>
      <w:szCs w:val="32"/>
    </w:rPr>
  </w:style>
  <w:style w:type="character" w:styleId="30">
    <w:name w:val="page number"/>
    <w:qFormat/>
    <w:uiPriority w:val="0"/>
    <w:rPr>
      <w:rFonts w:ascii="Times New Roman" w:hAnsi="Times New Roman" w:eastAsia="宋体" w:cs="Times New Roman"/>
      <w:sz w:val="18"/>
    </w:rPr>
  </w:style>
  <w:style w:type="character" w:styleId="31">
    <w:name w:val="HTML Definition"/>
    <w:qFormat/>
    <w:uiPriority w:val="0"/>
    <w:rPr>
      <w:rFonts w:ascii="Times New Roman" w:hAnsi="Times New Roman" w:eastAsia="宋体" w:cs="Times New Roman"/>
      <w:i/>
      <w:iCs/>
    </w:rPr>
  </w:style>
  <w:style w:type="character" w:styleId="32">
    <w:name w:val="HTML Typewriter"/>
    <w:qFormat/>
    <w:uiPriority w:val="0"/>
    <w:rPr>
      <w:rFonts w:ascii="Courier New" w:hAnsi="Courier New" w:eastAsia="宋体" w:cs="Times New Roman"/>
      <w:sz w:val="20"/>
      <w:szCs w:val="20"/>
    </w:rPr>
  </w:style>
  <w:style w:type="character" w:styleId="33">
    <w:name w:val="HTML Acronym"/>
    <w:qFormat/>
    <w:uiPriority w:val="0"/>
    <w:rPr>
      <w:rFonts w:ascii="Times New Roman" w:hAnsi="Times New Roman" w:eastAsia="宋体" w:cs="Times New Roman"/>
    </w:rPr>
  </w:style>
  <w:style w:type="character" w:styleId="34">
    <w:name w:val="HTML Variable"/>
    <w:qFormat/>
    <w:uiPriority w:val="0"/>
    <w:rPr>
      <w:rFonts w:ascii="Times New Roman" w:hAnsi="Times New Roman" w:eastAsia="宋体" w:cs="Times New Roman"/>
      <w:i/>
      <w:iCs/>
    </w:rPr>
  </w:style>
  <w:style w:type="character" w:styleId="35">
    <w:name w:val="Hyperlink"/>
    <w:qFormat/>
    <w:uiPriority w:val="99"/>
    <w:rPr>
      <w:rFonts w:ascii="Times New Roman" w:hAnsi="Times New Roman" w:eastAsia="宋体" w:cs="Times New Roman"/>
      <w:color w:val="auto"/>
      <w:spacing w:val="0"/>
      <w:w w:val="100"/>
      <w:position w:val="0"/>
      <w:sz w:val="21"/>
      <w:u w:val="none"/>
      <w:vertAlign w:val="baseline"/>
    </w:rPr>
  </w:style>
  <w:style w:type="character" w:styleId="36">
    <w:name w:val="HTML Code"/>
    <w:qFormat/>
    <w:uiPriority w:val="0"/>
    <w:rPr>
      <w:rFonts w:ascii="Courier New" w:hAnsi="Courier New" w:eastAsia="宋体" w:cs="Times New Roman"/>
      <w:sz w:val="20"/>
      <w:szCs w:val="20"/>
    </w:rPr>
  </w:style>
  <w:style w:type="character" w:styleId="37">
    <w:name w:val="HTML Cite"/>
    <w:qFormat/>
    <w:uiPriority w:val="0"/>
    <w:rPr>
      <w:rFonts w:ascii="Times New Roman" w:hAnsi="Times New Roman" w:eastAsia="宋体" w:cs="Times New Roman"/>
      <w:i/>
      <w:iCs/>
    </w:rPr>
  </w:style>
  <w:style w:type="character" w:styleId="38">
    <w:name w:val="footnote reference"/>
    <w:qFormat/>
    <w:uiPriority w:val="0"/>
    <w:rPr>
      <w:rFonts w:ascii="Times New Roman" w:hAnsi="Times New Roman" w:eastAsia="宋体" w:cs="Times New Roman"/>
      <w:vertAlign w:val="superscript"/>
    </w:rPr>
  </w:style>
  <w:style w:type="character" w:styleId="39">
    <w:name w:val="HTML Keyboard"/>
    <w:qFormat/>
    <w:uiPriority w:val="0"/>
    <w:rPr>
      <w:rFonts w:ascii="Courier New" w:hAnsi="Courier New" w:eastAsia="宋体" w:cs="Times New Roman"/>
      <w:sz w:val="20"/>
      <w:szCs w:val="20"/>
    </w:rPr>
  </w:style>
  <w:style w:type="character" w:styleId="40">
    <w:name w:val="HTML Sample"/>
    <w:uiPriority w:val="0"/>
    <w:rPr>
      <w:rFonts w:ascii="Courier New" w:hAnsi="Courier New" w:eastAsia="宋体" w:cs="Times New Roman"/>
    </w:rPr>
  </w:style>
  <w:style w:type="paragraph" w:customStyle="1" w:styleId="41">
    <w:name w:val="列项——"/>
    <w:qFormat/>
    <w:uiPriority w:val="0"/>
    <w:pPr>
      <w:widowControl w:val="0"/>
      <w:numPr>
        <w:ilvl w:val="0"/>
        <w:numId w:val="1"/>
      </w:numPr>
      <w:tabs>
        <w:tab w:val="left" w:pos="854"/>
      </w:tabs>
      <w:jc w:val="both"/>
    </w:pPr>
    <w:rPr>
      <w:rFonts w:ascii="宋体" w:hAnsi="Calibri" w:eastAsia="宋体" w:cs="Calibri"/>
      <w:sz w:val="21"/>
      <w:lang w:val="en-US" w:eastAsia="zh-CN" w:bidi="ar-SA"/>
    </w:rPr>
  </w:style>
  <w:style w:type="paragraph" w:customStyle="1" w:styleId="42">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Calibri" w:eastAsia="宋体" w:cs="Calibri"/>
      <w:b/>
      <w:bCs/>
      <w:spacing w:val="20"/>
      <w:w w:val="148"/>
      <w:sz w:val="52"/>
      <w:lang w:val="en-US" w:eastAsia="zh-CN" w:bidi="ar-SA"/>
    </w:rPr>
  </w:style>
  <w:style w:type="paragraph" w:customStyle="1" w:styleId="43">
    <w:name w:val="注×："/>
    <w:qFormat/>
    <w:uiPriority w:val="0"/>
    <w:pPr>
      <w:widowControl w:val="0"/>
      <w:numPr>
        <w:ilvl w:val="0"/>
        <w:numId w:val="2"/>
      </w:numPr>
      <w:tabs>
        <w:tab w:val="left" w:pos="630"/>
      </w:tabs>
      <w:autoSpaceDE w:val="0"/>
      <w:autoSpaceDN w:val="0"/>
      <w:jc w:val="both"/>
    </w:pPr>
    <w:rPr>
      <w:rFonts w:ascii="宋体" w:hAnsi="Calibri" w:eastAsia="宋体" w:cs="Calibri"/>
      <w:sz w:val="18"/>
      <w:lang w:val="en-US" w:eastAsia="zh-CN" w:bidi="ar-SA"/>
    </w:rPr>
  </w:style>
  <w:style w:type="paragraph" w:customStyle="1" w:styleId="44">
    <w:name w:val="正文图标题"/>
    <w:next w:val="45"/>
    <w:qFormat/>
    <w:uiPriority w:val="0"/>
    <w:pPr>
      <w:numPr>
        <w:ilvl w:val="0"/>
        <w:numId w:val="3"/>
      </w:numPr>
      <w:jc w:val="center"/>
    </w:pPr>
    <w:rPr>
      <w:rFonts w:ascii="黑体" w:hAnsi="Calibri" w:eastAsia="黑体" w:cs="Calibri"/>
      <w:sz w:val="21"/>
      <w:lang w:val="en-US" w:eastAsia="zh-CN" w:bidi="ar-SA"/>
    </w:rPr>
  </w:style>
  <w:style w:type="paragraph" w:customStyle="1" w:styleId="45">
    <w:name w:val="段"/>
    <w:link w:val="106"/>
    <w:qFormat/>
    <w:uiPriority w:val="0"/>
    <w:pPr>
      <w:autoSpaceDE w:val="0"/>
      <w:autoSpaceDN w:val="0"/>
      <w:ind w:firstLine="200" w:firstLineChars="200"/>
      <w:jc w:val="both"/>
    </w:pPr>
    <w:rPr>
      <w:rFonts w:ascii="宋体" w:hAnsi="Calibri" w:eastAsia="宋体" w:cs="Calibri"/>
      <w:sz w:val="21"/>
      <w:lang w:val="en-US" w:eastAsia="zh-CN" w:bidi="ar-SA"/>
    </w:rPr>
  </w:style>
  <w:style w:type="paragraph" w:customStyle="1" w:styleId="46">
    <w:name w:val="附录五级条标题"/>
    <w:basedOn w:val="47"/>
    <w:next w:val="45"/>
    <w:qFormat/>
    <w:uiPriority w:val="0"/>
    <w:pPr>
      <w:numPr>
        <w:ilvl w:val="6"/>
        <w:numId w:val="4"/>
      </w:numPr>
      <w:outlineLvl w:val="6"/>
    </w:pPr>
    <w:rPr>
      <w:rFonts w:ascii="Times New Roman" w:hAnsi="Times New Roman" w:eastAsia="宋体" w:cs="Times New Roman"/>
    </w:rPr>
  </w:style>
  <w:style w:type="paragraph" w:customStyle="1" w:styleId="47">
    <w:name w:val="附录四级条标题"/>
    <w:basedOn w:val="48"/>
    <w:next w:val="45"/>
    <w:qFormat/>
    <w:uiPriority w:val="0"/>
    <w:pPr>
      <w:numPr>
        <w:ilvl w:val="5"/>
        <w:numId w:val="4"/>
      </w:numPr>
      <w:outlineLvl w:val="5"/>
    </w:pPr>
    <w:rPr>
      <w:rFonts w:ascii="Times New Roman" w:hAnsi="Times New Roman" w:eastAsia="宋体" w:cs="Times New Roman"/>
    </w:rPr>
  </w:style>
  <w:style w:type="paragraph" w:customStyle="1" w:styleId="48">
    <w:name w:val="附录三级条标题"/>
    <w:basedOn w:val="49"/>
    <w:next w:val="45"/>
    <w:qFormat/>
    <w:uiPriority w:val="0"/>
    <w:pPr>
      <w:numPr>
        <w:ilvl w:val="4"/>
        <w:numId w:val="4"/>
      </w:numPr>
      <w:outlineLvl w:val="4"/>
    </w:pPr>
    <w:rPr>
      <w:rFonts w:ascii="Times New Roman" w:hAnsi="Times New Roman" w:eastAsia="宋体" w:cs="Times New Roman"/>
    </w:rPr>
  </w:style>
  <w:style w:type="paragraph" w:customStyle="1" w:styleId="49">
    <w:name w:val="附录二级条标题"/>
    <w:basedOn w:val="50"/>
    <w:next w:val="45"/>
    <w:qFormat/>
    <w:uiPriority w:val="0"/>
    <w:pPr>
      <w:numPr>
        <w:ilvl w:val="3"/>
        <w:numId w:val="4"/>
      </w:numPr>
      <w:outlineLvl w:val="3"/>
    </w:pPr>
    <w:rPr>
      <w:rFonts w:ascii="Times New Roman" w:hAnsi="Times New Roman" w:eastAsia="宋体" w:cs="Times New Roman"/>
    </w:rPr>
  </w:style>
  <w:style w:type="paragraph" w:customStyle="1" w:styleId="50">
    <w:name w:val="附录一级条标题"/>
    <w:basedOn w:val="51"/>
    <w:next w:val="45"/>
    <w:qFormat/>
    <w:uiPriority w:val="0"/>
    <w:pPr>
      <w:numPr>
        <w:ilvl w:val="2"/>
        <w:numId w:val="4"/>
      </w:numPr>
      <w:autoSpaceDN w:val="0"/>
      <w:spacing w:before="0" w:beforeLines="0" w:after="0" w:afterLines="0"/>
      <w:outlineLvl w:val="2"/>
    </w:pPr>
    <w:rPr>
      <w:rFonts w:ascii="Times New Roman" w:hAnsi="Times New Roman" w:eastAsia="宋体" w:cs="Times New Roman"/>
    </w:rPr>
  </w:style>
  <w:style w:type="paragraph" w:customStyle="1" w:styleId="51">
    <w:name w:val="附录章标题"/>
    <w:next w:val="45"/>
    <w:qFormat/>
    <w:uiPriority w:val="0"/>
    <w:pPr>
      <w:numPr>
        <w:ilvl w:val="1"/>
        <w:numId w:val="4"/>
      </w:numPr>
      <w:wordWrap w:val="0"/>
      <w:overflowPunct w:val="0"/>
      <w:autoSpaceDE w:val="0"/>
      <w:spacing w:before="50" w:beforeLines="50" w:after="50" w:afterLines="50"/>
      <w:jc w:val="both"/>
      <w:textAlignment w:val="baseline"/>
      <w:outlineLvl w:val="1"/>
    </w:pPr>
    <w:rPr>
      <w:rFonts w:ascii="黑体" w:hAnsi="Calibri" w:eastAsia="黑体" w:cs="Calibri"/>
      <w:kern w:val="21"/>
      <w:sz w:val="21"/>
      <w:lang w:val="en-US" w:eastAsia="zh-CN" w:bidi="ar-SA"/>
    </w:rPr>
  </w:style>
  <w:style w:type="paragraph" w:customStyle="1" w:styleId="52">
    <w:name w:val="列项1"/>
    <w:basedOn w:val="53"/>
    <w:link w:val="109"/>
    <w:qFormat/>
    <w:uiPriority w:val="0"/>
    <w:pPr>
      <w:numPr>
        <w:ilvl w:val="0"/>
        <w:numId w:val="5"/>
      </w:numPr>
      <w:spacing w:before="0" w:beforeLines="0" w:after="0" w:afterLines="0"/>
      <w:ind w:left="840" w:hanging="420"/>
      <w:outlineLvl w:val="9"/>
    </w:pPr>
    <w:rPr>
      <w:rFonts w:ascii="宋体" w:hAnsi="宋体" w:cs="Times New Roman"/>
      <w:szCs w:val="21"/>
    </w:rPr>
  </w:style>
  <w:style w:type="paragraph" w:customStyle="1" w:styleId="53">
    <w:name w:val="章标题"/>
    <w:next w:val="45"/>
    <w:qFormat/>
    <w:uiPriority w:val="0"/>
    <w:pPr>
      <w:numPr>
        <w:ilvl w:val="1"/>
        <w:numId w:val="5"/>
      </w:numPr>
      <w:spacing w:before="50" w:beforeLines="50" w:after="50" w:afterLines="50"/>
      <w:jc w:val="both"/>
      <w:outlineLvl w:val="1"/>
    </w:pPr>
    <w:rPr>
      <w:rFonts w:ascii="黑体" w:hAnsi="Calibri" w:eastAsia="黑体" w:cs="Calibri"/>
      <w:sz w:val="21"/>
      <w:lang w:val="en-US" w:eastAsia="zh-CN" w:bidi="ar-SA"/>
    </w:rPr>
  </w:style>
  <w:style w:type="paragraph" w:customStyle="1" w:styleId="54">
    <w:name w:val="一级条标题"/>
    <w:basedOn w:val="53"/>
    <w:next w:val="45"/>
    <w:qFormat/>
    <w:uiPriority w:val="0"/>
    <w:pPr>
      <w:numPr>
        <w:ilvl w:val="2"/>
        <w:numId w:val="5"/>
      </w:numPr>
      <w:spacing w:before="0" w:beforeLines="0" w:after="0" w:afterLines="0"/>
      <w:outlineLvl w:val="2"/>
    </w:pPr>
    <w:rPr>
      <w:rFonts w:ascii="Times New Roman" w:hAnsi="Times New Roman" w:eastAsia="宋体" w:cs="Times New Roman"/>
    </w:rPr>
  </w:style>
  <w:style w:type="paragraph" w:customStyle="1" w:styleId="55">
    <w:name w:val="封面标准号1"/>
    <w:qFormat/>
    <w:uiPriority w:val="0"/>
    <w:pPr>
      <w:widowControl w:val="0"/>
      <w:kinsoku w:val="0"/>
      <w:overflowPunct w:val="0"/>
      <w:autoSpaceDE w:val="0"/>
      <w:autoSpaceDN w:val="0"/>
      <w:spacing w:before="308"/>
      <w:jc w:val="right"/>
      <w:textAlignment w:val="center"/>
    </w:pPr>
    <w:rPr>
      <w:rFonts w:ascii="Calibri" w:hAnsi="Calibri" w:eastAsia="宋体" w:cs="Calibri"/>
      <w:sz w:val="28"/>
      <w:lang w:val="en-US" w:eastAsia="zh-CN" w:bidi="ar-SA"/>
    </w:rPr>
  </w:style>
  <w:style w:type="paragraph" w:customStyle="1" w:styleId="56">
    <w:name w:val="封面标准号2"/>
    <w:basedOn w:val="55"/>
    <w:qFormat/>
    <w:uiPriority w:val="0"/>
    <w:pPr>
      <w:framePr w:w="9138" w:h="1244" w:hRule="exact" w:wrap="around" w:vAnchor="page" w:hAnchor="margin" w:y="2908"/>
      <w:adjustRightInd w:val="0"/>
      <w:spacing w:before="357" w:line="280" w:lineRule="exact"/>
    </w:pPr>
    <w:rPr>
      <w:rFonts w:ascii="Times New Roman" w:hAnsi="Times New Roman" w:eastAsia="宋体" w:cs="Times New Roman"/>
    </w:rPr>
  </w:style>
  <w:style w:type="paragraph" w:customStyle="1" w:styleId="57">
    <w:name w:val="三级无标题条"/>
    <w:basedOn w:val="1"/>
    <w:qFormat/>
    <w:uiPriority w:val="0"/>
    <w:pPr>
      <w:numPr>
        <w:ilvl w:val="4"/>
        <w:numId w:val="6"/>
      </w:numPr>
    </w:pPr>
    <w:rPr>
      <w:rFonts w:ascii="Times New Roman" w:hAnsi="Times New Roman" w:eastAsia="宋体" w:cs="Times New Roman"/>
    </w:rPr>
  </w:style>
  <w:style w:type="paragraph" w:customStyle="1" w:styleId="58">
    <w:name w:val="标准书眉_奇数页"/>
    <w:next w:val="1"/>
    <w:qFormat/>
    <w:uiPriority w:val="0"/>
    <w:pPr>
      <w:tabs>
        <w:tab w:val="center" w:pos="4154"/>
        <w:tab w:val="right" w:pos="8306"/>
      </w:tabs>
      <w:spacing w:after="120"/>
      <w:jc w:val="right"/>
    </w:pPr>
    <w:rPr>
      <w:rFonts w:ascii="Calibri" w:hAnsi="Calibri" w:eastAsia="宋体" w:cs="Calibri"/>
      <w:sz w:val="21"/>
      <w:lang w:val="en-US" w:eastAsia="zh-CN" w:bidi="ar-SA"/>
    </w:rPr>
  </w:style>
  <w:style w:type="paragraph" w:customStyle="1" w:styleId="59">
    <w:name w:val="二级条标题"/>
    <w:basedOn w:val="54"/>
    <w:next w:val="45"/>
    <w:qFormat/>
    <w:uiPriority w:val="0"/>
    <w:pPr>
      <w:numPr>
        <w:ilvl w:val="3"/>
        <w:numId w:val="5"/>
      </w:numPr>
      <w:outlineLvl w:val="3"/>
    </w:pPr>
    <w:rPr>
      <w:rFonts w:ascii="Times New Roman" w:hAnsi="Times New Roman" w:eastAsia="宋体" w:cs="Times New Roman"/>
    </w:rPr>
  </w:style>
  <w:style w:type="paragraph" w:customStyle="1" w:styleId="60">
    <w:name w:val="封面标准英文名称"/>
    <w:qFormat/>
    <w:uiPriority w:val="0"/>
    <w:pPr>
      <w:widowControl w:val="0"/>
      <w:spacing w:before="370" w:line="400" w:lineRule="exact"/>
      <w:jc w:val="center"/>
    </w:pPr>
    <w:rPr>
      <w:rFonts w:ascii="Calibri" w:hAnsi="Calibri" w:eastAsia="宋体" w:cs="Calibri"/>
      <w:sz w:val="28"/>
      <w:lang w:val="en-US" w:eastAsia="zh-CN" w:bidi="ar-SA"/>
    </w:rPr>
  </w:style>
  <w:style w:type="paragraph" w:customStyle="1" w:styleId="61">
    <w:name w:val="正文1"/>
    <w:basedOn w:val="53"/>
    <w:link w:val="108"/>
    <w:qFormat/>
    <w:uiPriority w:val="0"/>
    <w:pPr>
      <w:numPr>
        <w:ilvl w:val="0"/>
        <w:numId w:val="0"/>
      </w:numPr>
      <w:spacing w:before="0" w:beforeLines="0" w:after="0" w:afterLines="0"/>
      <w:ind w:firstLine="420" w:firstLineChars="200"/>
      <w:outlineLvl w:val="9"/>
    </w:pPr>
    <w:rPr>
      <w:rFonts w:ascii="宋体" w:hAnsi="宋体" w:eastAsia="宋体" w:cs="Times New Roman"/>
      <w:szCs w:val="21"/>
    </w:rPr>
  </w:style>
  <w:style w:type="paragraph" w:customStyle="1" w:styleId="62">
    <w:name w:val="四级无标题条"/>
    <w:basedOn w:val="1"/>
    <w:qFormat/>
    <w:uiPriority w:val="0"/>
    <w:pPr>
      <w:numPr>
        <w:ilvl w:val="5"/>
        <w:numId w:val="6"/>
      </w:numPr>
    </w:pPr>
    <w:rPr>
      <w:rFonts w:ascii="Times New Roman" w:hAnsi="Times New Roman" w:eastAsia="宋体" w:cs="Times New Roman"/>
    </w:rPr>
  </w:style>
  <w:style w:type="paragraph" w:customStyle="1" w:styleId="63">
    <w:name w:val="注："/>
    <w:next w:val="45"/>
    <w:qFormat/>
    <w:uiPriority w:val="0"/>
    <w:pPr>
      <w:widowControl w:val="0"/>
      <w:numPr>
        <w:ilvl w:val="0"/>
        <w:numId w:val="7"/>
      </w:numPr>
      <w:autoSpaceDE w:val="0"/>
      <w:autoSpaceDN w:val="0"/>
      <w:jc w:val="both"/>
    </w:pPr>
    <w:rPr>
      <w:rFonts w:ascii="宋体" w:hAnsi="Calibri" w:eastAsia="宋体" w:cs="Calibri"/>
      <w:sz w:val="18"/>
      <w:lang w:val="en-US" w:eastAsia="zh-CN" w:bidi="ar-SA"/>
    </w:rPr>
  </w:style>
  <w:style w:type="paragraph" w:customStyle="1" w:styleId="64">
    <w:name w:val="参考文献、索引标题"/>
    <w:basedOn w:val="65"/>
    <w:next w:val="1"/>
    <w:qFormat/>
    <w:uiPriority w:val="0"/>
    <w:pPr>
      <w:numPr>
        <w:ilvl w:val="0"/>
        <w:numId w:val="0"/>
      </w:numPr>
      <w:tabs>
        <w:tab w:val="left" w:pos="360"/>
      </w:tabs>
      <w:spacing w:after="200"/>
    </w:pPr>
    <w:rPr>
      <w:rFonts w:ascii="Times New Roman" w:hAnsi="Times New Roman" w:eastAsia="宋体" w:cs="Times New Roman"/>
      <w:sz w:val="21"/>
    </w:rPr>
  </w:style>
  <w:style w:type="paragraph" w:customStyle="1" w:styleId="65">
    <w:name w:val="前言、引言标题"/>
    <w:next w:val="1"/>
    <w:qFormat/>
    <w:uiPriority w:val="0"/>
    <w:pPr>
      <w:numPr>
        <w:ilvl w:val="0"/>
        <w:numId w:val="5"/>
      </w:numPr>
      <w:shd w:val="clear" w:color="FFFFFF" w:fill="FFFFFF"/>
      <w:spacing w:before="640" w:after="560"/>
      <w:jc w:val="center"/>
      <w:outlineLvl w:val="0"/>
    </w:pPr>
    <w:rPr>
      <w:rFonts w:ascii="黑体" w:hAnsi="Calibri" w:eastAsia="黑体" w:cs="Calibri"/>
      <w:sz w:val="32"/>
      <w:lang w:val="en-US" w:eastAsia="zh-CN" w:bidi="ar-SA"/>
    </w:rPr>
  </w:style>
  <w:style w:type="paragraph" w:customStyle="1" w:styleId="66">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Calibri" w:hAnsi="Calibri" w:eastAsia="宋体" w:cs="Calibri"/>
      <w:b/>
      <w:w w:val="130"/>
      <w:sz w:val="96"/>
      <w:lang w:val="en-US" w:eastAsia="zh-CN" w:bidi="ar-SA"/>
    </w:rPr>
  </w:style>
  <w:style w:type="paragraph" w:customStyle="1" w:styleId="67">
    <w:name w:val="附录表标号"/>
    <w:basedOn w:val="1"/>
    <w:next w:val="45"/>
    <w:qFormat/>
    <w:uiPriority w:val="0"/>
    <w:pPr>
      <w:numPr>
        <w:ilvl w:val="0"/>
        <w:numId w:val="8"/>
      </w:numPr>
      <w:spacing w:line="14" w:lineRule="exact"/>
      <w:ind w:left="811" w:hanging="448"/>
      <w:jc w:val="center"/>
      <w:outlineLvl w:val="0"/>
    </w:pPr>
    <w:rPr>
      <w:rFonts w:ascii="Times New Roman" w:hAnsi="Times New Roman" w:eastAsia="宋体" w:cs="Times New Roman"/>
      <w:color w:val="FFFFFF"/>
    </w:rPr>
  </w:style>
  <w:style w:type="paragraph" w:customStyle="1" w:styleId="68">
    <w:name w:val="数字编号列项（二级）"/>
    <w:qFormat/>
    <w:uiPriority w:val="0"/>
    <w:pPr>
      <w:ind w:left="1260" w:leftChars="400" w:hanging="420" w:hangingChars="200"/>
      <w:jc w:val="both"/>
    </w:pPr>
    <w:rPr>
      <w:rFonts w:ascii="宋体" w:hAnsi="Calibri" w:eastAsia="宋体" w:cs="Calibri"/>
      <w:sz w:val="21"/>
      <w:lang w:val="en-US" w:eastAsia="zh-CN" w:bidi="ar-SA"/>
    </w:rPr>
  </w:style>
  <w:style w:type="paragraph" w:customStyle="1" w:styleId="69">
    <w:name w:val="封面标准代替信息"/>
    <w:basedOn w:val="56"/>
    <w:uiPriority w:val="0"/>
    <w:pPr>
      <w:spacing w:before="57"/>
    </w:pPr>
    <w:rPr>
      <w:rFonts w:ascii="宋体" w:hAnsi="Times New Roman" w:eastAsia="宋体" w:cs="Times New Roman"/>
      <w:sz w:val="21"/>
    </w:rPr>
  </w:style>
  <w:style w:type="paragraph" w:customStyle="1" w:styleId="70">
    <w:name w:val="样式1"/>
    <w:basedOn w:val="1"/>
    <w:uiPriority w:val="0"/>
    <w:rPr>
      <w:rFonts w:ascii="Times New Roman" w:hAnsi="Times New Roman" w:eastAsia="宋体" w:cs="Times New Roman"/>
      <w:sz w:val="24"/>
    </w:rPr>
  </w:style>
  <w:style w:type="paragraph" w:customStyle="1" w:styleId="71">
    <w:name w:val="附录标识"/>
    <w:basedOn w:val="65"/>
    <w:qFormat/>
    <w:uiPriority w:val="0"/>
    <w:pPr>
      <w:numPr>
        <w:ilvl w:val="0"/>
        <w:numId w:val="4"/>
      </w:numPr>
      <w:tabs>
        <w:tab w:val="left" w:pos="6405"/>
      </w:tabs>
      <w:spacing w:after="200"/>
    </w:pPr>
    <w:rPr>
      <w:rFonts w:ascii="Times New Roman" w:hAnsi="Times New Roman" w:eastAsia="宋体" w:cs="Times New Roman"/>
      <w:sz w:val="21"/>
    </w:rPr>
  </w:style>
  <w:style w:type="paragraph" w:customStyle="1" w:styleId="72">
    <w:name w:val="封面标准文稿类别"/>
    <w:qFormat/>
    <w:uiPriority w:val="0"/>
    <w:pPr>
      <w:spacing w:before="440" w:line="400" w:lineRule="exact"/>
      <w:jc w:val="center"/>
    </w:pPr>
    <w:rPr>
      <w:rFonts w:ascii="宋体" w:hAnsi="Calibri" w:eastAsia="宋体" w:cs="Calibri"/>
      <w:sz w:val="24"/>
      <w:lang w:val="en-US" w:eastAsia="zh-CN" w:bidi="ar-SA"/>
    </w:rPr>
  </w:style>
  <w:style w:type="paragraph" w:customStyle="1" w:styleId="73">
    <w:name w:val="标准书脚_奇数页"/>
    <w:uiPriority w:val="0"/>
    <w:pPr>
      <w:spacing w:before="120"/>
      <w:jc w:val="right"/>
    </w:pPr>
    <w:rPr>
      <w:rFonts w:ascii="Calibri" w:hAnsi="Calibri" w:eastAsia="宋体" w:cs="Calibri"/>
      <w:sz w:val="18"/>
      <w:lang w:val="en-US" w:eastAsia="zh-CN" w:bidi="ar-SA"/>
    </w:rPr>
  </w:style>
  <w:style w:type="paragraph" w:customStyle="1" w:styleId="74">
    <w:name w:val="五级无标题条"/>
    <w:basedOn w:val="1"/>
    <w:qFormat/>
    <w:uiPriority w:val="0"/>
    <w:pPr>
      <w:numPr>
        <w:ilvl w:val="6"/>
        <w:numId w:val="6"/>
      </w:numPr>
    </w:pPr>
    <w:rPr>
      <w:rFonts w:ascii="Times New Roman" w:hAnsi="Times New Roman" w:eastAsia="宋体" w:cs="Times New Roman"/>
    </w:rPr>
  </w:style>
  <w:style w:type="paragraph" w:customStyle="1" w:styleId="75">
    <w:name w:val="封面标准名称"/>
    <w:uiPriority w:val="0"/>
    <w:pPr>
      <w:framePr w:w="9638" w:h="6917" w:hRule="exact" w:wrap="around" w:vAnchor="margin" w:hAnchor="margin" w:xAlign="center" w:y="5955" w:anchorLock="1"/>
      <w:widowControl w:val="0"/>
      <w:spacing w:line="680" w:lineRule="exact"/>
      <w:jc w:val="center"/>
      <w:textAlignment w:val="center"/>
    </w:pPr>
    <w:rPr>
      <w:rFonts w:ascii="黑体" w:hAnsi="Calibri" w:eastAsia="黑体" w:cs="Calibri"/>
      <w:sz w:val="52"/>
      <w:lang w:val="en-US" w:eastAsia="zh-CN" w:bidi="ar-SA"/>
    </w:rPr>
  </w:style>
  <w:style w:type="paragraph" w:customStyle="1" w:styleId="76">
    <w:name w:val="封面标准文稿编辑信息"/>
    <w:uiPriority w:val="0"/>
    <w:pPr>
      <w:spacing w:before="180" w:line="180" w:lineRule="exact"/>
      <w:jc w:val="center"/>
    </w:pPr>
    <w:rPr>
      <w:rFonts w:ascii="宋体" w:hAnsi="Calibri" w:eastAsia="宋体" w:cs="Calibri"/>
      <w:sz w:val="21"/>
      <w:lang w:val="en-US" w:eastAsia="zh-CN" w:bidi="ar-SA"/>
    </w:rPr>
  </w:style>
  <w:style w:type="paragraph" w:customStyle="1" w:styleId="77">
    <w:name w:val="发布日期"/>
    <w:uiPriority w:val="0"/>
    <w:pPr>
      <w:framePr w:w="4000" w:h="473" w:hRule="exact" w:hSpace="180" w:vSpace="180" w:wrap="around" w:vAnchor="margin" w:hAnchor="margin" w:y="13511" w:anchorLock="1"/>
    </w:pPr>
    <w:rPr>
      <w:rFonts w:ascii="Calibri" w:hAnsi="Calibri" w:eastAsia="黑体" w:cs="Calibri"/>
      <w:sz w:val="28"/>
      <w:lang w:val="en-US" w:eastAsia="zh-CN" w:bidi="ar-SA"/>
    </w:rPr>
  </w:style>
  <w:style w:type="paragraph" w:customStyle="1" w:styleId="78">
    <w:name w:val="三级条标题"/>
    <w:basedOn w:val="59"/>
    <w:next w:val="45"/>
    <w:uiPriority w:val="0"/>
    <w:pPr>
      <w:numPr>
        <w:ilvl w:val="4"/>
        <w:numId w:val="5"/>
      </w:numPr>
      <w:outlineLvl w:val="4"/>
    </w:pPr>
    <w:rPr>
      <w:rFonts w:ascii="Times New Roman" w:hAnsi="Times New Roman" w:eastAsia="宋体" w:cs="Times New Roman"/>
    </w:rPr>
  </w:style>
  <w:style w:type="paragraph" w:customStyle="1" w:styleId="79">
    <w:name w:val="条文脚注"/>
    <w:basedOn w:val="23"/>
    <w:qFormat/>
    <w:uiPriority w:val="0"/>
    <w:pPr>
      <w:ind w:left="780" w:leftChars="200" w:hanging="360" w:hangingChars="200"/>
      <w:jc w:val="both"/>
    </w:pPr>
    <w:rPr>
      <w:rFonts w:ascii="宋体" w:hAnsi="Times New Roman" w:eastAsia="宋体" w:cs="Times New Roman"/>
    </w:rPr>
  </w:style>
  <w:style w:type="paragraph" w:customStyle="1" w:styleId="80">
    <w:name w:val="封面一致性程度标识"/>
    <w:uiPriority w:val="0"/>
    <w:pPr>
      <w:spacing w:before="440" w:line="400" w:lineRule="exact"/>
      <w:jc w:val="center"/>
    </w:pPr>
    <w:rPr>
      <w:rFonts w:ascii="宋体" w:hAnsi="Calibri" w:eastAsia="宋体" w:cs="Calibri"/>
      <w:sz w:val="28"/>
      <w:lang w:val="en-US" w:eastAsia="zh-CN" w:bidi="ar-SA"/>
    </w:rPr>
  </w:style>
  <w:style w:type="paragraph" w:customStyle="1" w:styleId="81">
    <w:name w:val="图表脚注"/>
    <w:next w:val="45"/>
    <w:uiPriority w:val="0"/>
    <w:pPr>
      <w:ind w:left="300" w:leftChars="200" w:hanging="100" w:hangingChars="100"/>
      <w:jc w:val="both"/>
    </w:pPr>
    <w:rPr>
      <w:rFonts w:ascii="宋体" w:hAnsi="Calibri" w:eastAsia="宋体" w:cs="Calibri"/>
      <w:sz w:val="18"/>
      <w:lang w:val="en-US" w:eastAsia="zh-CN" w:bidi="ar-SA"/>
    </w:rPr>
  </w:style>
  <w:style w:type="paragraph" w:customStyle="1" w:styleId="82">
    <w:name w:val="标准书眉_偶数页"/>
    <w:basedOn w:val="58"/>
    <w:next w:val="1"/>
    <w:uiPriority w:val="0"/>
    <w:pPr>
      <w:jc w:val="left"/>
    </w:pPr>
    <w:rPr>
      <w:rFonts w:ascii="Times New Roman" w:hAnsi="Times New Roman" w:eastAsia="宋体" w:cs="Times New Roman"/>
    </w:rPr>
  </w:style>
  <w:style w:type="paragraph" w:customStyle="1" w:styleId="83">
    <w:name w:val="其他发布部门"/>
    <w:basedOn w:val="84"/>
    <w:uiPriority w:val="0"/>
    <w:pPr>
      <w:spacing w:line="0" w:lineRule="atLeast"/>
    </w:pPr>
    <w:rPr>
      <w:rFonts w:ascii="黑体" w:hAnsi="Times New Roman" w:eastAsia="黑体" w:cs="Times New Roman"/>
      <w:b w:val="0"/>
    </w:rPr>
  </w:style>
  <w:style w:type="paragraph" w:customStyle="1" w:styleId="84">
    <w:name w:val="发布部门"/>
    <w:next w:val="45"/>
    <w:uiPriority w:val="0"/>
    <w:pPr>
      <w:framePr w:w="7433" w:h="585" w:hRule="exact" w:hSpace="180" w:vSpace="180" w:wrap="around" w:vAnchor="margin" w:hAnchor="margin" w:xAlign="center" w:y="14401" w:anchorLock="1"/>
      <w:jc w:val="center"/>
    </w:pPr>
    <w:rPr>
      <w:rFonts w:ascii="宋体" w:hAnsi="Calibri" w:eastAsia="宋体" w:cs="Calibri"/>
      <w:b/>
      <w:spacing w:val="20"/>
      <w:w w:val="135"/>
      <w:sz w:val="36"/>
      <w:lang w:val="en-US" w:eastAsia="zh-CN" w:bidi="ar-SA"/>
    </w:rPr>
  </w:style>
  <w:style w:type="paragraph" w:customStyle="1" w:styleId="85">
    <w:name w:val="附录表标题"/>
    <w:next w:val="45"/>
    <w:uiPriority w:val="0"/>
    <w:pPr>
      <w:numPr>
        <w:ilvl w:val="1"/>
        <w:numId w:val="8"/>
      </w:numPr>
      <w:jc w:val="center"/>
      <w:textAlignment w:val="baseline"/>
    </w:pPr>
    <w:rPr>
      <w:rFonts w:ascii="黑体" w:hAnsi="Calibri" w:eastAsia="黑体" w:cs="Calibri"/>
      <w:kern w:val="21"/>
      <w:sz w:val="21"/>
      <w:lang w:val="en-US" w:eastAsia="zh-CN" w:bidi="ar-SA"/>
    </w:rPr>
  </w:style>
  <w:style w:type="paragraph" w:customStyle="1" w:styleId="86">
    <w:name w:val="实施日期"/>
    <w:basedOn w:val="77"/>
    <w:uiPriority w:val="0"/>
    <w:pPr>
      <w:framePr w:hSpace="0" w:xAlign="right"/>
      <w:jc w:val="right"/>
    </w:pPr>
    <w:rPr>
      <w:rFonts w:ascii="Times New Roman" w:hAnsi="Times New Roman" w:eastAsia="宋体" w:cs="Times New Roman"/>
    </w:rPr>
  </w:style>
  <w:style w:type="paragraph" w:customStyle="1" w:styleId="87">
    <w:name w:val="目次、标准名称标题"/>
    <w:basedOn w:val="65"/>
    <w:next w:val="45"/>
    <w:uiPriority w:val="0"/>
    <w:pPr>
      <w:numPr>
        <w:ilvl w:val="0"/>
        <w:numId w:val="0"/>
      </w:numPr>
      <w:spacing w:line="460" w:lineRule="exact"/>
    </w:pPr>
    <w:rPr>
      <w:rFonts w:ascii="Times New Roman" w:hAnsi="Times New Roman" w:eastAsia="宋体" w:cs="Times New Roman"/>
    </w:rPr>
  </w:style>
  <w:style w:type="paragraph" w:customStyle="1" w:styleId="88">
    <w:name w:val="附录图标题"/>
    <w:next w:val="45"/>
    <w:uiPriority w:val="0"/>
    <w:pPr>
      <w:jc w:val="center"/>
    </w:pPr>
    <w:rPr>
      <w:rFonts w:ascii="黑体" w:hAnsi="Calibri" w:eastAsia="黑体" w:cs="Calibri"/>
      <w:sz w:val="21"/>
      <w:lang w:val="en-US" w:eastAsia="zh-CN" w:bidi="ar-SA"/>
    </w:rPr>
  </w:style>
  <w:style w:type="paragraph" w:customStyle="1" w:styleId="89">
    <w:name w:val="文献分类号"/>
    <w:uiPriority w:val="0"/>
    <w:pPr>
      <w:framePr w:hSpace="180" w:vSpace="180" w:wrap="around" w:vAnchor="margin" w:hAnchor="margin" w:y="1" w:anchorLock="1"/>
      <w:widowControl w:val="0"/>
      <w:textAlignment w:val="center"/>
    </w:pPr>
    <w:rPr>
      <w:rFonts w:ascii="Calibri" w:hAnsi="Calibri" w:eastAsia="黑体" w:cs="Calibri"/>
      <w:sz w:val="21"/>
      <w:lang w:val="en-US" w:eastAsia="zh-CN" w:bidi="ar-SA"/>
    </w:rPr>
  </w:style>
  <w:style w:type="paragraph" w:customStyle="1" w:styleId="90">
    <w:name w:val="字母编号列项（一级）"/>
    <w:uiPriority w:val="0"/>
    <w:pPr>
      <w:ind w:left="840" w:leftChars="200" w:hanging="420" w:hangingChars="200"/>
      <w:jc w:val="both"/>
    </w:pPr>
    <w:rPr>
      <w:rFonts w:ascii="宋体" w:hAnsi="Calibri" w:eastAsia="宋体" w:cs="Calibri"/>
      <w:sz w:val="21"/>
      <w:lang w:val="en-US" w:eastAsia="zh-CN" w:bidi="ar-SA"/>
    </w:rPr>
  </w:style>
  <w:style w:type="paragraph" w:customStyle="1" w:styleId="91">
    <w:name w:val="五级条标题"/>
    <w:basedOn w:val="92"/>
    <w:next w:val="45"/>
    <w:qFormat/>
    <w:uiPriority w:val="0"/>
    <w:pPr>
      <w:numPr>
        <w:ilvl w:val="6"/>
        <w:numId w:val="5"/>
      </w:numPr>
      <w:outlineLvl w:val="6"/>
    </w:pPr>
    <w:rPr>
      <w:rFonts w:ascii="Times New Roman" w:hAnsi="Times New Roman" w:eastAsia="宋体" w:cs="Times New Roman"/>
    </w:rPr>
  </w:style>
  <w:style w:type="paragraph" w:customStyle="1" w:styleId="92">
    <w:name w:val="四级条标题"/>
    <w:basedOn w:val="78"/>
    <w:next w:val="45"/>
    <w:uiPriority w:val="0"/>
    <w:pPr>
      <w:numPr>
        <w:ilvl w:val="5"/>
        <w:numId w:val="5"/>
      </w:numPr>
      <w:outlineLvl w:val="5"/>
    </w:pPr>
    <w:rPr>
      <w:rFonts w:ascii="Times New Roman" w:hAnsi="Times New Roman" w:eastAsia="宋体" w:cs="Times New Roman"/>
    </w:rPr>
  </w:style>
  <w:style w:type="paragraph" w:customStyle="1" w:styleId="93">
    <w:name w:val="无标题条"/>
    <w:next w:val="45"/>
    <w:uiPriority w:val="0"/>
    <w:pPr>
      <w:jc w:val="both"/>
    </w:pPr>
    <w:rPr>
      <w:rFonts w:ascii="Calibri" w:hAnsi="Calibri" w:eastAsia="宋体" w:cs="Calibri"/>
      <w:sz w:val="21"/>
      <w:lang w:val="en-US" w:eastAsia="zh-CN" w:bidi="ar-SA"/>
    </w:rPr>
  </w:style>
  <w:style w:type="paragraph" w:customStyle="1" w:styleId="94">
    <w:name w:val="其他标准称谓"/>
    <w:qFormat/>
    <w:uiPriority w:val="0"/>
    <w:pPr>
      <w:spacing w:line="0" w:lineRule="atLeast"/>
      <w:jc w:val="distribute"/>
    </w:pPr>
    <w:rPr>
      <w:rFonts w:ascii="黑体" w:hAnsi="宋体" w:eastAsia="黑体" w:cs="Calibri"/>
      <w:sz w:val="52"/>
      <w:lang w:val="en-US" w:eastAsia="zh-CN" w:bidi="ar-SA"/>
    </w:rPr>
  </w:style>
  <w:style w:type="paragraph" w:customStyle="1" w:styleId="95">
    <w:name w:val="列项——（一级）"/>
    <w:qFormat/>
    <w:uiPriority w:val="0"/>
    <w:pPr>
      <w:widowControl w:val="0"/>
      <w:tabs>
        <w:tab w:val="left" w:pos="854"/>
      </w:tabs>
      <w:ind w:left="840" w:leftChars="200" w:hanging="420" w:hangingChars="200"/>
      <w:jc w:val="both"/>
    </w:pPr>
    <w:rPr>
      <w:rFonts w:ascii="宋体" w:hAnsi="Calibri" w:eastAsia="宋体" w:cs="Calibri"/>
      <w:sz w:val="21"/>
      <w:lang w:val="en-US" w:eastAsia="zh-CN" w:bidi="ar-SA"/>
    </w:rPr>
  </w:style>
  <w:style w:type="paragraph" w:customStyle="1" w:styleId="96">
    <w:name w:val="一级无标题条"/>
    <w:basedOn w:val="1"/>
    <w:qFormat/>
    <w:uiPriority w:val="0"/>
    <w:pPr>
      <w:numPr>
        <w:ilvl w:val="2"/>
        <w:numId w:val="6"/>
      </w:numPr>
    </w:pPr>
    <w:rPr>
      <w:rFonts w:ascii="Times New Roman" w:hAnsi="Times New Roman" w:eastAsia="宋体" w:cs="Times New Roman"/>
    </w:rPr>
  </w:style>
  <w:style w:type="paragraph" w:customStyle="1" w:styleId="97">
    <w:name w:val="标准书脚_偶数页"/>
    <w:qFormat/>
    <w:uiPriority w:val="0"/>
    <w:pPr>
      <w:spacing w:before="120"/>
    </w:pPr>
    <w:rPr>
      <w:rFonts w:ascii="Calibri" w:hAnsi="Calibri" w:eastAsia="宋体" w:cs="Calibri"/>
      <w:sz w:val="18"/>
      <w:lang w:val="en-US" w:eastAsia="zh-CN" w:bidi="ar-SA"/>
    </w:rPr>
  </w:style>
  <w:style w:type="paragraph" w:customStyle="1" w:styleId="98">
    <w:name w:val="示例"/>
    <w:next w:val="45"/>
    <w:qFormat/>
    <w:uiPriority w:val="0"/>
    <w:pPr>
      <w:numPr>
        <w:ilvl w:val="0"/>
        <w:numId w:val="9"/>
      </w:numPr>
      <w:tabs>
        <w:tab w:val="left" w:pos="816"/>
      </w:tabs>
      <w:ind w:firstLine="419" w:firstLineChars="233"/>
      <w:jc w:val="both"/>
    </w:pPr>
    <w:rPr>
      <w:rFonts w:ascii="宋体" w:hAnsi="Calibri" w:eastAsia="宋体" w:cs="Calibri"/>
      <w:sz w:val="18"/>
      <w:lang w:val="en-US" w:eastAsia="zh-CN" w:bidi="ar-SA"/>
    </w:rPr>
  </w:style>
  <w:style w:type="paragraph" w:customStyle="1" w:styleId="99">
    <w:name w:val="标准书眉一"/>
    <w:qFormat/>
    <w:uiPriority w:val="0"/>
    <w:pPr>
      <w:jc w:val="both"/>
    </w:pPr>
    <w:rPr>
      <w:rFonts w:ascii="Calibri" w:hAnsi="Calibri" w:eastAsia="宋体" w:cs="Calibri"/>
      <w:lang w:val="en-US" w:eastAsia="zh-CN" w:bidi="ar-SA"/>
    </w:rPr>
  </w:style>
  <w:style w:type="paragraph" w:customStyle="1" w:styleId="100">
    <w:name w:val="封面正文"/>
    <w:qFormat/>
    <w:uiPriority w:val="0"/>
    <w:pPr>
      <w:jc w:val="both"/>
    </w:pPr>
    <w:rPr>
      <w:rFonts w:ascii="Calibri" w:hAnsi="Calibri" w:eastAsia="宋体" w:cs="Calibri"/>
      <w:lang w:val="en-US" w:eastAsia="zh-CN" w:bidi="ar-SA"/>
    </w:rPr>
  </w:style>
  <w:style w:type="paragraph" w:customStyle="1" w:styleId="101">
    <w:name w:val="目次、索引正文"/>
    <w:qFormat/>
    <w:uiPriority w:val="0"/>
    <w:pPr>
      <w:spacing w:line="320" w:lineRule="exact"/>
      <w:jc w:val="both"/>
    </w:pPr>
    <w:rPr>
      <w:rFonts w:ascii="宋体" w:hAnsi="Calibri" w:eastAsia="宋体" w:cs="Calibri"/>
      <w:sz w:val="21"/>
      <w:lang w:val="en-US" w:eastAsia="zh-CN" w:bidi="ar-SA"/>
    </w:rPr>
  </w:style>
  <w:style w:type="paragraph" w:customStyle="1" w:styleId="102">
    <w:name w:val="正文表标题"/>
    <w:next w:val="45"/>
    <w:qFormat/>
    <w:uiPriority w:val="0"/>
    <w:pPr>
      <w:numPr>
        <w:ilvl w:val="0"/>
        <w:numId w:val="10"/>
      </w:numPr>
      <w:jc w:val="center"/>
    </w:pPr>
    <w:rPr>
      <w:rFonts w:ascii="黑体" w:hAnsi="Calibri" w:eastAsia="黑体" w:cs="Calibri"/>
      <w:sz w:val="21"/>
      <w:lang w:val="en-US" w:eastAsia="zh-CN" w:bidi="ar-SA"/>
    </w:rPr>
  </w:style>
  <w:style w:type="paragraph" w:customStyle="1" w:styleId="103">
    <w:name w:val="列项·"/>
    <w:qFormat/>
    <w:uiPriority w:val="0"/>
    <w:pPr>
      <w:numPr>
        <w:ilvl w:val="0"/>
        <w:numId w:val="11"/>
      </w:numPr>
      <w:tabs>
        <w:tab w:val="left" w:pos="840"/>
      </w:tabs>
      <w:ind w:left="840" w:leftChars="200" w:hanging="420" w:hangingChars="200"/>
      <w:jc w:val="both"/>
    </w:pPr>
    <w:rPr>
      <w:rFonts w:ascii="宋体" w:hAnsi="Calibri" w:eastAsia="宋体" w:cs="Calibri"/>
      <w:sz w:val="21"/>
      <w:lang w:val="en-US" w:eastAsia="zh-CN" w:bidi="ar-SA"/>
    </w:rPr>
  </w:style>
  <w:style w:type="paragraph" w:customStyle="1" w:styleId="104">
    <w:name w:val="二级无标题条"/>
    <w:basedOn w:val="1"/>
    <w:qFormat/>
    <w:uiPriority w:val="0"/>
    <w:pPr>
      <w:numPr>
        <w:ilvl w:val="3"/>
        <w:numId w:val="6"/>
      </w:numPr>
    </w:pPr>
    <w:rPr>
      <w:rFonts w:ascii="Times New Roman" w:hAnsi="Times New Roman" w:eastAsia="宋体" w:cs="Times New Roman"/>
    </w:rPr>
  </w:style>
  <w:style w:type="character" w:customStyle="1" w:styleId="105">
    <w:name w:val="NormalCharacter"/>
    <w:qFormat/>
    <w:uiPriority w:val="0"/>
    <w:rPr>
      <w:rFonts w:ascii="Times New Roman" w:hAnsi="Times New Roman" w:eastAsia="宋体" w:cs="Times New Roman"/>
    </w:rPr>
  </w:style>
  <w:style w:type="character" w:customStyle="1" w:styleId="106">
    <w:name w:val="段 Char"/>
    <w:link w:val="45"/>
    <w:qFormat/>
    <w:uiPriority w:val="0"/>
    <w:rPr>
      <w:rFonts w:ascii="宋体"/>
      <w:sz w:val="21"/>
      <w:lang w:val="en-US" w:eastAsia="zh-CN" w:bidi="ar-SA"/>
    </w:rPr>
  </w:style>
  <w:style w:type="character" w:customStyle="1" w:styleId="107">
    <w:name w:val="个人撰写风格"/>
    <w:qFormat/>
    <w:uiPriority w:val="0"/>
    <w:rPr>
      <w:rFonts w:ascii="Arial" w:hAnsi="Arial" w:eastAsia="宋体" w:cs="Arial"/>
      <w:color w:val="auto"/>
      <w:sz w:val="20"/>
    </w:rPr>
  </w:style>
  <w:style w:type="character" w:customStyle="1" w:styleId="108">
    <w:name w:val="正文 Char"/>
    <w:link w:val="61"/>
    <w:qFormat/>
    <w:uiPriority w:val="0"/>
    <w:rPr>
      <w:rFonts w:ascii="宋体" w:hAnsi="宋体" w:eastAsia="宋体" w:cs="黑体"/>
      <w:sz w:val="21"/>
      <w:szCs w:val="21"/>
    </w:rPr>
  </w:style>
  <w:style w:type="character" w:customStyle="1" w:styleId="109">
    <w:name w:val="列项1 Char"/>
    <w:link w:val="52"/>
    <w:qFormat/>
    <w:uiPriority w:val="0"/>
    <w:rPr>
      <w:rFonts w:ascii="宋体" w:hAnsi="宋体" w:eastAsia="黑体" w:cs="Times New Roman"/>
      <w:sz w:val="21"/>
      <w:szCs w:val="21"/>
    </w:rPr>
  </w:style>
  <w:style w:type="character" w:customStyle="1" w:styleId="110">
    <w:name w:val="发布"/>
    <w:qFormat/>
    <w:uiPriority w:val="0"/>
    <w:rPr>
      <w:rFonts w:ascii="黑体" w:hAnsi="Times New Roman" w:eastAsia="黑体" w:cs="Times New Roman"/>
      <w:spacing w:val="22"/>
      <w:w w:val="100"/>
      <w:position w:val="3"/>
      <w:sz w:val="28"/>
    </w:rPr>
  </w:style>
  <w:style w:type="character" w:customStyle="1" w:styleId="111">
    <w:name w:val="个人答复风格"/>
    <w:qFormat/>
    <w:uiPriority w:val="0"/>
    <w:rPr>
      <w:rFonts w:ascii="Arial" w:hAnsi="Arial" w:eastAsia="宋体" w:cs="Arial"/>
      <w:color w:val="auto"/>
      <w:sz w:val="20"/>
    </w:rPr>
  </w:style>
  <w:style w:type="paragraph" w:styleId="112">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image" Target="media/image19.png"/><Relationship Id="rId28" Type="http://schemas.openxmlformats.org/officeDocument/2006/relationships/image" Target="media/image18.png"/><Relationship Id="rId27" Type="http://schemas.openxmlformats.org/officeDocument/2006/relationships/image" Target="media/image17.png"/><Relationship Id="rId26" Type="http://schemas.openxmlformats.org/officeDocument/2006/relationships/image" Target="media/image16.png"/><Relationship Id="rId25" Type="http://schemas.openxmlformats.org/officeDocument/2006/relationships/image" Target="media/image15.pn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jpeg"/><Relationship Id="rId13" Type="http://schemas.openxmlformats.org/officeDocument/2006/relationships/image" Target="media/image3.jpeg"/><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TDS\Tds.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Tds</Template>
  <Company>中国标准研究中心</Company>
  <Pages>26</Pages>
  <Words>99</Words>
  <Characters>107</Characters>
  <Lines>1</Lines>
  <Paragraphs>1</Paragraphs>
  <TotalTime>0</TotalTime>
  <ScaleCrop>false</ScaleCrop>
  <LinksUpToDate>false</LinksUpToDate>
  <CharactersWithSpaces>114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2019-11-12T02:56:00Z</dcterms:created>
  <dc:creator>丁工13387573488省标院</dc:creator>
  <cp:lastModifiedBy>Administrator</cp:lastModifiedBy>
  <cp:lastPrinted>2019-11-11T01:37:00Z</cp:lastPrinted>
  <dcterms:modified xsi:type="dcterms:W3CDTF">2026-04-24T00:19:15Z</dcterms:modified>
  <dc:title>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8A9D753A21BE4EF680C2C4CD0969EB71_13</vt:lpwstr>
  </property>
  <property fmtid="{D5CDD505-2E9C-101B-9397-08002B2CF9AE}" pid="4" name="KSOTemplateDocerSaveRecord">
    <vt:lpwstr>eyJoZGlkIjoiMmVjNzEwMDg2YTZlODE4OTliZjhkNjlmMjNiZDk2NWEiLCJ1c2VySWQiOiIxMTc4MzQzOTIyIn0=</vt:lpwstr>
  </property>
</Properties>
</file>