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9"/>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9"/>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67.060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51"/>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559E1628">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 xml:space="preserve"> 22</w:t>
            </w:r>
            <w:r>
              <w:rPr>
                <w:rFonts w:ascii="黑体" w:hAnsi="黑体" w:eastAsia="黑体"/>
                <w:sz w:val="21"/>
                <w:szCs w:val="21"/>
              </w:rPr>
              <w:fldChar w:fldCharType="end"/>
            </w:r>
            <w:bookmarkEnd w:id="2"/>
          </w:p>
        </w:tc>
      </w:tr>
    </w:tbl>
    <w:p w14:paraId="161BCF4A">
      <w:pPr>
        <w:pStyle w:val="52"/>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7"/>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IMAALE</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eastAsia="zh-CN"/>
        </w:rPr>
        <w:t>0</w:t>
      </w:r>
      <w:r>
        <w:rPr>
          <w:rFonts w:hint="eastAsia"/>
          <w:lang w:val="en-US" w:eastAsia="zh-CN"/>
        </w:rPr>
        <w:t>25</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7"/>
    </w:p>
    <w:p w14:paraId="52A51E97">
      <w:pPr>
        <w:pStyle w:val="198"/>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2"/>
        <w:framePr w:w="9639" w:h="6976" w:hRule="exact" w:hSpace="0" w:vSpace="0" w:wrap="around" w:hAnchor="page" w:y="6408"/>
        <w:jc w:val="center"/>
        <w:rPr>
          <w:rFonts w:hint="eastAsia" w:ascii="黑体" w:hAnsi="黑体" w:eastAsia="黑体"/>
          <w:b w:val="0"/>
          <w:bCs w:val="0"/>
          <w:w w:val="100"/>
        </w:rPr>
      </w:pPr>
    </w:p>
    <w:p w14:paraId="02A223D2">
      <w:pPr>
        <w:pStyle w:val="199"/>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地理标志证明商标质量要求 突泉小米</w:t>
      </w:r>
      <w:r>
        <w:fldChar w:fldCharType="end"/>
      </w:r>
      <w:bookmarkEnd w:id="9"/>
    </w:p>
    <w:p w14:paraId="2144DE0C">
      <w:pPr>
        <w:framePr w:w="9639" w:h="6974" w:hRule="exact" w:wrap="around" w:vAnchor="page" w:hAnchor="page" w:x="1419" w:y="6408" w:anchorLock="1"/>
        <w:ind w:left="-1418"/>
      </w:pPr>
    </w:p>
    <w:p w14:paraId="09A0B179">
      <w:pPr>
        <w:pStyle w:val="127"/>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Quality </w:t>
      </w:r>
      <w:r>
        <w:rPr>
          <w:rFonts w:hint="eastAsia" w:eastAsia="黑体"/>
          <w:szCs w:val="28"/>
          <w:lang w:val="en-US" w:eastAsia="zh-CN"/>
        </w:rPr>
        <w:t>r</w:t>
      </w:r>
      <w:r>
        <w:rPr>
          <w:rFonts w:hint="eastAsia" w:eastAsia="黑体"/>
          <w:szCs w:val="28"/>
        </w:rPr>
        <w:t xml:space="preserve">equirements </w:t>
      </w:r>
      <w:r>
        <w:rPr>
          <w:rFonts w:hint="eastAsia" w:eastAsia="黑体"/>
          <w:szCs w:val="28"/>
          <w:lang w:val="en-US" w:eastAsia="zh-CN"/>
        </w:rPr>
        <w:t>f</w:t>
      </w:r>
      <w:r>
        <w:rPr>
          <w:rFonts w:hint="eastAsia" w:eastAsia="黑体"/>
          <w:szCs w:val="28"/>
        </w:rPr>
        <w:t xml:space="preserve">or </w:t>
      </w:r>
      <w:r>
        <w:rPr>
          <w:rFonts w:hint="eastAsia" w:eastAsia="黑体"/>
          <w:szCs w:val="28"/>
          <w:lang w:val="en-US" w:eastAsia="zh-CN"/>
        </w:rPr>
        <w:t>g</w:t>
      </w:r>
      <w:r>
        <w:rPr>
          <w:rFonts w:hint="eastAsia" w:eastAsia="黑体"/>
          <w:szCs w:val="28"/>
        </w:rPr>
        <w:t xml:space="preserve">eographical </w:t>
      </w:r>
      <w:r>
        <w:rPr>
          <w:rFonts w:hint="eastAsia" w:eastAsia="黑体"/>
          <w:szCs w:val="28"/>
          <w:lang w:val="en-US" w:eastAsia="zh-CN"/>
        </w:rPr>
        <w:t>i</w:t>
      </w:r>
      <w:r>
        <w:rPr>
          <w:rFonts w:hint="eastAsia" w:eastAsia="黑体"/>
          <w:szCs w:val="28"/>
        </w:rPr>
        <w:t xml:space="preserve">ndication </w:t>
      </w:r>
    </w:p>
    <w:p w14:paraId="2CA76A77">
      <w:pPr>
        <w:pStyle w:val="127"/>
        <w:framePr w:w="9639" w:h="6974" w:hRule="exact" w:wrap="around" w:vAnchor="page" w:hAnchor="page" w:x="1419" w:y="6408" w:anchorLock="1"/>
        <w:textAlignment w:val="bottom"/>
        <w:rPr>
          <w:rFonts w:hint="eastAsia" w:eastAsia="黑体"/>
          <w:szCs w:val="28"/>
        </w:rPr>
      </w:pPr>
      <w:r>
        <w:rPr>
          <w:rFonts w:hint="eastAsia" w:eastAsia="黑体"/>
          <w:szCs w:val="28"/>
          <w:lang w:val="en-US" w:eastAsia="zh-CN"/>
        </w:rPr>
        <w:t>c</w:t>
      </w:r>
      <w:r>
        <w:rPr>
          <w:rFonts w:hint="eastAsia" w:eastAsia="黑体"/>
          <w:szCs w:val="28"/>
        </w:rPr>
        <w:t xml:space="preserve">ertification </w:t>
      </w:r>
      <w:r>
        <w:rPr>
          <w:rFonts w:hint="eastAsia" w:eastAsia="黑体"/>
          <w:szCs w:val="28"/>
          <w:lang w:val="en-US" w:eastAsia="zh-CN"/>
        </w:rPr>
        <w:t>m</w:t>
      </w:r>
      <w:r>
        <w:rPr>
          <w:rFonts w:hint="eastAsia" w:eastAsia="黑体"/>
          <w:szCs w:val="28"/>
        </w:rPr>
        <w:t>arks</w:t>
      </w:r>
      <w:r>
        <w:rPr>
          <w:rFonts w:hint="eastAsia" w:eastAsia="黑体"/>
          <w:szCs w:val="28"/>
          <w:lang w:val="en-US" w:eastAsia="zh-CN"/>
        </w:rPr>
        <w:t>-</w:t>
      </w:r>
      <w:r>
        <w:rPr>
          <w:rFonts w:hint="eastAsia" w:eastAsia="黑体"/>
          <w:szCs w:val="28"/>
        </w:rPr>
        <w:t xml:space="preserve">Tuquan </w:t>
      </w:r>
      <w:r>
        <w:rPr>
          <w:rFonts w:hint="eastAsia" w:eastAsia="黑体"/>
          <w:szCs w:val="28"/>
          <w:lang w:val="en-US" w:eastAsia="zh-CN"/>
        </w:rPr>
        <w:t>m</w:t>
      </w:r>
      <w:r>
        <w:rPr>
          <w:rFonts w:hint="eastAsia" w:eastAsia="黑体"/>
          <w:szCs w:val="28"/>
        </w:rPr>
        <w:t>illet</w:t>
      </w:r>
    </w:p>
    <w:p w14:paraId="6A073306">
      <w:pPr>
        <w:pStyle w:val="127"/>
        <w:framePr w:w="9639" w:h="6974" w:hRule="exact" w:wrap="around" w:vAnchor="page" w:hAnchor="page" w:x="1419" w:y="6408" w:anchorLock="1"/>
        <w:jc w:val="both"/>
        <w:textAlignment w:val="bottom"/>
        <w:rPr>
          <w:rFonts w:eastAsia="黑体"/>
          <w:szCs w:val="28"/>
        </w:rPr>
      </w:pPr>
      <w:r>
        <w:rPr>
          <w:rFonts w:hint="eastAsia" w:eastAsia="黑体"/>
          <w:szCs w:val="28"/>
        </w:rPr>
        <w:t>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7"/>
        <w:framePr w:w="9639" w:h="6974" w:hRule="exact" w:wrap="around" w:vAnchor="page" w:hAnchor="page" w:x="1419" w:y="6408" w:anchorLock="1"/>
        <w:textAlignment w:val="bottom"/>
        <w:rPr>
          <w:rFonts w:eastAsia="黑体"/>
          <w:szCs w:val="28"/>
        </w:rPr>
      </w:pPr>
    </w:p>
    <w:p w14:paraId="382A48E7">
      <w:pPr>
        <w:pStyle w:val="127"/>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7"/>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7"/>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5"/>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hint="eastAsia" w:ascii="黑体"/>
          <w:lang w:eastAsia="zh-CN"/>
        </w:rPr>
        <w:t>4</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hint="eastAsia" w:ascii="黑体"/>
          <w:lang w:eastAsia="zh-CN"/>
        </w:rPr>
        <w:t>7</w:t>
      </w:r>
      <w:r>
        <w:rPr>
          <w:rFonts w:ascii="黑体"/>
        </w:rPr>
        <w:fldChar w:fldCharType="end"/>
      </w:r>
      <w:bookmarkEnd w:id="16"/>
      <w:r>
        <w:rPr>
          <w:rFonts w:hint="eastAsia"/>
        </w:rPr>
        <w:t>发布</w:t>
      </w:r>
    </w:p>
    <w:p w14:paraId="26DCA3D9">
      <w:pPr>
        <w:pStyle w:val="196"/>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hint="eastAsia" w:ascii="黑体"/>
          <w:lang w:eastAsia="zh-CN"/>
        </w:rPr>
        <w:t>5</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hint="eastAsia" w:ascii="黑体"/>
          <w:lang w:eastAsia="zh-CN"/>
        </w:rPr>
        <w:t>7</w:t>
      </w:r>
      <w:bookmarkStart w:id="48" w:name="_GoBack"/>
      <w:bookmarkEnd w:id="48"/>
      <w:r>
        <w:rPr>
          <w:rFonts w:ascii="黑体"/>
        </w:rPr>
        <w:fldChar w:fldCharType="end"/>
      </w:r>
      <w:bookmarkEnd w:id="19"/>
      <w:r>
        <w:rPr>
          <w:rFonts w:hint="eastAsia"/>
        </w:rPr>
        <w:t>实施</w:t>
      </w:r>
    </w:p>
    <w:p w14:paraId="79867BE4">
      <w:pPr>
        <w:pStyle w:val="153"/>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 xml:space="preserve"> 内蒙古农牧业产业化龙头企业协会 </w:t>
      </w:r>
      <w:r>
        <w:rPr>
          <w:rFonts w:hAnsi="黑体"/>
          <w:w w:val="100"/>
          <w:sz w:val="28"/>
        </w:rPr>
        <w:t> </w:t>
      </w:r>
      <w:r>
        <w:rPr>
          <w:rFonts w:hAnsi="黑体"/>
          <w:w w:val="100"/>
          <w:sz w:val="28"/>
        </w:rPr>
        <w:fldChar w:fldCharType="end"/>
      </w:r>
      <w:bookmarkEnd w:id="20"/>
      <w:r>
        <w:rPr>
          <w:rFonts w:ascii="Times New Roman"/>
          <w:w w:val="100"/>
          <w:sz w:val="28"/>
        </w:rPr>
        <w:t>  </w:t>
      </w:r>
      <w:r>
        <w:rPr>
          <w:rStyle w:val="231"/>
          <w:rFonts w:hint="eastAsia" w:hAnsi="黑体"/>
          <w:position w:val="0"/>
        </w:rPr>
        <w:t>发</w:t>
      </w:r>
      <w:r>
        <w:rPr>
          <w:rStyle w:val="231"/>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1"/>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47C1C9C4">
      <w:pPr>
        <w:pStyle w:val="58"/>
        <w:bidi w:val="0"/>
        <w:rPr>
          <w:rFonts w:hint="eastAsia" w:ascii="宋体" w:hAnsi="宋体" w:eastAsia="宋体" w:cs="宋体"/>
          <w:lang w:eastAsia="zh-CN"/>
        </w:rPr>
      </w:pPr>
      <w:r>
        <w:rPr>
          <w:rFonts w:hint="eastAsia" w:ascii="宋体" w:hAnsi="宋体" w:eastAsia="宋体" w:cs="宋体"/>
          <w:lang w:eastAsia="zh-CN"/>
        </w:rPr>
        <w:t>本文件按照GB/T 1.1—2020《标准化工作导则  第1部分：标准化文件的结构和起草规则》的规定起草。</w:t>
      </w:r>
    </w:p>
    <w:p w14:paraId="7DC0F0FD">
      <w:pPr>
        <w:pStyle w:val="58"/>
        <w:bidi w:val="0"/>
        <w:rPr>
          <w:rFonts w:hint="eastAsia"/>
          <w:lang w:eastAsia="zh-CN"/>
        </w:rPr>
      </w:pPr>
    </w:p>
    <w:p w14:paraId="3CD5003E">
      <w:pPr>
        <w:pStyle w:val="58"/>
        <w:bidi w:val="0"/>
        <w:rPr>
          <w:rFonts w:hint="eastAsia"/>
          <w:lang w:eastAsia="zh-CN"/>
        </w:rPr>
      </w:pPr>
    </w:p>
    <w:p w14:paraId="00F17AFB">
      <w:pPr>
        <w:pStyle w:val="58"/>
        <w:bidi w:val="0"/>
        <w:rPr>
          <w:rFonts w:hint="eastAsia"/>
          <w:lang w:eastAsia="zh-CN"/>
        </w:rPr>
      </w:pPr>
    </w:p>
    <w:p w14:paraId="51E97491">
      <w:pPr>
        <w:pStyle w:val="58"/>
        <w:bidi w:val="0"/>
        <w:rPr>
          <w:rFonts w:hint="eastAsia"/>
          <w:lang w:eastAsia="zh-CN"/>
        </w:rPr>
      </w:pPr>
      <w:r>
        <w:rPr>
          <w:rFonts w:hint="eastAsia"/>
          <w:lang w:eastAsia="zh-CN"/>
        </w:rPr>
        <w:t>本文件由</w:t>
      </w:r>
      <w:r>
        <w:rPr>
          <w:rFonts w:hint="eastAsia"/>
          <w:lang w:val="en-US" w:eastAsia="zh-CN"/>
        </w:rPr>
        <w:t>内蒙古</w:t>
      </w:r>
      <w:r>
        <w:rPr>
          <w:rFonts w:hint="eastAsia"/>
          <w:lang w:eastAsia="zh-CN"/>
        </w:rPr>
        <w:t>兴安盟</w:t>
      </w:r>
      <w:r>
        <w:rPr>
          <w:rFonts w:hint="eastAsia"/>
          <w:lang w:val="en-US" w:eastAsia="zh-CN"/>
        </w:rPr>
        <w:t>突泉县市场监督管理局</w:t>
      </w:r>
      <w:r>
        <w:rPr>
          <w:rFonts w:hint="eastAsia"/>
          <w:lang w:eastAsia="zh-CN"/>
        </w:rPr>
        <w:t>提出。</w:t>
      </w:r>
    </w:p>
    <w:p w14:paraId="27E95469">
      <w:pPr>
        <w:pStyle w:val="58"/>
        <w:bidi w:val="0"/>
        <w:rPr>
          <w:rFonts w:hint="default"/>
          <w:lang w:val="en-US" w:eastAsia="zh-CN"/>
        </w:rPr>
      </w:pPr>
      <w:r>
        <w:rPr>
          <w:rFonts w:hint="eastAsia"/>
          <w:lang w:eastAsia="zh-CN"/>
        </w:rPr>
        <w:t>本文件由</w:t>
      </w:r>
      <w:r>
        <w:rPr>
          <w:rFonts w:hint="eastAsia"/>
          <w:lang w:val="en-US" w:eastAsia="zh-CN"/>
        </w:rPr>
        <w:t>内蒙古农牧业产业化龙头企业协会归口。</w:t>
      </w:r>
    </w:p>
    <w:p w14:paraId="3052A1EE">
      <w:pPr>
        <w:pStyle w:val="58"/>
        <w:bidi w:val="0"/>
        <w:rPr>
          <w:rFonts w:hint="eastAsia"/>
          <w:lang w:eastAsia="zh-CN"/>
        </w:rPr>
      </w:pPr>
      <w:r>
        <w:rPr>
          <w:rFonts w:hint="eastAsia"/>
          <w:lang w:eastAsia="zh-CN"/>
        </w:rPr>
        <w:t xml:space="preserve">本文件起草单位：兴安盟突泉县市场监管综合行政执法大队 兴安盟突泉县市场监管综合检验检测中心  </w:t>
      </w:r>
    </w:p>
    <w:p w14:paraId="0232BDD6">
      <w:pPr>
        <w:pStyle w:val="58"/>
        <w:bidi w:val="0"/>
        <w:rPr>
          <w:rFonts w:hint="eastAsia"/>
          <w:lang w:eastAsia="zh-CN"/>
        </w:rPr>
      </w:pPr>
      <w:r>
        <w:rPr>
          <w:rFonts w:hint="eastAsia"/>
          <w:lang w:eastAsia="zh-CN"/>
        </w:rPr>
        <w:t>本文件主要起草人：刘月莹</w:t>
      </w:r>
      <w:r>
        <w:rPr>
          <w:rFonts w:hint="eastAsia"/>
          <w:lang w:val="en-US" w:eastAsia="zh-CN"/>
        </w:rPr>
        <w:t xml:space="preserve"> </w:t>
      </w:r>
      <w:r>
        <w:rPr>
          <w:rFonts w:hint="eastAsia"/>
          <w:lang w:eastAsia="zh-CN"/>
        </w:rPr>
        <w:t>史向辉</w:t>
      </w:r>
    </w:p>
    <w:p w14:paraId="698D26A6">
      <w:pPr>
        <w:pStyle w:val="58"/>
        <w:bidi w:val="0"/>
        <w:rPr>
          <w:rFonts w:hint="eastAsia"/>
          <w:lang w:eastAsia="zh-CN"/>
        </w:rPr>
      </w:pPr>
    </w:p>
    <w:p w14:paraId="121B7307">
      <w:pPr>
        <w:pStyle w:val="58"/>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32BEC230">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9"/>
            <w:bidi w:val="0"/>
            <w:spacing w:before="4" w:beforeLines="1" w:after="687" w:afterLines="220"/>
            <w:rPr>
              <w:rFonts w:hint="eastAsia"/>
            </w:rPr>
          </w:pPr>
          <w:bookmarkStart w:id="23" w:name="NEW_STAND_NAME"/>
          <w:r>
            <w:rPr>
              <w:rFonts w:hint="eastAsia"/>
              <w:lang w:eastAsia="zh-CN"/>
            </w:rPr>
            <w:t>地理标志证明商标质量要求 突泉小米</w:t>
          </w:r>
        </w:p>
      </w:sdtContent>
    </w:sdt>
    <w:bookmarkEnd w:id="23"/>
    <w:p w14:paraId="58FB4D92">
      <w:pPr>
        <w:pStyle w:val="106"/>
        <w:spacing w:before="240" w:after="240"/>
      </w:pPr>
      <w:bookmarkStart w:id="24" w:name="_Toc26718930"/>
      <w:bookmarkStart w:id="25" w:name="_Toc17233333"/>
      <w:bookmarkStart w:id="26" w:name="_Toc26648465"/>
      <w:bookmarkStart w:id="27" w:name="_Toc26986771"/>
      <w:bookmarkStart w:id="28" w:name="_Toc24884211"/>
      <w:bookmarkStart w:id="29" w:name="_Toc26986530"/>
      <w:bookmarkStart w:id="30" w:name="_Toc24884218"/>
      <w:bookmarkStart w:id="31" w:name="_Toc97192964"/>
      <w:bookmarkStart w:id="32" w:name="_Toc17233325"/>
      <w:r>
        <w:rPr>
          <w:rFonts w:hint="eastAsia"/>
        </w:rPr>
        <w:t>范围</w:t>
      </w:r>
      <w:bookmarkEnd w:id="24"/>
      <w:bookmarkEnd w:id="25"/>
      <w:bookmarkEnd w:id="26"/>
      <w:bookmarkEnd w:id="27"/>
      <w:bookmarkEnd w:id="28"/>
      <w:bookmarkEnd w:id="29"/>
      <w:bookmarkEnd w:id="30"/>
      <w:bookmarkEnd w:id="31"/>
      <w:bookmarkEnd w:id="32"/>
    </w:p>
    <w:p w14:paraId="74DD908B">
      <w:pPr>
        <w:pStyle w:val="58"/>
        <w:ind w:left="0" w:leftChars="0" w:firstLine="420" w:firstLineChars="200"/>
        <w:rPr>
          <w:rFonts w:hint="eastAsia"/>
          <w:highlight w:val="none"/>
          <w:lang w:val="en-US" w:eastAsia="zh-CN"/>
        </w:rPr>
      </w:pPr>
      <w:r>
        <w:rPr>
          <w:rFonts w:hint="eastAsia"/>
          <w:highlight w:val="none"/>
          <w:lang w:val="en-US" w:eastAsia="zh-CN"/>
        </w:rPr>
        <w:t>本文件界定了地理标志证明商标产品突泉小米的术语，规定了产地范围、产地环境、技术要求、检验规则及标志、标签、包装、运输和贮存的要求，描述了相应的试验方法。</w:t>
      </w:r>
    </w:p>
    <w:p w14:paraId="3BDBB36E">
      <w:pPr>
        <w:pStyle w:val="58"/>
        <w:ind w:left="0" w:leftChars="0" w:firstLine="420" w:firstLineChars="200"/>
        <w:rPr>
          <w:rFonts w:hint="eastAsia" w:eastAsia="宋体"/>
          <w:lang w:eastAsia="zh-CN"/>
        </w:rPr>
      </w:pPr>
      <w:r>
        <w:rPr>
          <w:rFonts w:hint="eastAsia"/>
          <w:lang w:val="en-US" w:eastAsia="zh-CN"/>
        </w:rPr>
        <w:t>本文件适用地理标志证明商标产品突泉小米</w:t>
      </w:r>
      <w:r>
        <w:rPr>
          <w:rFonts w:hint="eastAsia" w:ascii="宋体" w:hAnsi="宋体" w:eastAsia="宋体" w:cs="宋体"/>
          <w:color w:val="000000"/>
          <w:kern w:val="0"/>
          <w:sz w:val="21"/>
          <w:szCs w:val="21"/>
          <w:lang w:val="en-US" w:eastAsia="zh-CN" w:bidi="ar-SA"/>
        </w:rPr>
        <w:t>的生产、加工、流通、检验</w:t>
      </w:r>
      <w:bookmarkStart w:id="33" w:name="_Toc17233334"/>
      <w:bookmarkStart w:id="34" w:name="_Toc26648466"/>
      <w:bookmarkStart w:id="35" w:name="_Toc24884212"/>
      <w:bookmarkStart w:id="36" w:name="_Toc17233326"/>
      <w:bookmarkStart w:id="37" w:name="_Toc24884219"/>
      <w:r>
        <w:rPr>
          <w:rFonts w:hint="eastAsia" w:ascii="宋体" w:hAnsi="宋体" w:cs="宋体"/>
          <w:color w:val="000000"/>
          <w:kern w:val="0"/>
          <w:sz w:val="21"/>
          <w:szCs w:val="21"/>
          <w:lang w:val="en-US" w:eastAsia="zh-CN" w:bidi="ar-SA"/>
        </w:rPr>
        <w:t>，亦</w:t>
      </w:r>
      <w:r>
        <w:rPr>
          <w:rFonts w:hint="eastAsia" w:ascii="宋体" w:hAnsi="宋体" w:eastAsia="宋体" w:cs="宋体"/>
          <w:color w:val="000000"/>
          <w:kern w:val="0"/>
          <w:sz w:val="21"/>
          <w:szCs w:val="21"/>
          <w:lang w:val="en-US" w:eastAsia="zh-CN" w:bidi="ar-SA"/>
        </w:rPr>
        <w:t>适用于地理标志</w:t>
      </w:r>
      <w:r>
        <w:rPr>
          <w:rFonts w:hint="eastAsia" w:ascii="宋体" w:hAnsi="宋体" w:cs="宋体"/>
          <w:color w:val="000000"/>
          <w:kern w:val="0"/>
          <w:sz w:val="21"/>
          <w:szCs w:val="21"/>
          <w:lang w:val="en-US" w:eastAsia="zh-CN" w:bidi="ar-SA"/>
        </w:rPr>
        <w:t>证明商标突泉小米</w:t>
      </w:r>
      <w:r>
        <w:rPr>
          <w:rFonts w:hint="eastAsia" w:ascii="宋体" w:hAnsi="宋体" w:eastAsia="宋体" w:cs="宋体"/>
          <w:color w:val="000000"/>
          <w:kern w:val="0"/>
          <w:sz w:val="21"/>
          <w:szCs w:val="21"/>
          <w:lang w:val="en-US" w:eastAsia="zh-CN" w:bidi="ar-SA"/>
        </w:rPr>
        <w:t>的知识产权保护和管理</w:t>
      </w:r>
      <w:r>
        <w:rPr>
          <w:rFonts w:hint="eastAsia" w:ascii="宋体" w:hAnsi="宋体" w:cs="宋体"/>
          <w:color w:val="000000"/>
          <w:kern w:val="0"/>
          <w:sz w:val="21"/>
          <w:szCs w:val="21"/>
          <w:lang w:val="en-US" w:eastAsia="zh-CN" w:bidi="ar-SA"/>
        </w:rPr>
        <w:t>。</w:t>
      </w:r>
    </w:p>
    <w:p w14:paraId="767F512F">
      <w:pPr>
        <w:pStyle w:val="106"/>
        <w:spacing w:before="240" w:after="240"/>
      </w:pPr>
      <w:bookmarkStart w:id="38" w:name="_Toc26986772"/>
      <w:bookmarkStart w:id="39" w:name="_Toc26718931"/>
      <w:bookmarkStart w:id="40" w:name="_Toc97192965"/>
      <w:bookmarkStart w:id="41" w:name="_Toc26986531"/>
      <w:r>
        <w:rPr>
          <w:rFonts w:hint="eastAsia"/>
        </w:rPr>
        <w:t>规范性引用文件</w:t>
      </w:r>
      <w:bookmarkEnd w:id="33"/>
      <w:bookmarkEnd w:id="34"/>
      <w:bookmarkEnd w:id="35"/>
      <w:bookmarkEnd w:id="36"/>
      <w:bookmarkEnd w:id="37"/>
      <w:bookmarkEnd w:id="38"/>
      <w:bookmarkEnd w:id="39"/>
      <w:bookmarkEnd w:id="40"/>
      <w:bookmarkEnd w:id="41"/>
    </w:p>
    <w:p w14:paraId="60A8A5DA">
      <w:pPr>
        <w:pStyle w:val="58"/>
        <w:ind w:firstLine="420"/>
        <w:rPr>
          <w:rFonts w:hint="eastAsia"/>
          <w:lang w:val="en-US" w:eastAsia="zh-CN"/>
        </w:rPr>
      </w:pPr>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r>
        <w:rPr>
          <w:rFonts w:hint="eastAsia"/>
          <w:lang w:val="en-US" w:eastAsia="zh-CN"/>
        </w:rPr>
        <w:t xml:space="preserve"> </w:t>
      </w:r>
    </w:p>
    <w:p w14:paraId="71D1EDA2">
      <w:pPr>
        <w:pStyle w:val="58"/>
        <w:ind w:firstLine="420"/>
        <w:rPr>
          <w:rFonts w:hint="eastAsia" w:ascii="宋体"/>
          <w:lang w:val="en-US" w:eastAsia="zh-CN"/>
        </w:rPr>
      </w:pPr>
      <w:r>
        <w:rPr>
          <w:rFonts w:hint="eastAsia" w:ascii="宋体"/>
        </w:rPr>
        <w:t>GB/T 191 包装储运</w:t>
      </w:r>
      <w:r>
        <w:rPr>
          <w:rFonts w:hint="eastAsia" w:ascii="宋体"/>
          <w:lang w:val="en-US" w:eastAsia="zh-CN"/>
        </w:rPr>
        <w:t>图形符号标志</w:t>
      </w:r>
    </w:p>
    <w:p w14:paraId="02B80B0F">
      <w:pPr>
        <w:pStyle w:val="58"/>
        <w:ind w:firstLine="420"/>
        <w:rPr>
          <w:rFonts w:hint="eastAsia" w:ascii="宋体" w:hAnsi="宋体" w:cs="宋体"/>
          <w:lang w:val="en-US" w:eastAsia="zh-CN"/>
        </w:rPr>
      </w:pPr>
      <w:r>
        <w:rPr>
          <w:rFonts w:hint="eastAsia" w:ascii="宋体" w:hAnsi="宋体" w:eastAsia="宋体" w:cs="宋体"/>
          <w:lang w:val="en-US" w:eastAsia="zh-CN"/>
        </w:rPr>
        <w:t>GB 2715</w:t>
      </w:r>
      <w:r>
        <w:rPr>
          <w:rFonts w:hint="eastAsia" w:ascii="宋体" w:hAnsi="宋体" w:cs="宋体"/>
          <w:lang w:val="en-US" w:eastAsia="zh-CN"/>
        </w:rPr>
        <w:t xml:space="preserve"> 食品安全国家标准 粮食</w:t>
      </w:r>
    </w:p>
    <w:p w14:paraId="2EE0FD6F">
      <w:pPr>
        <w:pStyle w:val="58"/>
        <w:ind w:firstLine="420"/>
        <w:rPr>
          <w:rFonts w:hint="default" w:ascii="宋体" w:hAnsi="宋体" w:cs="宋体"/>
          <w:lang w:val="en-US" w:eastAsia="zh-CN"/>
        </w:rPr>
      </w:pPr>
      <w:r>
        <w:rPr>
          <w:rFonts w:hint="eastAsia" w:ascii="宋体" w:hAnsi="宋体" w:eastAsia="宋体" w:cs="宋体"/>
          <w:lang w:val="en-US" w:eastAsia="zh-CN"/>
        </w:rPr>
        <w:t>GB 4404.1</w:t>
      </w:r>
      <w:r>
        <w:rPr>
          <w:rFonts w:hint="eastAsia" w:ascii="宋体" w:hAnsi="宋体" w:cs="宋体"/>
          <w:lang w:val="en-US" w:eastAsia="zh-CN"/>
        </w:rPr>
        <w:t xml:space="preserve"> 粮食作物种子 第1部分：禾谷类</w:t>
      </w:r>
    </w:p>
    <w:p w14:paraId="2A4F135B">
      <w:pPr>
        <w:pStyle w:val="58"/>
        <w:ind w:firstLine="420"/>
        <w:rPr>
          <w:rFonts w:hint="eastAsia" w:ascii="宋体" w:hAnsi="宋体" w:cs="宋体"/>
          <w:lang w:val="en-US" w:eastAsia="zh-CN"/>
        </w:rPr>
      </w:pPr>
      <w:r>
        <w:rPr>
          <w:rFonts w:hint="eastAsia" w:ascii="宋体" w:hAnsi="宋体" w:cs="宋体"/>
          <w:lang w:val="en-US" w:eastAsia="zh-CN"/>
        </w:rPr>
        <w:t>GB/T 5490 粮油检验 一般规则</w:t>
      </w:r>
    </w:p>
    <w:p w14:paraId="038B15B8">
      <w:pPr>
        <w:pStyle w:val="58"/>
        <w:ind w:firstLine="420"/>
        <w:rPr>
          <w:rFonts w:hint="default" w:ascii="宋体" w:hAnsi="宋体" w:cs="宋体"/>
          <w:lang w:val="en-US" w:eastAsia="zh-CN"/>
        </w:rPr>
      </w:pPr>
      <w:r>
        <w:rPr>
          <w:rFonts w:hint="eastAsia" w:ascii="宋体" w:hAnsi="宋体" w:cs="宋体"/>
          <w:lang w:val="en-US" w:eastAsia="zh-CN"/>
        </w:rPr>
        <w:t>GB/T 5491 粮食、油料检验 扦样、分样法</w:t>
      </w:r>
    </w:p>
    <w:p w14:paraId="2D247295">
      <w:pPr>
        <w:pStyle w:val="58"/>
        <w:ind w:firstLine="420"/>
        <w:rPr>
          <w:rFonts w:hint="eastAsia" w:ascii="宋体" w:hAnsi="宋体" w:cs="宋体"/>
          <w:lang w:val="en-US" w:eastAsia="zh-CN"/>
        </w:rPr>
      </w:pPr>
      <w:r>
        <w:rPr>
          <w:rFonts w:hint="eastAsia" w:ascii="宋体" w:hAnsi="宋体" w:cs="宋体"/>
          <w:lang w:val="en-US" w:eastAsia="zh-CN"/>
        </w:rPr>
        <w:t>GB/T 5492 粮油检验 粮食、油料的色泽、气味、口味鉴定</w:t>
      </w:r>
    </w:p>
    <w:p w14:paraId="25A66814">
      <w:pPr>
        <w:pStyle w:val="58"/>
        <w:ind w:firstLine="420"/>
        <w:rPr>
          <w:rFonts w:hint="eastAsia" w:ascii="宋体" w:hAnsi="宋体" w:cs="宋体"/>
          <w:lang w:val="en-US" w:eastAsia="zh-CN"/>
        </w:rPr>
      </w:pPr>
      <w:r>
        <w:rPr>
          <w:rFonts w:hint="eastAsia" w:ascii="宋体" w:hAnsi="宋体" w:cs="宋体"/>
          <w:lang w:val="en-US" w:eastAsia="zh-CN"/>
        </w:rPr>
        <w:t xml:space="preserve">GB/T 5494 粮油检验 粮食、油料的杂质、不完善粒检验 </w:t>
      </w:r>
    </w:p>
    <w:p w14:paraId="4A3D199E">
      <w:pPr>
        <w:pStyle w:val="58"/>
        <w:ind w:firstLine="420"/>
        <w:rPr>
          <w:rFonts w:hint="eastAsia" w:ascii="宋体" w:hAnsi="宋体" w:cs="宋体"/>
          <w:lang w:val="en-US" w:eastAsia="zh-CN"/>
        </w:rPr>
      </w:pPr>
      <w:r>
        <w:rPr>
          <w:rFonts w:hint="eastAsia" w:ascii="宋体" w:hAnsi="宋体" w:cs="宋体"/>
          <w:lang w:val="en-US" w:eastAsia="zh-CN"/>
        </w:rPr>
        <w:t>GB/T 5497 粮油检验 粮食、油料中水分的测定</w:t>
      </w:r>
    </w:p>
    <w:p w14:paraId="79CAF1DB">
      <w:pPr>
        <w:pStyle w:val="58"/>
        <w:ind w:firstLine="420"/>
        <w:rPr>
          <w:rFonts w:hint="eastAsia" w:ascii="宋体" w:hAnsi="宋体" w:cs="宋体"/>
          <w:lang w:val="en-US" w:eastAsia="zh-CN"/>
        </w:rPr>
      </w:pPr>
      <w:r>
        <w:rPr>
          <w:rFonts w:hint="eastAsia" w:ascii="宋体" w:hAnsi="宋体" w:eastAsia="宋体" w:cs="宋体"/>
          <w:lang w:val="en-US" w:eastAsia="zh-CN"/>
        </w:rPr>
        <w:t>GB/T 5</w:t>
      </w:r>
      <w:r>
        <w:rPr>
          <w:rFonts w:hint="eastAsia" w:ascii="宋体" w:hAnsi="宋体" w:cs="宋体"/>
          <w:lang w:val="en-US" w:eastAsia="zh-CN"/>
        </w:rPr>
        <w:t>503 粮油检验 碎米检验法</w:t>
      </w:r>
    </w:p>
    <w:p w14:paraId="38045919">
      <w:pPr>
        <w:pStyle w:val="58"/>
        <w:ind w:firstLine="420"/>
        <w:rPr>
          <w:rFonts w:hint="default" w:ascii="宋体" w:hAnsi="宋体" w:cs="宋体"/>
          <w:lang w:val="en-US" w:eastAsia="zh-CN"/>
        </w:rPr>
      </w:pPr>
      <w:r>
        <w:rPr>
          <w:rFonts w:hint="eastAsia" w:ascii="宋体" w:hAnsi="宋体" w:eastAsia="宋体" w:cs="宋体"/>
          <w:lang w:val="en-US" w:eastAsia="zh-CN"/>
        </w:rPr>
        <w:t>GB/T 8232</w:t>
      </w:r>
      <w:r>
        <w:rPr>
          <w:rFonts w:hint="eastAsia" w:ascii="宋体" w:hAnsi="宋体" w:cs="宋体"/>
          <w:lang w:val="en-US" w:eastAsia="zh-CN"/>
        </w:rPr>
        <w:t xml:space="preserve"> 粟</w:t>
      </w:r>
    </w:p>
    <w:p w14:paraId="0A73AC11">
      <w:pPr>
        <w:pStyle w:val="58"/>
        <w:ind w:firstLine="420"/>
        <w:rPr>
          <w:rFonts w:hint="eastAsia" w:ascii="宋体" w:hAnsi="宋体" w:cs="宋体"/>
          <w:lang w:val="en-US" w:eastAsia="zh-CN"/>
        </w:rPr>
      </w:pPr>
      <w:r>
        <w:rPr>
          <w:rFonts w:hint="eastAsia" w:ascii="宋体" w:hAnsi="宋体" w:eastAsia="宋体" w:cs="宋体"/>
          <w:lang w:val="en-US" w:eastAsia="zh-CN"/>
        </w:rPr>
        <w:t>GB/T</w:t>
      </w:r>
      <w:r>
        <w:rPr>
          <w:rFonts w:hint="eastAsia" w:ascii="宋体" w:hAnsi="宋体" w:cs="宋体"/>
          <w:lang w:val="en-US" w:eastAsia="zh-CN"/>
        </w:rPr>
        <w:t xml:space="preserve"> 11766 小米</w:t>
      </w:r>
    </w:p>
    <w:p w14:paraId="7384F7E3">
      <w:pPr>
        <w:pStyle w:val="58"/>
        <w:ind w:firstLine="420"/>
        <w:rPr>
          <w:rFonts w:hint="eastAsia" w:ascii="宋体" w:hAnsi="宋体" w:cs="宋体"/>
          <w:lang w:val="en-US" w:eastAsia="zh-CN"/>
        </w:rPr>
      </w:pPr>
      <w:r>
        <w:rPr>
          <w:rFonts w:hint="eastAsia" w:ascii="宋体" w:hAnsi="宋体" w:cs="宋体"/>
          <w:lang w:val="en-US" w:eastAsia="zh-CN"/>
        </w:rPr>
        <w:t>GB 14881 食品安全国家标准食品生产通用卫生规范</w:t>
      </w:r>
    </w:p>
    <w:p w14:paraId="25B15D84">
      <w:pPr>
        <w:pStyle w:val="58"/>
        <w:ind w:firstLine="420"/>
        <w:rPr>
          <w:rFonts w:hint="eastAsia" w:ascii="宋体" w:hAnsi="宋体" w:cs="宋体"/>
          <w:lang w:val="en-US" w:eastAsia="zh-CN"/>
        </w:rPr>
      </w:pPr>
      <w:r>
        <w:rPr>
          <w:rFonts w:hint="eastAsia" w:ascii="宋体" w:hAnsi="宋体" w:cs="宋体"/>
          <w:highlight w:val="none"/>
          <w:lang w:val="en-US" w:eastAsia="zh-CN"/>
        </w:rPr>
        <w:t>GB 17109 粮食销售包装</w:t>
      </w:r>
    </w:p>
    <w:p w14:paraId="5B61EFBB">
      <w:pPr>
        <w:pStyle w:val="58"/>
        <w:ind w:firstLine="420"/>
        <w:rPr>
          <w:rFonts w:hint="eastAsia" w:ascii="宋体" w:hAnsi="宋体" w:cs="宋体"/>
          <w:highlight w:val="none"/>
          <w:lang w:val="en-US" w:eastAsia="zh-CN"/>
        </w:rPr>
      </w:pPr>
      <w:r>
        <w:rPr>
          <w:rFonts w:hint="eastAsia" w:ascii="宋体" w:hAnsi="宋体" w:eastAsia="宋体" w:cs="宋体"/>
          <w:highlight w:val="none"/>
          <w:lang w:val="en-US" w:eastAsia="zh-CN"/>
        </w:rPr>
        <w:t>GB/T</w:t>
      </w:r>
      <w:r>
        <w:rPr>
          <w:rFonts w:hint="eastAsia" w:ascii="宋体" w:hAnsi="宋体" w:cs="宋体"/>
          <w:highlight w:val="none"/>
          <w:lang w:val="en-US" w:eastAsia="zh-CN"/>
        </w:rPr>
        <w:t xml:space="preserve"> 17924 地理标志产品标准通用要求</w:t>
      </w:r>
    </w:p>
    <w:p w14:paraId="49D5A05F">
      <w:pPr>
        <w:pStyle w:val="58"/>
        <w:ind w:firstLine="420"/>
        <w:rPr>
          <w:rFonts w:hint="eastAsia" w:ascii="宋体" w:hAnsi="宋体" w:cs="宋体"/>
          <w:highlight w:val="none"/>
          <w:lang w:val="en-US" w:eastAsia="zh-CN"/>
        </w:rPr>
      </w:pPr>
      <w:r>
        <w:rPr>
          <w:rFonts w:hint="eastAsia" w:ascii="宋体" w:hAnsi="宋体" w:cs="宋体"/>
          <w:highlight w:val="none"/>
          <w:lang w:val="en-US" w:eastAsia="zh-CN"/>
        </w:rPr>
        <w:t>NY/T 391 绿色食品 产地环境质量</w:t>
      </w:r>
    </w:p>
    <w:p w14:paraId="50F5CC0D">
      <w:pPr>
        <w:pStyle w:val="58"/>
        <w:ind w:firstLine="420"/>
        <w:rPr>
          <w:rFonts w:hint="default" w:ascii="宋体" w:hAnsi="宋体" w:eastAsia="宋体" w:cs="宋体"/>
          <w:lang w:val="en-US" w:eastAsia="zh-CN"/>
        </w:rPr>
      </w:pPr>
      <w:r>
        <w:rPr>
          <w:rFonts w:hint="eastAsia" w:ascii="宋体" w:hAnsi="宋体" w:eastAsia="宋体" w:cs="宋体"/>
          <w:lang w:val="en-US" w:eastAsia="zh-CN"/>
        </w:rPr>
        <w:t>NY/T 393</w:t>
      </w:r>
      <w:r>
        <w:rPr>
          <w:rFonts w:hint="eastAsia" w:ascii="宋体" w:hAnsi="宋体" w:cs="宋体"/>
          <w:lang w:val="en-US" w:eastAsia="zh-CN"/>
        </w:rPr>
        <w:t xml:space="preserve"> </w:t>
      </w:r>
      <w:r>
        <w:rPr>
          <w:rFonts w:hint="eastAsia" w:ascii="宋体" w:hAnsi="宋体" w:cs="宋体"/>
          <w:highlight w:val="none"/>
          <w:lang w:val="en-US" w:eastAsia="zh-CN"/>
        </w:rPr>
        <w:t>绿色食品 农药使用准则</w:t>
      </w:r>
    </w:p>
    <w:p w14:paraId="4BBA3373">
      <w:pPr>
        <w:pStyle w:val="58"/>
        <w:ind w:firstLine="420"/>
        <w:rPr>
          <w:rFonts w:hint="default" w:ascii="宋体" w:hAnsi="宋体" w:eastAsia="宋体" w:cs="宋体"/>
          <w:lang w:val="en-US" w:eastAsia="zh-CN"/>
        </w:rPr>
      </w:pPr>
      <w:r>
        <w:rPr>
          <w:rFonts w:hint="eastAsia" w:ascii="宋体" w:hAnsi="宋体" w:eastAsia="宋体" w:cs="宋体"/>
          <w:lang w:val="en-US" w:eastAsia="zh-CN"/>
        </w:rPr>
        <w:t>NY/T 39</w:t>
      </w:r>
      <w:r>
        <w:rPr>
          <w:rFonts w:hint="eastAsia" w:ascii="宋体" w:hAnsi="宋体" w:cs="宋体"/>
          <w:lang w:val="en-US" w:eastAsia="zh-CN"/>
        </w:rPr>
        <w:t xml:space="preserve">4 </w:t>
      </w:r>
      <w:r>
        <w:rPr>
          <w:rFonts w:hint="eastAsia" w:ascii="宋体" w:hAnsi="宋体" w:cs="宋体"/>
          <w:highlight w:val="none"/>
          <w:lang w:val="en-US" w:eastAsia="zh-CN"/>
        </w:rPr>
        <w:t>绿色食品 肥料使用准则</w:t>
      </w:r>
    </w:p>
    <w:p w14:paraId="14C27304">
      <w:pPr>
        <w:pStyle w:val="58"/>
        <w:ind w:firstLine="420"/>
        <w:rPr>
          <w:rFonts w:hint="default" w:ascii="宋体" w:hAnsi="宋体" w:eastAsia="宋体" w:cs="宋体"/>
          <w:highlight w:val="none"/>
          <w:lang w:val="en-US" w:eastAsia="zh-CN"/>
        </w:rPr>
      </w:pPr>
      <w:r>
        <w:rPr>
          <w:rFonts w:hint="eastAsia" w:ascii="宋体" w:hAnsi="宋体" w:cs="宋体"/>
          <w:highlight w:val="none"/>
          <w:lang w:val="en-US" w:eastAsia="zh-CN"/>
        </w:rPr>
        <w:t>NY/T 893 绿色食品 粟、黍、稷及其制品</w:t>
      </w:r>
    </w:p>
    <w:p w14:paraId="1962443F">
      <w:pPr>
        <w:pStyle w:val="58"/>
        <w:ind w:firstLine="420"/>
        <w:rPr>
          <w:rFonts w:hint="default" w:ascii="宋体" w:hAnsi="宋体" w:eastAsia="宋体" w:cs="宋体"/>
          <w:lang w:val="en-US" w:eastAsia="zh-CN"/>
        </w:rPr>
      </w:pPr>
      <w:r>
        <w:rPr>
          <w:rFonts w:hint="eastAsia" w:ascii="宋体" w:hAnsi="宋体" w:eastAsia="宋体" w:cs="宋体"/>
          <w:lang w:val="en-US" w:eastAsia="zh-CN"/>
        </w:rPr>
        <w:t>JJF 1070 定量包装商品净含量检验规则</w:t>
      </w:r>
    </w:p>
    <w:p w14:paraId="40EF840C">
      <w:pPr>
        <w:pStyle w:val="106"/>
        <w:spacing w:before="240" w:after="240"/>
      </w:pPr>
      <w:bookmarkStart w:id="42" w:name="_Toc97192966"/>
      <w:r>
        <w:rPr>
          <w:rFonts w:hint="eastAsia"/>
          <w:szCs w:val="21"/>
        </w:rPr>
        <w:t>术语和定义</w:t>
      </w:r>
      <w:bookmarkEnd w:id="42"/>
    </w:p>
    <w:p w14:paraId="3FA990C2">
      <w:pPr>
        <w:pStyle w:val="58"/>
        <w:ind w:firstLine="420"/>
      </w:pPr>
      <w:r>
        <w:rPr>
          <w:rFonts w:hint="eastAsia" w:ascii="宋体" w:hAnsi="宋体" w:eastAsia="宋体" w:cs="宋体"/>
          <w:lang w:val="en-US" w:eastAsia="zh-CN"/>
        </w:rPr>
        <w:t>GB/T</w:t>
      </w:r>
      <w:r>
        <w:rPr>
          <w:rFonts w:hint="eastAsia" w:ascii="宋体" w:hAnsi="宋体" w:cs="宋体"/>
          <w:lang w:val="en-US" w:eastAsia="zh-CN"/>
        </w:rPr>
        <w:t xml:space="preserve"> 11766</w:t>
      </w:r>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43" w:name="_Toc26986532"/>
          <w:bookmarkEnd w:id="43"/>
          <w:r>
            <w:rPr>
              <w:rFonts w:ascii="Times New Roman" w:hAnsi="Times New Roman" w:eastAsia="宋体" w:cs="Times New Roman"/>
              <w:sz w:val="21"/>
              <w:lang w:val="en-US" w:eastAsia="zh-CN" w:bidi="ar-SA"/>
            </w:rPr>
            <w:t>界定的以及下列术语和定义适用于本文件。</w:t>
          </w:r>
        </w:sdtContent>
      </w:sdt>
    </w:p>
    <w:p w14:paraId="6723387E">
      <w:pPr>
        <w:pStyle w:val="58"/>
        <w:ind w:firstLine="420"/>
        <w:rPr>
          <w:rFonts w:hint="eastAsia" w:eastAsia="宋体"/>
          <w:lang w:eastAsia="zh-CN"/>
        </w:rPr>
      </w:pPr>
    </w:p>
    <w:p w14:paraId="4D3B27B1">
      <w:pPr>
        <w:pStyle w:val="107"/>
        <w:bidi w:val="0"/>
        <w:rPr>
          <w:rFonts w:hint="eastAsia" w:ascii="黑体" w:hAnsi="黑体" w:eastAsia="黑体" w:cs="黑体"/>
        </w:rPr>
      </w:pPr>
      <w:r>
        <w:rPr>
          <w:rFonts w:hint="eastAsia"/>
          <w:lang w:val="en-US" w:eastAsia="zh-CN"/>
        </w:rPr>
        <w:t>突泉小米</w:t>
      </w:r>
      <w:r>
        <w:rPr>
          <w:rFonts w:hint="eastAsia" w:ascii="黑体" w:hAnsi="黑体" w:eastAsia="黑体" w:cs="黑体"/>
          <w:szCs w:val="28"/>
        </w:rPr>
        <w:t xml:space="preserve">Tuquan </w:t>
      </w:r>
      <w:r>
        <w:rPr>
          <w:rFonts w:hint="eastAsia" w:ascii="黑体" w:hAnsi="黑体" w:eastAsia="黑体" w:cs="黑体"/>
          <w:szCs w:val="28"/>
          <w:lang w:val="en-US" w:eastAsia="zh-CN"/>
        </w:rPr>
        <w:t>m</w:t>
      </w:r>
      <w:r>
        <w:rPr>
          <w:rFonts w:hint="eastAsia" w:ascii="黑体" w:hAnsi="黑体" w:eastAsia="黑体" w:cs="黑体"/>
          <w:szCs w:val="28"/>
        </w:rPr>
        <w:t>illet</w:t>
      </w:r>
    </w:p>
    <w:p w14:paraId="4749F51D">
      <w:pPr>
        <w:pStyle w:val="58"/>
        <w:ind w:firstLine="420"/>
        <w:rPr>
          <w:rFonts w:hint="default"/>
          <w:lang w:val="en-US" w:eastAsia="zh-CN"/>
        </w:rPr>
      </w:pPr>
      <w:r>
        <w:rPr>
          <w:rFonts w:hint="eastAsia"/>
          <w:lang w:val="en-US" w:eastAsia="zh-CN"/>
        </w:rPr>
        <w:t>在地理标志证明商标产品突泉小米产地范围内，利用独特的自然环境，选用优质品种，按照特定生产技术种植的谷子为原料，经加工而成的粳性小米产品。</w:t>
      </w:r>
    </w:p>
    <w:p w14:paraId="6F8582D8">
      <w:pPr>
        <w:pStyle w:val="106"/>
        <w:bidi w:val="0"/>
        <w:rPr>
          <w:rFonts w:hint="default"/>
          <w:lang w:val="en-US" w:eastAsia="zh-CN"/>
        </w:rPr>
      </w:pPr>
      <w:r>
        <w:rPr>
          <w:rFonts w:hint="eastAsia"/>
          <w:lang w:val="en-US" w:eastAsia="zh-CN"/>
        </w:rPr>
        <w:t>产地范围</w:t>
      </w:r>
    </w:p>
    <w:p w14:paraId="401285F6">
      <w:pPr>
        <w:pStyle w:val="184"/>
        <w:bidi w:val="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突泉小米地理标志证明商标产地范围限于原国家工商行政管部门发布的地理标志证明商标审定公告中的产地范围，即内蒙古自治区突泉县所辖</w:t>
      </w:r>
      <w:r>
        <w:rPr>
          <w:rFonts w:hint="eastAsia" w:ascii="宋体" w:hAnsi="宋体" w:eastAsia="宋体" w:cs="宋体"/>
          <w:sz w:val="21"/>
          <w:szCs w:val="21"/>
        </w:rPr>
        <w:t>突泉镇、宝石镇、太平乡、水泉镇、六户镇、九龙乡、永安镇、杜尔基镇、学田乡</w:t>
      </w:r>
      <w:r>
        <w:rPr>
          <w:rFonts w:hint="eastAsia" w:ascii="宋体" w:hAnsi="宋体" w:eastAsia="宋体" w:cs="宋体"/>
          <w:sz w:val="21"/>
          <w:szCs w:val="21"/>
          <w:lang w:eastAsia="zh-CN"/>
        </w:rPr>
        <w:t>。</w:t>
      </w:r>
      <w:r>
        <w:rPr>
          <w:rFonts w:hint="eastAsia" w:ascii="宋体" w:hAnsi="宋体" w:eastAsia="宋体" w:cs="宋体"/>
          <w:sz w:val="21"/>
          <w:szCs w:val="21"/>
        </w:rPr>
        <w:t>地理坐标</w:t>
      </w:r>
      <w:r>
        <w:rPr>
          <w:rFonts w:hint="eastAsia" w:ascii="宋体" w:hAnsi="宋体" w:eastAsia="宋体" w:cs="宋体"/>
          <w:sz w:val="21"/>
          <w:szCs w:val="21"/>
          <w:lang w:eastAsia="zh-CN"/>
        </w:rPr>
        <w:t>：</w:t>
      </w:r>
      <w:r>
        <w:rPr>
          <w:rFonts w:hint="eastAsia" w:ascii="宋体" w:hAnsi="宋体" w:eastAsia="宋体" w:cs="宋体"/>
          <w:sz w:val="21"/>
          <w:szCs w:val="21"/>
        </w:rPr>
        <w:t>北纬</w:t>
      </w:r>
      <w:r>
        <w:rPr>
          <w:rFonts w:hint="eastAsia" w:ascii="宋体" w:hAnsi="宋体" w:eastAsia="宋体" w:cs="宋体"/>
          <w:sz w:val="21"/>
          <w:szCs w:val="21"/>
          <w:lang w:val="en-US" w:eastAsia="zh-CN"/>
        </w:rPr>
        <w:t xml:space="preserve"> 45°11′25"</w:t>
      </w:r>
      <w:r>
        <w:rPr>
          <w:rFonts w:hint="eastAsia" w:ascii="宋体" w:hAnsi="宋体" w:eastAsia="宋体" w:cs="宋体"/>
        </w:rPr>
        <w:t>～</w:t>
      </w:r>
      <w:r>
        <w:rPr>
          <w:rFonts w:hint="eastAsia" w:ascii="宋体" w:hAnsi="宋体" w:eastAsia="宋体" w:cs="宋体"/>
          <w:sz w:val="21"/>
          <w:szCs w:val="21"/>
          <w:lang w:val="en-US" w:eastAsia="zh-CN"/>
        </w:rPr>
        <w:t>46°05′12"</w:t>
      </w:r>
      <w:r>
        <w:rPr>
          <w:rFonts w:hint="eastAsia" w:ascii="宋体" w:hAnsi="宋体" w:eastAsia="宋体" w:cs="宋体"/>
          <w:sz w:val="21"/>
          <w:szCs w:val="21"/>
        </w:rPr>
        <w:t>、</w:t>
      </w:r>
      <w:r>
        <w:rPr>
          <w:rFonts w:hint="eastAsia" w:ascii="宋体" w:hAnsi="宋体" w:eastAsia="宋体" w:cs="宋体"/>
          <w:sz w:val="21"/>
          <w:szCs w:val="21"/>
          <w:lang w:val="en-US" w:eastAsia="zh-CN"/>
        </w:rPr>
        <w:t>东经120°43′45"</w:t>
      </w:r>
      <w:r>
        <w:rPr>
          <w:rFonts w:hint="eastAsia" w:ascii="宋体" w:hAnsi="宋体" w:eastAsia="宋体" w:cs="宋体"/>
        </w:rPr>
        <w:t>～</w:t>
      </w:r>
      <w:r>
        <w:rPr>
          <w:rFonts w:hint="eastAsia" w:ascii="宋体" w:hAnsi="宋体" w:eastAsia="宋体" w:cs="宋体"/>
          <w:sz w:val="21"/>
          <w:szCs w:val="21"/>
          <w:lang w:val="en-US" w:eastAsia="zh-CN"/>
        </w:rPr>
        <w:t>122°10′20"</w:t>
      </w:r>
      <w:r>
        <w:rPr>
          <w:rFonts w:hint="eastAsia" w:ascii="宋体" w:hAnsi="宋体" w:eastAsia="宋体" w:cs="宋体"/>
          <w:sz w:val="21"/>
          <w:szCs w:val="21"/>
        </w:rPr>
        <w:t>之间</w:t>
      </w:r>
      <w:r>
        <w:rPr>
          <w:rFonts w:hint="eastAsia" w:ascii="宋体" w:hAnsi="宋体" w:eastAsia="宋体" w:cs="宋体"/>
          <w:sz w:val="21"/>
          <w:szCs w:val="21"/>
          <w:lang w:val="en-US" w:eastAsia="zh-CN"/>
        </w:rPr>
        <w:t>，具体范围按照附录A。</w:t>
      </w:r>
    </w:p>
    <w:p w14:paraId="43305A3B">
      <w:pPr>
        <w:pStyle w:val="106"/>
        <w:bidi w:val="0"/>
        <w:rPr>
          <w:rFonts w:hint="eastAsia"/>
          <w:lang w:val="en-US" w:eastAsia="zh-CN"/>
        </w:rPr>
      </w:pPr>
      <w:r>
        <w:rPr>
          <w:rFonts w:hint="eastAsia"/>
          <w:lang w:val="en-US" w:eastAsia="zh-CN"/>
        </w:rPr>
        <w:t>产地环境</w:t>
      </w:r>
    </w:p>
    <w:p w14:paraId="3B0E7064">
      <w:pPr>
        <w:pStyle w:val="107"/>
        <w:bidi w:val="0"/>
        <w:rPr>
          <w:rFonts w:hint="eastAsia"/>
          <w:lang w:val="en-US" w:eastAsia="zh-CN"/>
        </w:rPr>
      </w:pPr>
      <w:r>
        <w:rPr>
          <w:rFonts w:hint="eastAsia"/>
          <w:lang w:val="en-US" w:eastAsia="zh-CN"/>
        </w:rPr>
        <w:t>地理特征</w:t>
      </w:r>
    </w:p>
    <w:p w14:paraId="6ACEA6EC">
      <w:pPr>
        <w:pStyle w:val="58"/>
        <w:rPr>
          <w:rFonts w:hint="eastAsia" w:ascii="宋体" w:hAnsi="宋体" w:eastAsia="宋体" w:cs="宋体"/>
          <w:sz w:val="21"/>
          <w:szCs w:val="21"/>
          <w:highlight w:val="none"/>
          <w:lang w:val="en-US" w:eastAsia="zh-CN"/>
        </w:rPr>
      </w:pPr>
      <w:r>
        <w:rPr>
          <w:rFonts w:hint="eastAsia"/>
          <w:lang w:val="en-US" w:eastAsia="zh-CN"/>
        </w:rPr>
        <w:t>产地位于内蒙古自治区兴安</w:t>
      </w:r>
      <w:r>
        <w:rPr>
          <w:rFonts w:hint="eastAsia"/>
          <w:highlight w:val="none"/>
          <w:lang w:val="en-US" w:eastAsia="zh-CN"/>
        </w:rPr>
        <w:t>盟中南部，</w:t>
      </w:r>
      <w:r>
        <w:rPr>
          <w:rFonts w:hint="eastAsia"/>
          <w:lang w:val="en-US" w:eastAsia="zh-CN"/>
        </w:rPr>
        <w:t>地处大兴安岭向松嫩平原和科尔沁草原的过渡地</w:t>
      </w:r>
      <w:r>
        <w:rPr>
          <w:rFonts w:hint="eastAsia"/>
          <w:highlight w:val="none"/>
          <w:lang w:val="en-US" w:eastAsia="zh-CN"/>
        </w:rPr>
        <w:t>带，海拔</w:t>
      </w:r>
      <w:r>
        <w:rPr>
          <w:rFonts w:hint="eastAsia" w:ascii="宋体" w:hAnsi="宋体" w:eastAsia="宋体" w:cs="宋体"/>
          <w:highlight w:val="none"/>
          <w:lang w:val="en-US" w:eastAsia="zh-CN"/>
        </w:rPr>
        <w:t>185.5 m</w:t>
      </w:r>
      <w:r>
        <w:rPr>
          <w:rFonts w:hint="eastAsia" w:ascii="宋体" w:hAnsi="宋体" w:cs="宋体"/>
          <w:highlight w:val="none"/>
          <w:lang w:val="en-US" w:eastAsia="zh-CN"/>
        </w:rPr>
        <w:t xml:space="preserve"> </w:t>
      </w:r>
      <w:r>
        <w:rPr>
          <w:rFonts w:hint="eastAsia" w:ascii="宋体" w:hAnsi="宋体" w:eastAsia="宋体" w:cs="宋体"/>
          <w:sz w:val="21"/>
          <w:szCs w:val="21"/>
          <w:highlight w:val="none"/>
        </w:rPr>
        <w:t>～</w:t>
      </w:r>
      <w:r>
        <w:rPr>
          <w:rFonts w:hint="eastAsia" w:ascii="宋体" w:hAnsi="宋体" w:cs="宋体"/>
          <w:sz w:val="21"/>
          <w:szCs w:val="21"/>
          <w:highlight w:val="none"/>
          <w:lang w:val="en-US" w:eastAsia="zh-CN"/>
        </w:rPr>
        <w:t xml:space="preserve"> 1392.16</w:t>
      </w:r>
      <w:r>
        <w:rPr>
          <w:rFonts w:hint="eastAsia" w:ascii="宋体" w:hAnsi="宋体" w:eastAsia="宋体" w:cs="宋体"/>
          <w:sz w:val="21"/>
          <w:szCs w:val="21"/>
          <w:highlight w:val="none"/>
          <w:lang w:val="en-US" w:eastAsia="zh-CN"/>
        </w:rPr>
        <w:t xml:space="preserve"> m,地形以山、丘陵、平原为主。</w:t>
      </w:r>
    </w:p>
    <w:p w14:paraId="70C44A23">
      <w:pPr>
        <w:pStyle w:val="107"/>
        <w:bidi w:val="0"/>
        <w:rPr>
          <w:rFonts w:hint="default"/>
          <w:lang w:val="en-US" w:eastAsia="zh-CN"/>
        </w:rPr>
      </w:pPr>
      <w:r>
        <w:rPr>
          <w:rFonts w:hint="eastAsia"/>
          <w:lang w:val="en-US" w:eastAsia="zh-CN"/>
        </w:rPr>
        <w:t>气候特征</w:t>
      </w:r>
    </w:p>
    <w:p w14:paraId="1174A7FE">
      <w:pPr>
        <w:pStyle w:val="58"/>
        <w:ind w:firstLine="420"/>
        <w:rPr>
          <w:rFonts w:hint="eastAsia" w:ascii="宋体" w:hAnsi="宋体" w:eastAsia="宋体" w:cs="宋体"/>
          <w:lang w:val="en-US" w:eastAsia="zh-CN"/>
        </w:rPr>
      </w:pPr>
      <w:r>
        <w:rPr>
          <w:rFonts w:hint="eastAsia" w:ascii="宋体" w:hAnsi="宋体" w:eastAsia="宋体" w:cs="宋体"/>
          <w:lang w:val="en-US" w:eastAsia="zh-CN"/>
        </w:rPr>
        <w:t>属于中温带半干旱大陆性季风气候。年平均气温6.6℃，无霜期164≥d,年降雨量≥350</w:t>
      </w:r>
      <w:r>
        <w:rPr>
          <w:rFonts w:hint="eastAsia" w:ascii="宋体" w:hAnsi="宋体" w:cs="宋体"/>
          <w:lang w:val="en-US" w:eastAsia="zh-CN"/>
        </w:rPr>
        <w:t xml:space="preserve"> </w:t>
      </w:r>
      <w:r>
        <w:rPr>
          <w:rFonts w:hint="eastAsia" w:ascii="宋体" w:hAnsi="宋体" w:eastAsia="宋体" w:cs="宋体"/>
          <w:lang w:val="en-US" w:eastAsia="zh-CN"/>
        </w:rPr>
        <w:t>mm,年均日照总时数为2900</w:t>
      </w:r>
      <w:r>
        <w:rPr>
          <w:rFonts w:hint="eastAsia" w:ascii="宋体" w:hAnsi="宋体" w:cs="宋体"/>
          <w:lang w:val="en-US" w:eastAsia="zh-CN"/>
        </w:rPr>
        <w:t xml:space="preserve"> </w:t>
      </w:r>
      <w:r>
        <w:rPr>
          <w:rFonts w:hint="eastAsia" w:ascii="宋体" w:hAnsi="宋体" w:eastAsia="宋体" w:cs="宋体"/>
          <w:lang w:val="en-US" w:eastAsia="zh-CN"/>
        </w:rPr>
        <w:t>h。</w:t>
      </w:r>
    </w:p>
    <w:p w14:paraId="0A29443B">
      <w:pPr>
        <w:pStyle w:val="107"/>
        <w:bidi w:val="0"/>
        <w:rPr>
          <w:rFonts w:hint="eastAsia"/>
          <w:lang w:val="en-US" w:eastAsia="zh-CN"/>
        </w:rPr>
      </w:pPr>
      <w:r>
        <w:rPr>
          <w:rFonts w:hint="eastAsia"/>
          <w:lang w:val="en-US" w:eastAsia="zh-CN"/>
        </w:rPr>
        <w:t>土壤条件</w:t>
      </w:r>
    </w:p>
    <w:p w14:paraId="2E0B1467">
      <w:pPr>
        <w:pStyle w:val="58"/>
        <w:rPr>
          <w:rFonts w:hint="default" w:eastAsia="宋体"/>
          <w:lang w:val="en-US" w:eastAsia="zh-CN"/>
        </w:rPr>
      </w:pPr>
      <w:r>
        <w:rPr>
          <w:rFonts w:hint="eastAsia"/>
          <w:lang w:val="en-US" w:eastAsia="zh-CN"/>
        </w:rPr>
        <w:t>以黑钙土、栗钙土及草甸为主，土质疏松、排水良好，土壤有机质含量</w:t>
      </w:r>
      <w:r>
        <w:rPr>
          <w:rFonts w:hint="eastAsia" w:ascii="宋体" w:hAnsi="宋体" w:eastAsia="宋体" w:cs="宋体"/>
          <w:lang w:val="en-US" w:eastAsia="zh-CN"/>
        </w:rPr>
        <w:t>≥</w:t>
      </w:r>
      <w:r>
        <w:rPr>
          <w:rFonts w:hint="eastAsia" w:ascii="宋体" w:hAnsi="宋体" w:cs="宋体"/>
          <w:lang w:val="en-US" w:eastAsia="zh-CN"/>
        </w:rPr>
        <w:t xml:space="preserve">3.3%，PH值7.8 </w:t>
      </w:r>
      <w:r>
        <w:rPr>
          <w:rFonts w:hint="eastAsia" w:ascii="宋体" w:hAnsi="宋体" w:eastAsia="宋体" w:cs="宋体"/>
          <w:sz w:val="21"/>
          <w:szCs w:val="21"/>
        </w:rPr>
        <w:t>～</w:t>
      </w:r>
      <w:r>
        <w:rPr>
          <w:rFonts w:hint="eastAsia" w:ascii="宋体" w:hAnsi="宋体" w:cs="宋体"/>
          <w:sz w:val="21"/>
          <w:szCs w:val="21"/>
          <w:lang w:val="en-US" w:eastAsia="zh-CN"/>
        </w:rPr>
        <w:t xml:space="preserve"> 8.0。</w:t>
      </w:r>
    </w:p>
    <w:p w14:paraId="655C4500">
      <w:pPr>
        <w:pStyle w:val="106"/>
        <w:bidi w:val="0"/>
        <w:rPr>
          <w:rFonts w:hint="eastAsia"/>
          <w:lang w:val="en-US" w:eastAsia="zh-CN"/>
        </w:rPr>
      </w:pPr>
      <w:r>
        <w:rPr>
          <w:rFonts w:hint="eastAsia"/>
          <w:lang w:val="en-US" w:eastAsia="zh-CN"/>
        </w:rPr>
        <w:t>技术要求</w:t>
      </w:r>
    </w:p>
    <w:p w14:paraId="7AFCE04D">
      <w:pPr>
        <w:pStyle w:val="107"/>
        <w:bidi w:val="0"/>
        <w:rPr>
          <w:rFonts w:hint="eastAsia" w:ascii="宋体" w:hAnsi="宋体" w:eastAsia="宋体" w:cs="宋体"/>
          <w:lang w:val="en-US" w:eastAsia="zh-CN"/>
        </w:rPr>
      </w:pPr>
      <w:r>
        <w:rPr>
          <w:rFonts w:hint="eastAsia"/>
          <w:lang w:val="en-US" w:eastAsia="zh-CN"/>
        </w:rPr>
        <w:t>品种</w:t>
      </w:r>
    </w:p>
    <w:p w14:paraId="15F071B9">
      <w:pPr>
        <w:pStyle w:val="107"/>
        <w:numPr>
          <w:ilvl w:val="2"/>
          <w:numId w:val="0"/>
        </w:numPr>
        <w:bidi w:val="0"/>
        <w:ind w:leftChars="0" w:firstLine="420" w:firstLineChars="200"/>
        <w:rPr>
          <w:rFonts w:hint="eastAsia" w:ascii="宋体" w:hAnsi="宋体" w:eastAsia="宋体" w:cs="宋体"/>
          <w:highlight w:val="none"/>
          <w:lang w:val="en-US" w:eastAsia="zh-CN"/>
        </w:rPr>
      </w:pPr>
      <w:r>
        <w:rPr>
          <w:rFonts w:hint="eastAsia" w:ascii="宋体" w:hAnsi="宋体" w:eastAsia="宋体" w:cs="宋体"/>
          <w:highlight w:val="none"/>
          <w:lang w:val="en-US" w:eastAsia="zh-CN"/>
        </w:rPr>
        <w:t>选用符合第5章规定的产地环境下优质高产稳产抗病品种，质量应符合GB 4404.1和GB/T 8232的要求。</w:t>
      </w:r>
    </w:p>
    <w:p w14:paraId="0393E79A">
      <w:pPr>
        <w:pStyle w:val="107"/>
        <w:bidi w:val="0"/>
        <w:rPr>
          <w:rFonts w:hint="eastAsia"/>
          <w:lang w:val="en-US" w:eastAsia="zh-CN"/>
        </w:rPr>
      </w:pPr>
      <w:r>
        <w:rPr>
          <w:rFonts w:hint="eastAsia"/>
          <w:lang w:val="en-US" w:eastAsia="zh-CN"/>
        </w:rPr>
        <w:t>栽培管理</w:t>
      </w:r>
    </w:p>
    <w:p w14:paraId="04F26E35">
      <w:pPr>
        <w:pStyle w:val="67"/>
        <w:bidi w:val="0"/>
        <w:rPr>
          <w:rFonts w:hint="eastAsia"/>
          <w:lang w:val="en-US" w:eastAsia="zh-CN"/>
        </w:rPr>
      </w:pPr>
      <w:r>
        <w:rPr>
          <w:rFonts w:hint="eastAsia"/>
          <w:lang w:val="en-US" w:eastAsia="zh-CN"/>
        </w:rPr>
        <w:t>选地</w:t>
      </w:r>
    </w:p>
    <w:p w14:paraId="52276D4D">
      <w:pPr>
        <w:pStyle w:val="58"/>
        <w:rPr>
          <w:rFonts w:hint="default"/>
          <w:lang w:val="en-US" w:eastAsia="zh-CN"/>
        </w:rPr>
      </w:pPr>
      <w:r>
        <w:rPr>
          <w:rFonts w:hint="eastAsia"/>
          <w:lang w:val="en-US" w:eastAsia="zh-CN"/>
        </w:rPr>
        <w:t>选择黑土层较厚、土质疏松的地块</w:t>
      </w:r>
      <w:r>
        <w:rPr>
          <w:rFonts w:hint="eastAsia" w:ascii="宋体" w:hAnsi="宋体" w:cs="宋体"/>
          <w:highlight w:val="none"/>
          <w:lang w:val="en-US" w:eastAsia="zh-CN"/>
        </w:rPr>
        <w:t>。</w:t>
      </w:r>
    </w:p>
    <w:p w14:paraId="66DAD4CF">
      <w:pPr>
        <w:pStyle w:val="67"/>
        <w:bidi w:val="0"/>
        <w:rPr>
          <w:rFonts w:hint="default"/>
          <w:lang w:val="en-US" w:eastAsia="zh-CN"/>
        </w:rPr>
      </w:pPr>
      <w:r>
        <w:rPr>
          <w:rFonts w:hint="eastAsia"/>
          <w:lang w:val="en-US" w:eastAsia="zh-CN"/>
        </w:rPr>
        <w:t>播种</w:t>
      </w:r>
    </w:p>
    <w:p w14:paraId="54FDA13F">
      <w:pPr>
        <w:pStyle w:val="58"/>
        <w:rPr>
          <w:rFonts w:hint="default"/>
          <w:highlight w:val="red"/>
          <w:lang w:val="en-US" w:eastAsia="zh-CN"/>
        </w:rPr>
      </w:pPr>
      <w:r>
        <w:rPr>
          <w:rFonts w:hint="eastAsia"/>
          <w:lang w:val="en-US" w:eastAsia="zh-CN"/>
        </w:rPr>
        <w:t>当耕层10 cm 处地温稳定通过8℃时，及时播种。</w:t>
      </w:r>
      <w:r>
        <w:rPr>
          <w:rFonts w:hint="eastAsia" w:ascii="宋体" w:hAnsi="宋体" w:eastAsia="宋体" w:cs="宋体"/>
          <w:lang w:val="en-US" w:eastAsia="zh-CN"/>
        </w:rPr>
        <w:t>正常年份播种期为4月20日至5月5日。</w:t>
      </w:r>
    </w:p>
    <w:p w14:paraId="5B489606">
      <w:pPr>
        <w:pStyle w:val="67"/>
        <w:bidi w:val="0"/>
        <w:rPr>
          <w:rFonts w:hint="default"/>
          <w:lang w:val="en-US" w:eastAsia="zh-CN"/>
        </w:rPr>
      </w:pPr>
      <w:r>
        <w:rPr>
          <w:rFonts w:hint="eastAsia"/>
          <w:lang w:val="en-US" w:eastAsia="zh-CN"/>
        </w:rPr>
        <w:t>田间水肥管理</w:t>
      </w:r>
    </w:p>
    <w:p w14:paraId="0441F297">
      <w:pPr>
        <w:pStyle w:val="58"/>
        <w:rPr>
          <w:rFonts w:hint="default"/>
          <w:lang w:val="en-US" w:eastAsia="zh-CN"/>
        </w:rPr>
      </w:pPr>
      <w:r>
        <w:rPr>
          <w:rFonts w:hint="eastAsia" w:ascii="宋体" w:hAnsi="宋体" w:eastAsia="宋体" w:cs="宋体"/>
          <w:lang w:val="en-US" w:eastAsia="zh-CN"/>
        </w:rPr>
        <w:t>每公顷施入无害化处理的农家肥3t,j结合整地一次施入。收割前20天停止灌溉。</w:t>
      </w:r>
    </w:p>
    <w:p w14:paraId="3DCE0B36">
      <w:pPr>
        <w:pStyle w:val="67"/>
        <w:bidi w:val="0"/>
        <w:rPr>
          <w:rFonts w:hint="default"/>
          <w:lang w:val="en-US" w:eastAsia="zh-CN"/>
        </w:rPr>
      </w:pPr>
      <w:r>
        <w:rPr>
          <w:rFonts w:hint="eastAsia"/>
          <w:lang w:val="en-US" w:eastAsia="zh-CN"/>
        </w:rPr>
        <w:t>施肥</w:t>
      </w:r>
    </w:p>
    <w:p w14:paraId="430FEE7F">
      <w:pPr>
        <w:pStyle w:val="58"/>
        <w:rPr>
          <w:rFonts w:hint="eastAsia"/>
          <w:lang w:val="en-US" w:eastAsia="zh-CN"/>
        </w:rPr>
      </w:pPr>
      <w:r>
        <w:rPr>
          <w:rFonts w:hint="eastAsia" w:ascii="宋体" w:hAnsi="宋体" w:cs="宋体"/>
          <w:lang w:val="en-US" w:eastAsia="zh-CN"/>
        </w:rPr>
        <w:t>肥料的使用，</w:t>
      </w:r>
      <w:r>
        <w:rPr>
          <w:rFonts w:hint="eastAsia" w:ascii="宋体" w:hAnsi="宋体" w:eastAsia="宋体" w:cs="宋体"/>
          <w:lang w:val="en-US" w:eastAsia="zh-CN"/>
        </w:rPr>
        <w:t>应符合NY/T 39</w:t>
      </w:r>
      <w:r>
        <w:rPr>
          <w:rFonts w:hint="eastAsia" w:ascii="宋体" w:hAnsi="宋体" w:cs="宋体"/>
          <w:lang w:val="en-US" w:eastAsia="zh-CN"/>
        </w:rPr>
        <w:t>4</w:t>
      </w:r>
      <w:r>
        <w:rPr>
          <w:rFonts w:hint="eastAsia" w:ascii="宋体" w:hAnsi="宋体" w:eastAsia="宋体" w:cs="宋体"/>
          <w:lang w:val="en-US" w:eastAsia="zh-CN"/>
        </w:rPr>
        <w:t>的规定执行</w:t>
      </w:r>
      <w:r>
        <w:rPr>
          <w:rFonts w:hint="eastAsia"/>
          <w:lang w:val="en-US" w:eastAsia="zh-CN"/>
        </w:rPr>
        <w:t>。</w:t>
      </w:r>
    </w:p>
    <w:p w14:paraId="62B97109">
      <w:pPr>
        <w:pStyle w:val="67"/>
        <w:bidi w:val="0"/>
        <w:rPr>
          <w:rFonts w:hint="eastAsia"/>
          <w:lang w:val="en-US" w:eastAsia="zh-CN"/>
        </w:rPr>
      </w:pPr>
      <w:r>
        <w:rPr>
          <w:rFonts w:hint="eastAsia"/>
          <w:lang w:val="en-US" w:eastAsia="zh-CN"/>
        </w:rPr>
        <w:t>病虫草害防治</w:t>
      </w:r>
    </w:p>
    <w:p w14:paraId="2D5FB88C">
      <w:pPr>
        <w:pStyle w:val="58"/>
        <w:rPr>
          <w:rFonts w:hint="eastAsia" w:ascii="宋体" w:hAnsi="宋体" w:eastAsia="宋体" w:cs="宋体"/>
          <w:lang w:val="en-US" w:eastAsia="zh-CN"/>
        </w:rPr>
      </w:pPr>
      <w:r>
        <w:rPr>
          <w:rFonts w:hint="eastAsia" w:ascii="宋体" w:hAnsi="宋体" w:cs="宋体"/>
          <w:lang w:val="en-US" w:eastAsia="zh-CN"/>
        </w:rPr>
        <w:t>农药的使用，</w:t>
      </w:r>
      <w:r>
        <w:rPr>
          <w:rFonts w:hint="eastAsia" w:ascii="宋体" w:hAnsi="宋体" w:eastAsia="宋体" w:cs="宋体"/>
          <w:lang w:val="en-US" w:eastAsia="zh-CN"/>
        </w:rPr>
        <w:t>应符合NY/T 393的规定执行。</w:t>
      </w:r>
    </w:p>
    <w:p w14:paraId="20C72402">
      <w:pPr>
        <w:pStyle w:val="67"/>
        <w:bidi w:val="0"/>
        <w:rPr>
          <w:rFonts w:hint="default"/>
          <w:lang w:val="en-US" w:eastAsia="zh-CN"/>
        </w:rPr>
      </w:pPr>
      <w:r>
        <w:rPr>
          <w:rFonts w:hint="eastAsia"/>
          <w:lang w:val="en-US" w:eastAsia="zh-CN"/>
        </w:rPr>
        <w:t>采收</w:t>
      </w:r>
    </w:p>
    <w:p w14:paraId="2240975F">
      <w:pPr>
        <w:pStyle w:val="67"/>
        <w:numPr>
          <w:ilvl w:val="3"/>
          <w:numId w:val="0"/>
        </w:numPr>
        <w:bidi w:val="0"/>
        <w:ind w:leftChars="0" w:firstLine="420" w:firstLineChars="200"/>
        <w:rPr>
          <w:rFonts w:hint="default"/>
          <w:lang w:val="en-US" w:eastAsia="zh-CN"/>
        </w:rPr>
      </w:pPr>
      <w:r>
        <w:rPr>
          <w:rFonts w:hint="eastAsia" w:ascii="宋体" w:hAnsi="宋体" w:eastAsia="宋体" w:cs="宋体"/>
          <w:lang w:val="en-US" w:eastAsia="zh-CN"/>
        </w:rPr>
        <w:t xml:space="preserve">10月中上旬，籽粒变硬，成熟断青时及时收获。 </w:t>
      </w:r>
      <w:r>
        <w:rPr>
          <w:rFonts w:hint="eastAsia"/>
          <w:lang w:val="en-US" w:eastAsia="zh-CN"/>
        </w:rPr>
        <w:t xml:space="preserve"> </w:t>
      </w:r>
    </w:p>
    <w:p w14:paraId="1EA3FA38">
      <w:pPr>
        <w:pStyle w:val="106"/>
        <w:bidi w:val="0"/>
        <w:rPr>
          <w:rFonts w:hint="default"/>
          <w:lang w:val="en-US" w:eastAsia="zh-CN"/>
        </w:rPr>
      </w:pPr>
      <w:r>
        <w:rPr>
          <w:rFonts w:hint="eastAsia"/>
          <w:lang w:val="en-US" w:eastAsia="zh-CN"/>
        </w:rPr>
        <w:t>生产工艺</w:t>
      </w:r>
    </w:p>
    <w:p w14:paraId="420F1315">
      <w:pPr>
        <w:pStyle w:val="107"/>
        <w:bidi w:val="0"/>
        <w:rPr>
          <w:rFonts w:hint="default"/>
          <w:lang w:val="en-US" w:eastAsia="zh-CN"/>
        </w:rPr>
      </w:pPr>
      <w:r>
        <w:rPr>
          <w:rFonts w:hint="eastAsia"/>
          <w:lang w:val="en-US" w:eastAsia="zh-CN"/>
        </w:rPr>
        <w:t>加工环境</w:t>
      </w:r>
    </w:p>
    <w:p w14:paraId="509F752E">
      <w:pPr>
        <w:pStyle w:val="58"/>
        <w:bidi w:val="0"/>
        <w:rPr>
          <w:rFonts w:hint="eastAsia" w:ascii="宋体" w:hAnsi="宋体" w:eastAsia="宋体" w:cs="宋体"/>
          <w:lang w:val="en-US" w:eastAsia="zh-CN"/>
        </w:rPr>
      </w:pPr>
      <w:r>
        <w:rPr>
          <w:rFonts w:hint="eastAsia" w:ascii="宋体" w:hAnsi="宋体" w:eastAsia="宋体" w:cs="宋体"/>
          <w:lang w:val="en-US" w:eastAsia="zh-CN"/>
        </w:rPr>
        <w:t>应符合GB/T 14881的要求。</w:t>
      </w:r>
    </w:p>
    <w:p w14:paraId="798E8522">
      <w:pPr>
        <w:pStyle w:val="107"/>
        <w:bidi w:val="0"/>
        <w:rPr>
          <w:rFonts w:hint="default"/>
          <w:lang w:val="en-US" w:eastAsia="zh-CN"/>
        </w:rPr>
      </w:pPr>
      <w:r>
        <w:rPr>
          <w:rFonts w:hint="eastAsia"/>
          <w:lang w:val="en-US" w:eastAsia="zh-CN"/>
        </w:rPr>
        <w:t>加工工艺</w:t>
      </w:r>
    </w:p>
    <w:p w14:paraId="738ABFB0">
      <w:pPr>
        <w:pStyle w:val="58"/>
        <w:bidi w:val="0"/>
        <w:rPr>
          <w:rFonts w:hint="eastAsia"/>
          <w:lang w:val="en-US" w:eastAsia="zh-CN"/>
        </w:rPr>
      </w:pPr>
      <w:r>
        <w:rPr>
          <w:rFonts w:hint="eastAsia"/>
          <w:lang w:val="en-US" w:eastAsia="zh-CN"/>
        </w:rPr>
        <w:t>谷子→筛选→去杂→碾米→精选→检验→包装。</w:t>
      </w:r>
    </w:p>
    <w:p w14:paraId="75180315">
      <w:pPr>
        <w:pStyle w:val="106"/>
        <w:bidi w:val="0"/>
        <w:rPr>
          <w:rFonts w:hint="eastAsia"/>
          <w:lang w:val="en-US" w:eastAsia="zh-CN"/>
        </w:rPr>
      </w:pPr>
      <w:r>
        <w:rPr>
          <w:rFonts w:hint="eastAsia"/>
          <w:lang w:val="en-US" w:eastAsia="zh-CN"/>
        </w:rPr>
        <w:t>质量要求</w:t>
      </w:r>
    </w:p>
    <w:p w14:paraId="1033E84A">
      <w:pPr>
        <w:pStyle w:val="107"/>
        <w:bidi w:val="0"/>
        <w:rPr>
          <w:rFonts w:hint="default" w:ascii="宋体" w:hAnsi="宋体" w:eastAsia="宋体" w:cs="宋体"/>
          <w:lang w:val="en-US" w:eastAsia="zh-CN"/>
        </w:rPr>
      </w:pPr>
      <w:r>
        <w:rPr>
          <w:rFonts w:hint="eastAsia"/>
          <w:lang w:val="en-US" w:eastAsia="zh-CN"/>
        </w:rPr>
        <w:t>感官指标</w:t>
      </w:r>
    </w:p>
    <w:p w14:paraId="6BBC0270">
      <w:pPr>
        <w:pStyle w:val="58"/>
        <w:ind w:left="0" w:leftChars="0" w:firstLine="420" w:firstLineChars="200"/>
        <w:rPr>
          <w:rFonts w:hint="eastAsia" w:ascii="宋体" w:hAnsi="宋体" w:cs="宋体"/>
          <w:lang w:val="en-US" w:eastAsia="zh-CN"/>
        </w:rPr>
      </w:pPr>
      <w:r>
        <w:rPr>
          <w:rFonts w:hint="eastAsia" w:ascii="宋体" w:hAnsi="宋体" w:cs="宋体"/>
          <w:lang w:val="en-US" w:eastAsia="zh-CN"/>
        </w:rPr>
        <w:t>感官指标应符合表1的规定。</w:t>
      </w:r>
    </w:p>
    <w:p w14:paraId="65B96C58">
      <w:pPr>
        <w:pStyle w:val="114"/>
        <w:bidi w:val="0"/>
        <w:rPr>
          <w:rFonts w:hint="default"/>
          <w:lang w:val="en-US" w:eastAsia="zh-CN"/>
        </w:rPr>
      </w:pPr>
      <w:r>
        <w:rPr>
          <w:rFonts w:hint="eastAsia"/>
          <w:lang w:val="en-US" w:eastAsia="zh-CN"/>
        </w:rPr>
        <w:t>感官指标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261"/>
        <w:gridCol w:w="5293"/>
      </w:tblGrid>
      <w:tr w14:paraId="4AB0FD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261" w:type="dxa"/>
            <w:tcBorders>
              <w:bottom w:val="single" w:color="auto" w:sz="8" w:space="0"/>
            </w:tcBorders>
            <w:vAlign w:val="center"/>
          </w:tcPr>
          <w:p w14:paraId="1020AD0B">
            <w:pPr>
              <w:pStyle w:val="180"/>
              <w:bidi w:val="0"/>
              <w:spacing w:line="240" w:lineRule="auto"/>
              <w:jc w:val="center"/>
              <w:rPr>
                <w:rFonts w:hint="default"/>
                <w:lang w:val="en-US" w:eastAsia="zh-CN"/>
              </w:rPr>
            </w:pPr>
            <w:r>
              <w:rPr>
                <w:rFonts w:hint="eastAsia"/>
                <w:lang w:val="en-US" w:eastAsia="zh-CN"/>
              </w:rPr>
              <w:t>项 目</w:t>
            </w:r>
          </w:p>
        </w:tc>
        <w:tc>
          <w:tcPr>
            <w:tcW w:w="5293" w:type="dxa"/>
            <w:tcBorders>
              <w:bottom w:val="single" w:color="auto" w:sz="8" w:space="0"/>
            </w:tcBorders>
            <w:vAlign w:val="center"/>
          </w:tcPr>
          <w:p w14:paraId="5CF86C24">
            <w:pPr>
              <w:pStyle w:val="180"/>
              <w:bidi w:val="0"/>
              <w:spacing w:line="240" w:lineRule="auto"/>
              <w:jc w:val="center"/>
              <w:rPr>
                <w:rFonts w:hint="default"/>
                <w:lang w:val="en-US" w:eastAsia="zh-CN"/>
              </w:rPr>
            </w:pPr>
            <w:r>
              <w:rPr>
                <w:rFonts w:hint="eastAsia"/>
                <w:lang w:val="en-US" w:eastAsia="zh-CN"/>
              </w:rPr>
              <w:t>要 求</w:t>
            </w:r>
          </w:p>
        </w:tc>
      </w:tr>
      <w:tr w14:paraId="4413E4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261" w:type="dxa"/>
            <w:tcBorders>
              <w:top w:val="single" w:color="auto" w:sz="8" w:space="0"/>
              <w:bottom w:val="single" w:color="auto" w:sz="8" w:space="0"/>
            </w:tcBorders>
            <w:vAlign w:val="center"/>
          </w:tcPr>
          <w:p w14:paraId="0A6F5DA3">
            <w:pPr>
              <w:pStyle w:val="180"/>
              <w:bidi w:val="0"/>
              <w:spacing w:line="240" w:lineRule="auto"/>
              <w:jc w:val="center"/>
              <w:rPr>
                <w:rFonts w:hint="default"/>
                <w:lang w:val="en-US" w:eastAsia="zh-CN"/>
              </w:rPr>
            </w:pPr>
            <w:r>
              <w:rPr>
                <w:rFonts w:hint="eastAsia"/>
                <w:lang w:val="en-US" w:eastAsia="zh-CN"/>
              </w:rPr>
              <w:t>色 泽</w:t>
            </w:r>
          </w:p>
        </w:tc>
        <w:tc>
          <w:tcPr>
            <w:tcW w:w="5293" w:type="dxa"/>
            <w:tcBorders>
              <w:top w:val="single" w:color="auto" w:sz="8" w:space="0"/>
              <w:bottom w:val="single" w:color="auto" w:sz="8" w:space="0"/>
            </w:tcBorders>
            <w:vAlign w:val="center"/>
          </w:tcPr>
          <w:p w14:paraId="368ECBFA">
            <w:pPr>
              <w:pStyle w:val="180"/>
              <w:bidi w:val="0"/>
              <w:spacing w:line="240" w:lineRule="auto"/>
              <w:jc w:val="center"/>
              <w:rPr>
                <w:rFonts w:hint="default"/>
                <w:lang w:val="en-US" w:eastAsia="zh-CN"/>
              </w:rPr>
            </w:pPr>
            <w:r>
              <w:rPr>
                <w:rFonts w:hint="eastAsia"/>
                <w:lang w:val="en-US" w:eastAsia="zh-CN"/>
              </w:rPr>
              <w:t>金黄有光泽、无霉变</w:t>
            </w:r>
          </w:p>
        </w:tc>
      </w:tr>
      <w:tr w14:paraId="1FB4A1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261" w:type="dxa"/>
            <w:tcBorders>
              <w:top w:val="single" w:color="auto" w:sz="8" w:space="0"/>
              <w:bottom w:val="single" w:color="auto" w:sz="8" w:space="0"/>
            </w:tcBorders>
            <w:vAlign w:val="center"/>
          </w:tcPr>
          <w:p w14:paraId="247FD8E1">
            <w:pPr>
              <w:pStyle w:val="180"/>
              <w:bidi w:val="0"/>
              <w:spacing w:line="240" w:lineRule="auto"/>
              <w:jc w:val="center"/>
              <w:rPr>
                <w:rFonts w:hint="default"/>
                <w:lang w:val="en-US" w:eastAsia="zh-CN"/>
              </w:rPr>
            </w:pPr>
            <w:r>
              <w:rPr>
                <w:rFonts w:hint="eastAsia"/>
                <w:lang w:val="en-US" w:eastAsia="zh-CN"/>
              </w:rPr>
              <w:t>气 味</w:t>
            </w:r>
          </w:p>
        </w:tc>
        <w:tc>
          <w:tcPr>
            <w:tcW w:w="5293" w:type="dxa"/>
            <w:tcBorders>
              <w:top w:val="single" w:color="auto" w:sz="8" w:space="0"/>
              <w:bottom w:val="single" w:color="auto" w:sz="8" w:space="0"/>
            </w:tcBorders>
            <w:vAlign w:val="center"/>
          </w:tcPr>
          <w:p w14:paraId="34C5C0B7">
            <w:pPr>
              <w:pStyle w:val="180"/>
              <w:bidi w:val="0"/>
              <w:spacing w:line="240" w:lineRule="auto"/>
              <w:jc w:val="center"/>
              <w:rPr>
                <w:rFonts w:hint="default"/>
                <w:lang w:val="en-US" w:eastAsia="zh-CN"/>
              </w:rPr>
            </w:pPr>
            <w:r>
              <w:rPr>
                <w:rFonts w:hint="eastAsia"/>
                <w:lang w:val="en-US" w:eastAsia="zh-CN"/>
              </w:rPr>
              <w:t>具有本区域小米固有的自然清香，无其他异味</w:t>
            </w:r>
          </w:p>
        </w:tc>
      </w:tr>
    </w:tbl>
    <w:p w14:paraId="60E1EAE7">
      <w:pPr>
        <w:pStyle w:val="107"/>
        <w:bidi w:val="0"/>
        <w:rPr>
          <w:rFonts w:hint="default"/>
          <w:lang w:val="en-US"/>
        </w:rPr>
      </w:pPr>
      <w:r>
        <w:rPr>
          <w:rFonts w:hint="eastAsia"/>
          <w:lang w:val="en-US" w:eastAsia="zh-CN"/>
        </w:rPr>
        <w:t>加工质量指标</w:t>
      </w:r>
    </w:p>
    <w:p w14:paraId="6EB437E1">
      <w:pPr>
        <w:pStyle w:val="58"/>
        <w:bidi w:val="0"/>
        <w:rPr>
          <w:rFonts w:hint="eastAsia" w:ascii="宋体" w:hAnsi="宋体" w:eastAsia="宋体" w:cs="宋体"/>
          <w:lang w:val="en-US" w:eastAsia="zh-CN"/>
        </w:rPr>
      </w:pPr>
      <w:r>
        <w:rPr>
          <w:rFonts w:hint="eastAsia" w:ascii="宋体" w:hAnsi="宋体" w:cs="宋体"/>
          <w:lang w:val="en-US" w:eastAsia="zh-CN"/>
        </w:rPr>
        <w:t>加工质量指标</w:t>
      </w:r>
      <w:r>
        <w:rPr>
          <w:rFonts w:hint="eastAsia" w:ascii="宋体" w:hAnsi="宋体" w:eastAsia="宋体" w:cs="宋体"/>
          <w:lang w:val="en-US" w:eastAsia="zh-CN"/>
        </w:rPr>
        <w:t>应符合表</w:t>
      </w:r>
      <w:r>
        <w:rPr>
          <w:rFonts w:hint="eastAsia" w:ascii="宋体" w:hAnsi="宋体" w:cs="宋体"/>
          <w:lang w:val="en-US" w:eastAsia="zh-CN"/>
        </w:rPr>
        <w:t>2</w:t>
      </w:r>
      <w:r>
        <w:rPr>
          <w:rFonts w:hint="eastAsia" w:ascii="宋体" w:hAnsi="宋体" w:eastAsia="宋体" w:cs="宋体"/>
          <w:lang w:val="en-US" w:eastAsia="zh-CN"/>
        </w:rPr>
        <w:t>的规定。</w:t>
      </w:r>
    </w:p>
    <w:p w14:paraId="2DAC9B15">
      <w:pPr>
        <w:pStyle w:val="114"/>
        <w:bidi w:val="0"/>
        <w:rPr>
          <w:rFonts w:hint="default"/>
          <w:lang w:val="en-US"/>
        </w:rPr>
      </w:pPr>
      <w:r>
        <w:rPr>
          <w:rFonts w:hint="eastAsia"/>
          <w:lang w:val="en-US" w:eastAsia="zh-CN"/>
        </w:rPr>
        <w:t>加工质量指标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779"/>
        <w:gridCol w:w="1260"/>
        <w:gridCol w:w="1290"/>
        <w:gridCol w:w="1129"/>
        <w:gridCol w:w="1365"/>
        <w:gridCol w:w="1365"/>
        <w:gridCol w:w="1366"/>
      </w:tblGrid>
      <w:tr w14:paraId="03FDD2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779" w:type="dxa"/>
            <w:vMerge w:val="restart"/>
            <w:vAlign w:val="center"/>
          </w:tcPr>
          <w:p w14:paraId="5A543A81">
            <w:pPr>
              <w:pStyle w:val="180"/>
              <w:bidi w:val="0"/>
              <w:spacing w:line="240" w:lineRule="auto"/>
              <w:jc w:val="both"/>
              <w:rPr>
                <w:rFonts w:hint="eastAsia" w:ascii="宋体" w:hAnsi="宋体" w:eastAsia="宋体" w:cs="宋体"/>
                <w:lang w:val="en-US" w:eastAsia="zh-CN"/>
              </w:rPr>
            </w:pPr>
            <w:r>
              <w:rPr>
                <w:rFonts w:hint="eastAsia" w:ascii="宋体" w:hAnsi="宋体" w:eastAsia="宋体" w:cs="宋体"/>
                <w:lang w:val="en-US" w:eastAsia="zh-CN"/>
              </w:rPr>
              <w:t>不完善粒含量 / %</w:t>
            </w:r>
          </w:p>
        </w:tc>
        <w:tc>
          <w:tcPr>
            <w:tcW w:w="3679" w:type="dxa"/>
            <w:gridSpan w:val="3"/>
            <w:tcBorders>
              <w:bottom w:val="single" w:color="auto" w:sz="8" w:space="0"/>
            </w:tcBorders>
            <w:vAlign w:val="center"/>
          </w:tcPr>
          <w:p w14:paraId="4DC606AC">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杂质含量 / %</w:t>
            </w:r>
          </w:p>
        </w:tc>
        <w:tc>
          <w:tcPr>
            <w:tcW w:w="1365" w:type="dxa"/>
            <w:vMerge w:val="restart"/>
            <w:vAlign w:val="center"/>
          </w:tcPr>
          <w:p w14:paraId="48D0E5E1">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碎米含量 / %</w:t>
            </w:r>
          </w:p>
        </w:tc>
        <w:tc>
          <w:tcPr>
            <w:tcW w:w="1365" w:type="dxa"/>
            <w:vMerge w:val="restart"/>
            <w:vAlign w:val="center"/>
          </w:tcPr>
          <w:p w14:paraId="1FBDE746">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水分含量 / %</w:t>
            </w:r>
          </w:p>
        </w:tc>
        <w:tc>
          <w:tcPr>
            <w:tcW w:w="1366" w:type="dxa"/>
            <w:vMerge w:val="restart"/>
            <w:vAlign w:val="center"/>
          </w:tcPr>
          <w:p w14:paraId="247A0A07">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色泽、气味</w:t>
            </w:r>
          </w:p>
        </w:tc>
      </w:tr>
      <w:tr w14:paraId="05D31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79" w:type="dxa"/>
            <w:vMerge w:val="continue"/>
            <w:vAlign w:val="center"/>
          </w:tcPr>
          <w:p w14:paraId="408F1666">
            <w:pPr>
              <w:pStyle w:val="180"/>
              <w:bidi w:val="0"/>
              <w:spacing w:line="240" w:lineRule="auto"/>
              <w:jc w:val="center"/>
              <w:rPr>
                <w:rFonts w:hint="eastAsia" w:ascii="宋体" w:hAnsi="宋体" w:eastAsia="宋体" w:cs="宋体"/>
                <w:lang w:val="en-US"/>
              </w:rPr>
            </w:pPr>
          </w:p>
        </w:tc>
        <w:tc>
          <w:tcPr>
            <w:tcW w:w="1260" w:type="dxa"/>
            <w:vMerge w:val="restart"/>
            <w:tcBorders>
              <w:top w:val="single" w:color="auto" w:sz="8" w:space="0"/>
            </w:tcBorders>
            <w:vAlign w:val="center"/>
          </w:tcPr>
          <w:p w14:paraId="0311E20C">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总 量</w:t>
            </w:r>
          </w:p>
        </w:tc>
        <w:tc>
          <w:tcPr>
            <w:tcW w:w="2419" w:type="dxa"/>
            <w:gridSpan w:val="2"/>
            <w:tcBorders>
              <w:top w:val="single" w:color="auto" w:sz="8" w:space="0"/>
            </w:tcBorders>
            <w:vAlign w:val="center"/>
          </w:tcPr>
          <w:p w14:paraId="229B86CF">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其 中</w:t>
            </w:r>
          </w:p>
        </w:tc>
        <w:tc>
          <w:tcPr>
            <w:tcW w:w="1365" w:type="dxa"/>
            <w:vMerge w:val="continue"/>
            <w:vAlign w:val="center"/>
          </w:tcPr>
          <w:p w14:paraId="2079C1CA">
            <w:pPr>
              <w:pStyle w:val="180"/>
              <w:bidi w:val="0"/>
              <w:spacing w:line="240" w:lineRule="auto"/>
              <w:jc w:val="center"/>
              <w:rPr>
                <w:rFonts w:hint="eastAsia" w:ascii="宋体" w:hAnsi="宋体" w:eastAsia="宋体" w:cs="宋体"/>
                <w:lang w:val="en-US"/>
              </w:rPr>
            </w:pPr>
          </w:p>
        </w:tc>
        <w:tc>
          <w:tcPr>
            <w:tcW w:w="1365" w:type="dxa"/>
            <w:vMerge w:val="continue"/>
            <w:vAlign w:val="center"/>
          </w:tcPr>
          <w:p w14:paraId="6D26C0CD">
            <w:pPr>
              <w:pStyle w:val="180"/>
              <w:bidi w:val="0"/>
              <w:spacing w:line="240" w:lineRule="auto"/>
              <w:jc w:val="center"/>
              <w:rPr>
                <w:rFonts w:hint="eastAsia" w:ascii="宋体" w:hAnsi="宋体" w:eastAsia="宋体" w:cs="宋体"/>
                <w:lang w:val="en-US"/>
              </w:rPr>
            </w:pPr>
          </w:p>
        </w:tc>
        <w:tc>
          <w:tcPr>
            <w:tcW w:w="1366" w:type="dxa"/>
            <w:vMerge w:val="continue"/>
            <w:vAlign w:val="center"/>
          </w:tcPr>
          <w:p w14:paraId="1D127CCE">
            <w:pPr>
              <w:pStyle w:val="180"/>
              <w:bidi w:val="0"/>
              <w:spacing w:line="240" w:lineRule="auto"/>
              <w:jc w:val="center"/>
              <w:rPr>
                <w:rFonts w:hint="eastAsia" w:ascii="宋体" w:hAnsi="宋体" w:eastAsia="宋体" w:cs="宋体"/>
                <w:lang w:val="en-US"/>
              </w:rPr>
            </w:pPr>
          </w:p>
        </w:tc>
      </w:tr>
      <w:tr w14:paraId="7F2BEE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79" w:type="dxa"/>
            <w:vMerge w:val="continue"/>
            <w:vAlign w:val="center"/>
          </w:tcPr>
          <w:p w14:paraId="141BE739">
            <w:pPr>
              <w:pStyle w:val="180"/>
              <w:bidi w:val="0"/>
              <w:spacing w:line="240" w:lineRule="auto"/>
              <w:jc w:val="center"/>
              <w:rPr>
                <w:rFonts w:hint="eastAsia" w:ascii="宋体" w:hAnsi="宋体" w:eastAsia="宋体" w:cs="宋体"/>
                <w:lang w:val="en-US"/>
              </w:rPr>
            </w:pPr>
          </w:p>
        </w:tc>
        <w:tc>
          <w:tcPr>
            <w:tcW w:w="1260" w:type="dxa"/>
            <w:vMerge w:val="continue"/>
            <w:vAlign w:val="center"/>
          </w:tcPr>
          <w:p w14:paraId="00D6DD8B">
            <w:pPr>
              <w:pStyle w:val="180"/>
              <w:bidi w:val="0"/>
              <w:spacing w:line="240" w:lineRule="auto"/>
              <w:jc w:val="center"/>
              <w:rPr>
                <w:rFonts w:hint="eastAsia" w:ascii="宋体" w:hAnsi="宋体" w:eastAsia="宋体" w:cs="宋体"/>
                <w:lang w:val="en-US"/>
              </w:rPr>
            </w:pPr>
          </w:p>
        </w:tc>
        <w:tc>
          <w:tcPr>
            <w:tcW w:w="1290" w:type="dxa"/>
            <w:vAlign w:val="center"/>
          </w:tcPr>
          <w:p w14:paraId="2E4C3743">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粟 粒</w:t>
            </w:r>
          </w:p>
        </w:tc>
        <w:tc>
          <w:tcPr>
            <w:tcW w:w="1129" w:type="dxa"/>
            <w:vAlign w:val="center"/>
          </w:tcPr>
          <w:p w14:paraId="78085993">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无机杂质</w:t>
            </w:r>
          </w:p>
        </w:tc>
        <w:tc>
          <w:tcPr>
            <w:tcW w:w="1365" w:type="dxa"/>
            <w:vMerge w:val="continue"/>
            <w:vAlign w:val="center"/>
          </w:tcPr>
          <w:p w14:paraId="5BF223D3">
            <w:pPr>
              <w:pStyle w:val="180"/>
              <w:bidi w:val="0"/>
              <w:spacing w:line="240" w:lineRule="auto"/>
              <w:jc w:val="center"/>
              <w:rPr>
                <w:rFonts w:hint="eastAsia" w:ascii="宋体" w:hAnsi="宋体" w:eastAsia="宋体" w:cs="宋体"/>
                <w:lang w:val="en-US"/>
              </w:rPr>
            </w:pPr>
          </w:p>
        </w:tc>
        <w:tc>
          <w:tcPr>
            <w:tcW w:w="1365" w:type="dxa"/>
            <w:vMerge w:val="continue"/>
            <w:vAlign w:val="center"/>
          </w:tcPr>
          <w:p w14:paraId="3386ACBB">
            <w:pPr>
              <w:pStyle w:val="180"/>
              <w:bidi w:val="0"/>
              <w:spacing w:line="240" w:lineRule="auto"/>
              <w:jc w:val="center"/>
              <w:rPr>
                <w:rFonts w:hint="eastAsia" w:ascii="宋体" w:hAnsi="宋体" w:eastAsia="宋体" w:cs="宋体"/>
                <w:lang w:val="en-US"/>
              </w:rPr>
            </w:pPr>
          </w:p>
        </w:tc>
        <w:tc>
          <w:tcPr>
            <w:tcW w:w="1366" w:type="dxa"/>
            <w:vMerge w:val="continue"/>
            <w:vAlign w:val="center"/>
          </w:tcPr>
          <w:p w14:paraId="0B5EC83C">
            <w:pPr>
              <w:pStyle w:val="180"/>
              <w:bidi w:val="0"/>
              <w:spacing w:line="240" w:lineRule="auto"/>
              <w:jc w:val="center"/>
              <w:rPr>
                <w:rFonts w:hint="eastAsia" w:ascii="宋体" w:hAnsi="宋体" w:eastAsia="宋体" w:cs="宋体"/>
                <w:lang w:val="en-US"/>
              </w:rPr>
            </w:pPr>
          </w:p>
        </w:tc>
      </w:tr>
      <w:tr w14:paraId="5AF74F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58" w:hRule="atLeast"/>
          <w:jc w:val="center"/>
        </w:trPr>
        <w:tc>
          <w:tcPr>
            <w:tcW w:w="1779" w:type="dxa"/>
            <w:vAlign w:val="center"/>
          </w:tcPr>
          <w:p w14:paraId="6A747E7E">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≤3.0</w:t>
            </w:r>
          </w:p>
        </w:tc>
        <w:tc>
          <w:tcPr>
            <w:tcW w:w="1260" w:type="dxa"/>
            <w:vAlign w:val="center"/>
          </w:tcPr>
          <w:p w14:paraId="0E49EDA0">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 3.0</w:t>
            </w:r>
          </w:p>
        </w:tc>
        <w:tc>
          <w:tcPr>
            <w:tcW w:w="1290" w:type="dxa"/>
            <w:vAlign w:val="center"/>
          </w:tcPr>
          <w:p w14:paraId="020F3ADD">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≤0.7</w:t>
            </w:r>
          </w:p>
        </w:tc>
        <w:tc>
          <w:tcPr>
            <w:tcW w:w="1129" w:type="dxa"/>
            <w:vAlign w:val="center"/>
          </w:tcPr>
          <w:p w14:paraId="76DCEAAC">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≤0.02</w:t>
            </w:r>
          </w:p>
        </w:tc>
        <w:tc>
          <w:tcPr>
            <w:tcW w:w="1365" w:type="dxa"/>
            <w:vAlign w:val="center"/>
          </w:tcPr>
          <w:p w14:paraId="617EF9CF">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≤5.0</w:t>
            </w:r>
          </w:p>
        </w:tc>
        <w:tc>
          <w:tcPr>
            <w:tcW w:w="1365" w:type="dxa"/>
            <w:vAlign w:val="center"/>
          </w:tcPr>
          <w:p w14:paraId="50389DEB">
            <w:pPr>
              <w:pStyle w:val="180"/>
              <w:bidi w:val="0"/>
              <w:spacing w:line="240" w:lineRule="auto"/>
              <w:jc w:val="center"/>
              <w:rPr>
                <w:rFonts w:hint="eastAsia" w:ascii="宋体" w:hAnsi="宋体" w:eastAsia="宋体" w:cs="宋体"/>
                <w:lang w:val="en-US"/>
              </w:rPr>
            </w:pPr>
            <w:r>
              <w:rPr>
                <w:rFonts w:hint="eastAsia" w:ascii="宋体" w:hAnsi="宋体" w:eastAsia="宋体" w:cs="宋体"/>
                <w:lang w:val="en-US" w:eastAsia="zh-CN"/>
              </w:rPr>
              <w:t>≤13.0</w:t>
            </w:r>
          </w:p>
        </w:tc>
        <w:tc>
          <w:tcPr>
            <w:tcW w:w="1366" w:type="dxa"/>
            <w:vAlign w:val="center"/>
          </w:tcPr>
          <w:p w14:paraId="3E0C779F">
            <w:pPr>
              <w:pStyle w:val="180"/>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正 常</w:t>
            </w:r>
          </w:p>
        </w:tc>
      </w:tr>
    </w:tbl>
    <w:p w14:paraId="0EAA6D32">
      <w:pPr>
        <w:pStyle w:val="58"/>
        <w:bidi w:val="0"/>
        <w:rPr>
          <w:rFonts w:hint="default"/>
          <w:lang w:val="en-US"/>
        </w:rPr>
      </w:pPr>
    </w:p>
    <w:p w14:paraId="3E9996DD">
      <w:pPr>
        <w:pStyle w:val="58"/>
        <w:bidi w:val="0"/>
        <w:rPr>
          <w:rFonts w:hint="default"/>
          <w:lang w:val="en-US"/>
        </w:rPr>
      </w:pPr>
    </w:p>
    <w:p w14:paraId="493F0C0A">
      <w:pPr>
        <w:pStyle w:val="107"/>
        <w:bidi w:val="0"/>
        <w:rPr>
          <w:rFonts w:hint="eastAsia"/>
          <w:lang w:val="en-US" w:eastAsia="zh-CN"/>
        </w:rPr>
      </w:pPr>
      <w:r>
        <w:rPr>
          <w:rFonts w:hint="eastAsia"/>
          <w:lang w:val="en-US" w:eastAsia="zh-CN"/>
        </w:rPr>
        <w:t>理化指标</w:t>
      </w:r>
    </w:p>
    <w:p w14:paraId="35AD9E19">
      <w:pPr>
        <w:pStyle w:val="58"/>
        <w:bidi w:val="0"/>
        <w:rPr>
          <w:rFonts w:hint="eastAsia" w:ascii="宋体" w:hAnsi="宋体" w:eastAsia="宋体" w:cs="宋体"/>
          <w:lang w:val="en-US" w:eastAsia="zh-CN"/>
        </w:rPr>
      </w:pPr>
      <w:r>
        <w:rPr>
          <w:rFonts w:hint="eastAsia" w:ascii="宋体" w:hAnsi="宋体" w:cs="宋体"/>
          <w:lang w:val="en-US" w:eastAsia="zh-CN"/>
        </w:rPr>
        <w:t>理化指标</w:t>
      </w:r>
      <w:r>
        <w:rPr>
          <w:rFonts w:hint="eastAsia" w:ascii="宋体" w:hAnsi="宋体" w:eastAsia="宋体" w:cs="宋体"/>
          <w:lang w:val="en-US" w:eastAsia="zh-CN"/>
        </w:rPr>
        <w:t>应符合表</w:t>
      </w:r>
      <w:r>
        <w:rPr>
          <w:rFonts w:hint="eastAsia" w:ascii="宋体" w:hAnsi="宋体" w:cs="宋体"/>
          <w:lang w:val="en-US" w:eastAsia="zh-CN"/>
        </w:rPr>
        <w:t>3</w:t>
      </w:r>
      <w:r>
        <w:rPr>
          <w:rFonts w:hint="eastAsia" w:ascii="宋体" w:hAnsi="宋体" w:eastAsia="宋体" w:cs="宋体"/>
          <w:lang w:val="en-US" w:eastAsia="zh-CN"/>
        </w:rPr>
        <w:t>的规定。</w:t>
      </w:r>
    </w:p>
    <w:p w14:paraId="5C63BC61">
      <w:pPr>
        <w:pStyle w:val="114"/>
        <w:bidi w:val="0"/>
        <w:rPr>
          <w:rFonts w:hint="default"/>
          <w:lang w:val="en-US"/>
        </w:rPr>
      </w:pPr>
      <w:r>
        <w:rPr>
          <w:rFonts w:hint="eastAsia"/>
          <w:lang w:val="en-US" w:eastAsia="zh-CN"/>
        </w:rPr>
        <w:t>理化指标</w:t>
      </w:r>
    </w:p>
    <w:tbl>
      <w:tblPr>
        <w:tblStyle w:val="28"/>
        <w:tblW w:w="955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42"/>
        <w:gridCol w:w="4908"/>
      </w:tblGrid>
      <w:tr w14:paraId="1385CF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0" w:hRule="atLeast"/>
          <w:tblHeader/>
          <w:jc w:val="center"/>
        </w:trPr>
        <w:tc>
          <w:tcPr>
            <w:tcW w:w="4642" w:type="dxa"/>
            <w:tcBorders>
              <w:bottom w:val="single" w:color="auto" w:sz="8" w:space="0"/>
            </w:tcBorders>
            <w:vAlign w:val="center"/>
          </w:tcPr>
          <w:p w14:paraId="73E50C67">
            <w:pPr>
              <w:pStyle w:val="180"/>
              <w:bidi w:val="0"/>
              <w:snapToGrid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项</w:t>
            </w:r>
            <w:r>
              <w:rPr>
                <w:rFonts w:hint="eastAsia" w:ascii="宋体" w:hAnsi="宋体" w:cs="宋体"/>
                <w:lang w:val="en-US" w:eastAsia="zh-CN"/>
              </w:rPr>
              <w:t xml:space="preserve"> </w:t>
            </w:r>
            <w:r>
              <w:rPr>
                <w:rFonts w:hint="eastAsia" w:ascii="宋体" w:hAnsi="宋体" w:eastAsia="宋体" w:cs="宋体"/>
                <w:lang w:val="en-US" w:eastAsia="zh-CN"/>
              </w:rPr>
              <w:t>目</w:t>
            </w:r>
          </w:p>
        </w:tc>
        <w:tc>
          <w:tcPr>
            <w:tcW w:w="4908" w:type="dxa"/>
            <w:tcBorders>
              <w:bottom w:val="single" w:color="auto" w:sz="8" w:space="0"/>
            </w:tcBorders>
            <w:vAlign w:val="center"/>
          </w:tcPr>
          <w:p w14:paraId="6C7082D6">
            <w:pPr>
              <w:pStyle w:val="180"/>
              <w:bidi w:val="0"/>
              <w:snapToGrid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指</w:t>
            </w:r>
            <w:r>
              <w:rPr>
                <w:rFonts w:hint="eastAsia" w:ascii="宋体" w:hAnsi="宋体" w:cs="宋体"/>
                <w:lang w:val="en-US" w:eastAsia="zh-CN"/>
              </w:rPr>
              <w:t xml:space="preserve"> </w:t>
            </w:r>
            <w:r>
              <w:rPr>
                <w:rFonts w:hint="eastAsia" w:ascii="宋体" w:hAnsi="宋体" w:eastAsia="宋体" w:cs="宋体"/>
                <w:lang w:val="en-US" w:eastAsia="zh-CN"/>
              </w:rPr>
              <w:t>标</w:t>
            </w:r>
          </w:p>
        </w:tc>
      </w:tr>
      <w:tr w14:paraId="538C46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0" w:hRule="atLeast"/>
          <w:jc w:val="center"/>
        </w:trPr>
        <w:tc>
          <w:tcPr>
            <w:tcW w:w="4642" w:type="dxa"/>
            <w:tcBorders>
              <w:top w:val="single" w:color="auto" w:sz="8" w:space="0"/>
              <w:bottom w:val="single" w:color="auto" w:sz="8" w:space="0"/>
            </w:tcBorders>
            <w:vAlign w:val="center"/>
          </w:tcPr>
          <w:p w14:paraId="33A4033D">
            <w:pPr>
              <w:pStyle w:val="180"/>
              <w:bidi w:val="0"/>
              <w:snapToGrid w:val="0"/>
              <w:spacing w:line="240" w:lineRule="auto"/>
              <w:ind w:left="0" w:leftChars="0" w:right="0" w:rightChars="0"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蛋白质</w:t>
            </w:r>
            <w:r>
              <w:rPr>
                <w:rFonts w:hint="eastAsia" w:ascii="宋体" w:hAnsi="宋体" w:cs="宋体"/>
                <w:lang w:val="en-US" w:eastAsia="zh-CN"/>
              </w:rPr>
              <w:t xml:space="preserve"> </w:t>
            </w:r>
            <w:r>
              <w:rPr>
                <w:rFonts w:hint="eastAsia" w:ascii="宋体" w:hAnsi="宋体" w:eastAsia="宋体" w:cs="宋体"/>
                <w:lang w:val="en-US" w:eastAsia="zh-CN"/>
              </w:rPr>
              <w:t>(</w:t>
            </w:r>
            <w:r>
              <w:rPr>
                <w:rStyle w:val="30"/>
                <w:rFonts w:hint="eastAsia" w:ascii="宋体" w:hAnsi="宋体" w:eastAsia="宋体" w:cs="宋体"/>
                <w:b w:val="0"/>
                <w:bCs w:val="0"/>
                <w:i w:val="0"/>
                <w:iCs w:val="0"/>
                <w:caps w:val="0"/>
                <w:color w:val="333333"/>
                <w:spacing w:val="0"/>
                <w:sz w:val="18"/>
                <w:szCs w:val="18"/>
                <w:shd w:val="clear" w:fill="FFFFFF"/>
              </w:rPr>
              <w:t>g/100g</w:t>
            </w:r>
            <w:r>
              <w:rPr>
                <w:rFonts w:hint="eastAsia" w:ascii="宋体" w:hAnsi="宋体" w:eastAsia="宋体" w:cs="宋体"/>
                <w:lang w:val="en-US" w:eastAsia="zh-CN"/>
              </w:rPr>
              <w:t>)</w:t>
            </w:r>
          </w:p>
        </w:tc>
        <w:tc>
          <w:tcPr>
            <w:tcW w:w="4908" w:type="dxa"/>
            <w:tcBorders>
              <w:top w:val="single" w:color="auto" w:sz="8" w:space="0"/>
              <w:bottom w:val="single" w:color="auto" w:sz="8" w:space="0"/>
            </w:tcBorders>
            <w:vAlign w:val="center"/>
          </w:tcPr>
          <w:p w14:paraId="27A53E8F">
            <w:pPr>
              <w:pStyle w:val="180"/>
              <w:bidi w:val="0"/>
              <w:snapToGrid w:val="0"/>
              <w:spacing w:line="240" w:lineRule="auto"/>
              <w:ind w:left="0" w:leftChars="0" w:right="0" w:rightChars="0" w:firstLine="0" w:firstLineChars="0"/>
              <w:jc w:val="center"/>
              <w:rPr>
                <w:rFonts w:hint="default" w:ascii="宋体" w:hAnsi="宋体" w:eastAsia="宋体" w:cs="宋体"/>
                <w:highlight w:val="none"/>
                <w:lang w:val="en-US" w:eastAsia="zh-CN"/>
              </w:rPr>
            </w:pPr>
            <w:r>
              <w:rPr>
                <w:rFonts w:hint="eastAsia" w:ascii="宋体" w:hAnsi="宋体" w:cs="宋体"/>
                <w:highlight w:val="none"/>
                <w:lang w:val="en-US" w:eastAsia="zh-CN"/>
              </w:rPr>
              <w:t>≥8</w:t>
            </w:r>
          </w:p>
        </w:tc>
      </w:tr>
      <w:tr w14:paraId="467C1E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0" w:hRule="atLeast"/>
          <w:jc w:val="center"/>
        </w:trPr>
        <w:tc>
          <w:tcPr>
            <w:tcW w:w="4642" w:type="dxa"/>
            <w:tcBorders>
              <w:top w:val="single" w:color="auto" w:sz="8" w:space="0"/>
              <w:bottom w:val="single" w:color="auto" w:sz="8" w:space="0"/>
            </w:tcBorders>
            <w:vAlign w:val="center"/>
          </w:tcPr>
          <w:p w14:paraId="7636188E">
            <w:pPr>
              <w:pStyle w:val="180"/>
              <w:bidi w:val="0"/>
              <w:snapToGrid w:val="0"/>
              <w:spacing w:line="240" w:lineRule="auto"/>
              <w:ind w:left="0" w:leftChars="0" w:right="0" w:rightChars="0"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脂肪</w:t>
            </w:r>
            <w:r>
              <w:rPr>
                <w:rFonts w:hint="eastAsia" w:ascii="宋体" w:hAnsi="宋体" w:cs="宋体"/>
                <w:lang w:val="en-US" w:eastAsia="zh-CN"/>
              </w:rPr>
              <w:t xml:space="preserve"> </w:t>
            </w:r>
            <w:r>
              <w:rPr>
                <w:rFonts w:hint="eastAsia" w:ascii="宋体" w:hAnsi="宋体" w:eastAsia="宋体" w:cs="宋体"/>
                <w:lang w:val="en-US" w:eastAsia="zh-CN"/>
              </w:rPr>
              <w:t>(</w:t>
            </w:r>
            <w:r>
              <w:rPr>
                <w:rStyle w:val="30"/>
                <w:rFonts w:hint="eastAsia" w:ascii="宋体" w:hAnsi="宋体" w:eastAsia="宋体" w:cs="宋体"/>
                <w:b w:val="0"/>
                <w:bCs w:val="0"/>
                <w:i w:val="0"/>
                <w:iCs w:val="0"/>
                <w:caps w:val="0"/>
                <w:color w:val="333333"/>
                <w:spacing w:val="0"/>
                <w:sz w:val="18"/>
                <w:szCs w:val="18"/>
                <w:shd w:val="clear" w:fill="FFFFFF"/>
              </w:rPr>
              <w:t>g/100g</w:t>
            </w:r>
            <w:r>
              <w:rPr>
                <w:rFonts w:hint="eastAsia" w:ascii="宋体" w:hAnsi="宋体" w:eastAsia="宋体" w:cs="宋体"/>
                <w:lang w:val="en-US" w:eastAsia="zh-CN"/>
              </w:rPr>
              <w:t>)</w:t>
            </w:r>
          </w:p>
        </w:tc>
        <w:tc>
          <w:tcPr>
            <w:tcW w:w="4908" w:type="dxa"/>
            <w:tcBorders>
              <w:top w:val="single" w:color="auto" w:sz="8" w:space="0"/>
              <w:bottom w:val="single" w:color="auto" w:sz="8" w:space="0"/>
            </w:tcBorders>
            <w:vAlign w:val="center"/>
          </w:tcPr>
          <w:p w14:paraId="53A084EE">
            <w:pPr>
              <w:pStyle w:val="180"/>
              <w:bidi w:val="0"/>
              <w:snapToGrid w:val="0"/>
              <w:spacing w:line="240" w:lineRule="auto"/>
              <w:ind w:left="0" w:leftChars="0" w:right="0" w:rightChars="0" w:firstLine="0" w:firstLineChars="0"/>
              <w:jc w:val="center"/>
              <w:rPr>
                <w:rFonts w:hint="default" w:ascii="宋体" w:hAnsi="宋体" w:eastAsia="宋体" w:cs="宋体"/>
                <w:highlight w:val="none"/>
                <w:lang w:val="en-US" w:eastAsia="zh-CN"/>
              </w:rPr>
            </w:pPr>
            <w:r>
              <w:rPr>
                <w:rFonts w:hint="eastAsia" w:ascii="宋体" w:hAnsi="宋体" w:cs="宋体"/>
                <w:highlight w:val="none"/>
                <w:lang w:val="en-US" w:eastAsia="zh-CN"/>
              </w:rPr>
              <w:t>≥2.8</w:t>
            </w:r>
          </w:p>
        </w:tc>
      </w:tr>
      <w:tr w14:paraId="39AF29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0" w:hRule="atLeast"/>
          <w:jc w:val="center"/>
        </w:trPr>
        <w:tc>
          <w:tcPr>
            <w:tcW w:w="4642" w:type="dxa"/>
            <w:tcBorders>
              <w:top w:val="single" w:color="auto" w:sz="8" w:space="0"/>
              <w:bottom w:val="single" w:color="auto" w:sz="8" w:space="0"/>
            </w:tcBorders>
            <w:vAlign w:val="center"/>
          </w:tcPr>
          <w:p w14:paraId="04AC0F9E">
            <w:pPr>
              <w:pStyle w:val="180"/>
              <w:bidi w:val="0"/>
              <w:snapToGrid w:val="0"/>
              <w:spacing w:line="240" w:lineRule="auto"/>
              <w:ind w:left="0" w:leftChars="0" w:right="0" w:rightChars="0" w:firstLine="0" w:firstLineChars="0"/>
              <w:jc w:val="center"/>
              <w:rPr>
                <w:rFonts w:hint="eastAsia" w:ascii="宋体" w:hAnsi="宋体" w:eastAsia="宋体" w:cs="宋体"/>
                <w:lang w:val="en-US" w:eastAsia="zh-CN"/>
              </w:rPr>
            </w:pPr>
            <w:r>
              <w:rPr>
                <w:rFonts w:hint="eastAsia" w:ascii="宋体" w:hAnsi="宋体" w:cs="宋体"/>
                <w:lang w:val="en-US" w:eastAsia="zh-CN"/>
              </w:rPr>
              <w:t>直</w:t>
            </w:r>
            <w:r>
              <w:rPr>
                <w:rFonts w:hint="eastAsia" w:ascii="宋体" w:hAnsi="宋体" w:eastAsia="宋体" w:cs="宋体"/>
                <w:lang w:val="en-US" w:eastAsia="zh-CN"/>
              </w:rPr>
              <w:t>链淀粉</w:t>
            </w:r>
            <w:r>
              <w:rPr>
                <w:rFonts w:hint="eastAsia" w:ascii="宋体" w:hAnsi="宋体" w:cs="宋体"/>
                <w:lang w:val="en-US" w:eastAsia="zh-CN"/>
              </w:rPr>
              <w:t>(</w:t>
            </w:r>
            <w:r>
              <w:rPr>
                <w:rFonts w:hint="eastAsia" w:ascii="宋体" w:hAnsi="宋体" w:eastAsia="宋体" w:cs="宋体"/>
                <w:lang w:val="en-US" w:eastAsia="zh-CN"/>
              </w:rPr>
              <w:t>%</w:t>
            </w:r>
            <w:r>
              <w:rPr>
                <w:rFonts w:hint="eastAsia" w:ascii="宋体" w:hAnsi="宋体" w:cs="宋体"/>
                <w:lang w:val="en-US" w:eastAsia="zh-CN"/>
              </w:rPr>
              <w:t>)</w:t>
            </w:r>
          </w:p>
        </w:tc>
        <w:tc>
          <w:tcPr>
            <w:tcW w:w="4908" w:type="dxa"/>
            <w:tcBorders>
              <w:top w:val="single" w:color="auto" w:sz="8" w:space="0"/>
              <w:bottom w:val="single" w:color="auto" w:sz="8" w:space="0"/>
            </w:tcBorders>
            <w:vAlign w:val="center"/>
          </w:tcPr>
          <w:p w14:paraId="41012206">
            <w:pPr>
              <w:pStyle w:val="180"/>
              <w:bidi w:val="0"/>
              <w:snapToGrid w:val="0"/>
              <w:spacing w:line="240" w:lineRule="auto"/>
              <w:ind w:left="0" w:leftChars="0" w:right="0" w:rightChars="0" w:firstLine="0" w:firstLineChars="0"/>
              <w:jc w:val="center"/>
              <w:rPr>
                <w:rFonts w:hint="default" w:ascii="宋体" w:hAnsi="宋体" w:eastAsia="宋体" w:cs="宋体"/>
                <w:highlight w:val="none"/>
                <w:lang w:val="en-US" w:eastAsia="zh-CN"/>
              </w:rPr>
            </w:pPr>
            <w:r>
              <w:rPr>
                <w:rFonts w:hint="eastAsia" w:ascii="宋体" w:hAnsi="宋体" w:cs="宋体"/>
                <w:highlight w:val="none"/>
                <w:lang w:val="en-US" w:eastAsia="zh-CN"/>
              </w:rPr>
              <w:t xml:space="preserve">12.0 </w:t>
            </w:r>
            <w:r>
              <w:rPr>
                <w:rFonts w:hint="eastAsia" w:ascii="宋体" w:hAnsi="宋体" w:eastAsia="宋体" w:cs="宋体"/>
                <w:highlight w:val="none"/>
              </w:rPr>
              <w:t>～</w:t>
            </w:r>
            <w:r>
              <w:rPr>
                <w:rFonts w:hint="eastAsia" w:ascii="宋体" w:hAnsi="宋体" w:cs="宋体"/>
                <w:highlight w:val="none"/>
                <w:lang w:val="en-US" w:eastAsia="zh-CN"/>
              </w:rPr>
              <w:t>18.0</w:t>
            </w:r>
          </w:p>
        </w:tc>
      </w:tr>
      <w:tr w14:paraId="3487C1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0" w:hRule="atLeast"/>
          <w:jc w:val="center"/>
        </w:trPr>
        <w:tc>
          <w:tcPr>
            <w:tcW w:w="4642" w:type="dxa"/>
            <w:tcBorders>
              <w:top w:val="single" w:color="auto" w:sz="8" w:space="0"/>
              <w:bottom w:val="single" w:color="auto" w:sz="8" w:space="0"/>
            </w:tcBorders>
            <w:vAlign w:val="center"/>
          </w:tcPr>
          <w:p w14:paraId="21909BAB">
            <w:pPr>
              <w:pStyle w:val="180"/>
              <w:bidi w:val="0"/>
              <w:snapToGrid w:val="0"/>
              <w:spacing w:line="240" w:lineRule="auto"/>
              <w:ind w:left="0" w:leftChars="0" w:right="0" w:rightChars="0" w:firstLine="0" w:firstLineChars="0"/>
              <w:jc w:val="center"/>
              <w:rPr>
                <w:rFonts w:hint="default" w:ascii="宋体" w:hAnsi="宋体" w:cs="宋体"/>
                <w:lang w:val="en-US" w:eastAsia="zh-CN"/>
              </w:rPr>
            </w:pPr>
            <w:r>
              <w:rPr>
                <w:rFonts w:hint="eastAsia" w:ascii="宋体" w:hAnsi="宋体" w:eastAsia="宋体" w:cs="宋体"/>
                <w:lang w:val="en-US" w:eastAsia="zh-CN"/>
              </w:rPr>
              <w:t>淀粉（g/100g）</w:t>
            </w:r>
          </w:p>
        </w:tc>
        <w:tc>
          <w:tcPr>
            <w:tcW w:w="4908" w:type="dxa"/>
            <w:tcBorders>
              <w:top w:val="single" w:color="auto" w:sz="8" w:space="0"/>
              <w:bottom w:val="single" w:color="auto" w:sz="8" w:space="0"/>
            </w:tcBorders>
            <w:vAlign w:val="center"/>
          </w:tcPr>
          <w:p w14:paraId="3D7E7E9E">
            <w:pPr>
              <w:pStyle w:val="180"/>
              <w:bidi w:val="0"/>
              <w:snapToGrid w:val="0"/>
              <w:spacing w:line="240" w:lineRule="auto"/>
              <w:ind w:left="0" w:leftChars="0" w:right="0" w:rightChars="0" w:firstLine="0" w:firstLineChars="0"/>
              <w:jc w:val="center"/>
              <w:rPr>
                <w:rFonts w:hint="default" w:ascii="宋体" w:hAnsi="宋体" w:cs="宋体"/>
                <w:highlight w:val="none"/>
                <w:lang w:val="en-US" w:eastAsia="zh-CN"/>
              </w:rPr>
            </w:pPr>
            <w:r>
              <w:rPr>
                <w:rFonts w:hint="eastAsia" w:ascii="宋体" w:hAnsi="宋体" w:cs="宋体"/>
                <w:highlight w:val="none"/>
                <w:lang w:val="en-US" w:eastAsia="zh-CN"/>
              </w:rPr>
              <w:t>≥67.6</w:t>
            </w:r>
          </w:p>
        </w:tc>
      </w:tr>
    </w:tbl>
    <w:p w14:paraId="62FF7DB1">
      <w:pPr>
        <w:pStyle w:val="107"/>
        <w:bidi w:val="0"/>
        <w:rPr>
          <w:rFonts w:hint="default"/>
          <w:lang w:val="en-US" w:eastAsia="zh-CN"/>
        </w:rPr>
      </w:pPr>
      <w:r>
        <w:rPr>
          <w:rFonts w:hint="eastAsia"/>
          <w:lang w:val="en-US" w:eastAsia="zh-CN"/>
        </w:rPr>
        <w:t>安全及其他质量技术要求</w:t>
      </w:r>
    </w:p>
    <w:p w14:paraId="519D9E53">
      <w:pPr>
        <w:pStyle w:val="58"/>
        <w:rPr>
          <w:rFonts w:hint="default"/>
          <w:lang w:val="en-US" w:eastAsia="zh-CN"/>
        </w:rPr>
      </w:pPr>
      <w:r>
        <w:rPr>
          <w:rFonts w:hint="eastAsia"/>
          <w:lang w:val="en-US" w:eastAsia="zh-CN"/>
        </w:rPr>
        <w:t>产品安全及其他质量技术要求应符合国家相关规定。</w:t>
      </w:r>
    </w:p>
    <w:p w14:paraId="5D265230">
      <w:pPr>
        <w:pStyle w:val="107"/>
        <w:bidi w:val="0"/>
        <w:rPr>
          <w:rFonts w:hint="default"/>
          <w:lang w:val="en-US" w:eastAsia="zh-CN"/>
        </w:rPr>
      </w:pPr>
      <w:r>
        <w:rPr>
          <w:rFonts w:hint="eastAsia"/>
          <w:lang w:val="en-US" w:eastAsia="zh-CN"/>
        </w:rPr>
        <w:t>净含量</w:t>
      </w:r>
    </w:p>
    <w:p w14:paraId="51ACA651">
      <w:pPr>
        <w:pStyle w:val="58"/>
        <w:ind w:firstLine="400"/>
        <w:rPr>
          <w:rFonts w:hint="eastAsia" w:ascii="宋体" w:hAnsi="宋体" w:eastAsia="宋体" w:cs="宋体"/>
          <w:lang w:val="en-US" w:eastAsia="zh-CN"/>
        </w:rPr>
      </w:pPr>
      <w:bookmarkStart w:id="44" w:name="OLE_LINK16"/>
      <w:bookmarkStart w:id="45" w:name="OLE_LINK17"/>
      <w:r>
        <w:rPr>
          <w:rFonts w:ascii="宋体" w:hAnsi="宋体" w:cs="宋体"/>
          <w:color w:val="000000"/>
          <w:sz w:val="21"/>
          <w:szCs w:val="21"/>
        </w:rPr>
        <w:t>应符合</w:t>
      </w:r>
      <w:r>
        <w:rPr>
          <w:rFonts w:hint="eastAsia" w:ascii="宋体" w:cs="Times New Roman"/>
          <w:sz w:val="21"/>
          <w:lang w:val="en-US" w:eastAsia="zh-CN" w:bidi="ar-SA"/>
        </w:rPr>
        <w:t>国家市场监督管理总局</w:t>
      </w:r>
      <w:r>
        <w:rPr>
          <w:rFonts w:ascii="宋体" w:hAnsi="宋体" w:cs="宋体"/>
          <w:color w:val="000000"/>
          <w:sz w:val="21"/>
          <w:szCs w:val="21"/>
        </w:rPr>
        <w:t>《定量包装商品计量监督管理办法》。</w:t>
      </w:r>
      <w:bookmarkEnd w:id="44"/>
      <w:bookmarkEnd w:id="45"/>
    </w:p>
    <w:p w14:paraId="0362554D">
      <w:pPr>
        <w:pStyle w:val="106"/>
        <w:bidi w:val="0"/>
        <w:rPr>
          <w:rFonts w:hint="eastAsia"/>
          <w:lang w:val="en-US" w:eastAsia="zh-CN"/>
        </w:rPr>
      </w:pPr>
      <w:r>
        <w:rPr>
          <w:rFonts w:hint="eastAsia"/>
          <w:lang w:val="en-US" w:eastAsia="zh-CN"/>
        </w:rPr>
        <w:t>检验方法</w:t>
      </w:r>
    </w:p>
    <w:p w14:paraId="38102396">
      <w:pPr>
        <w:pStyle w:val="107"/>
        <w:bidi w:val="0"/>
        <w:rPr>
          <w:rFonts w:hint="eastAsia"/>
          <w:lang w:val="en-US" w:eastAsia="zh-CN"/>
        </w:rPr>
      </w:pPr>
      <w:r>
        <w:rPr>
          <w:rFonts w:hint="eastAsia"/>
          <w:lang w:val="en-US" w:eastAsia="zh-CN"/>
        </w:rPr>
        <w:t>感官指标</w:t>
      </w:r>
    </w:p>
    <w:p w14:paraId="7B67A6A0">
      <w:pPr>
        <w:pStyle w:val="67"/>
        <w:bidi w:val="0"/>
        <w:rPr>
          <w:rFonts w:hint="eastAsia"/>
          <w:lang w:val="en-US" w:eastAsia="zh-CN"/>
        </w:rPr>
      </w:pPr>
      <w:r>
        <w:rPr>
          <w:rFonts w:hint="eastAsia"/>
          <w:lang w:val="en-US" w:eastAsia="zh-CN"/>
        </w:rPr>
        <w:t>色泽、气味</w:t>
      </w:r>
    </w:p>
    <w:p w14:paraId="642BFAC4">
      <w:pPr>
        <w:pStyle w:val="58"/>
        <w:rPr>
          <w:rFonts w:hint="eastAsia" w:ascii="宋体" w:hAnsi="宋体" w:eastAsia="宋体" w:cs="宋体"/>
          <w:lang w:val="en-US" w:eastAsia="zh-CN"/>
        </w:rPr>
      </w:pPr>
      <w:r>
        <w:rPr>
          <w:rFonts w:hint="eastAsia"/>
          <w:lang w:val="en-US" w:eastAsia="zh-CN"/>
        </w:rPr>
        <w:t>按照</w:t>
      </w:r>
      <w:r>
        <w:rPr>
          <w:rFonts w:hint="eastAsia" w:ascii="宋体" w:hAnsi="宋体" w:eastAsia="宋体" w:cs="宋体"/>
          <w:lang w:val="en-US" w:eastAsia="zh-CN"/>
        </w:rPr>
        <w:t>GB/T 5492的规定执行。</w:t>
      </w:r>
    </w:p>
    <w:p w14:paraId="6669F04D">
      <w:pPr>
        <w:pStyle w:val="107"/>
        <w:bidi w:val="0"/>
        <w:rPr>
          <w:rFonts w:hint="default"/>
          <w:lang w:val="en-US" w:eastAsia="zh-CN"/>
        </w:rPr>
      </w:pPr>
      <w:r>
        <w:rPr>
          <w:rFonts w:hint="eastAsia"/>
          <w:lang w:val="en-US" w:eastAsia="zh-CN"/>
        </w:rPr>
        <w:t>加工质量指标</w:t>
      </w:r>
    </w:p>
    <w:p w14:paraId="76C038B3">
      <w:pPr>
        <w:pStyle w:val="67"/>
        <w:bidi w:val="0"/>
        <w:rPr>
          <w:rFonts w:hint="eastAsia"/>
          <w:lang w:val="en-US" w:eastAsia="zh-CN"/>
        </w:rPr>
      </w:pPr>
      <w:r>
        <w:rPr>
          <w:rFonts w:hint="eastAsia"/>
          <w:lang w:val="en-US" w:eastAsia="zh-CN"/>
        </w:rPr>
        <w:t>不完善粒、杂质含量</w:t>
      </w:r>
    </w:p>
    <w:p w14:paraId="0AFD57D1">
      <w:pPr>
        <w:pStyle w:val="58"/>
        <w:rPr>
          <w:rFonts w:hint="eastAsia" w:ascii="宋体" w:hAnsi="宋体" w:cs="宋体"/>
          <w:lang w:val="en-US" w:eastAsia="zh-CN"/>
        </w:rPr>
      </w:pPr>
      <w:r>
        <w:rPr>
          <w:rFonts w:hint="eastAsia" w:ascii="宋体" w:hAnsi="宋体" w:cs="宋体"/>
          <w:lang w:val="en-US" w:eastAsia="zh-CN"/>
        </w:rPr>
        <w:t>按照</w:t>
      </w:r>
      <w:r>
        <w:rPr>
          <w:rFonts w:hint="eastAsia" w:ascii="宋体" w:hAnsi="宋体" w:eastAsia="宋体" w:cs="宋体"/>
          <w:lang w:val="en-US" w:eastAsia="zh-CN"/>
        </w:rPr>
        <w:t>GB/T 5494</w:t>
      </w:r>
      <w:r>
        <w:rPr>
          <w:rFonts w:hint="eastAsia" w:ascii="宋体" w:hAnsi="宋体" w:cs="宋体"/>
          <w:lang w:val="en-US" w:eastAsia="zh-CN"/>
        </w:rPr>
        <w:t>的规定执行。</w:t>
      </w:r>
    </w:p>
    <w:p w14:paraId="6A49191B">
      <w:pPr>
        <w:pStyle w:val="67"/>
        <w:bidi w:val="0"/>
        <w:rPr>
          <w:rFonts w:hint="default"/>
          <w:lang w:val="en-US" w:eastAsia="zh-CN"/>
        </w:rPr>
      </w:pPr>
      <w:r>
        <w:rPr>
          <w:rFonts w:hint="eastAsia"/>
          <w:lang w:val="en-US" w:eastAsia="zh-CN"/>
        </w:rPr>
        <w:t>碎米含量</w:t>
      </w:r>
    </w:p>
    <w:p w14:paraId="23964340">
      <w:pPr>
        <w:pStyle w:val="58"/>
        <w:rPr>
          <w:rFonts w:hint="eastAsia" w:ascii="宋体" w:hAnsi="宋体" w:cs="宋体"/>
          <w:lang w:val="en-US" w:eastAsia="zh-CN"/>
        </w:rPr>
      </w:pPr>
      <w:r>
        <w:rPr>
          <w:rFonts w:hint="eastAsia"/>
          <w:lang w:val="en-US" w:eastAsia="zh-CN"/>
        </w:rPr>
        <w:t>按照</w:t>
      </w:r>
      <w:r>
        <w:rPr>
          <w:rFonts w:hint="eastAsia" w:ascii="宋体" w:hAnsi="宋体" w:eastAsia="宋体" w:cs="宋体"/>
          <w:lang w:val="en-US" w:eastAsia="zh-CN"/>
        </w:rPr>
        <w:t>GB/T 5</w:t>
      </w:r>
      <w:r>
        <w:rPr>
          <w:rFonts w:hint="eastAsia" w:ascii="宋体" w:hAnsi="宋体" w:cs="宋体"/>
          <w:lang w:val="en-US" w:eastAsia="zh-CN"/>
        </w:rPr>
        <w:t>503的规定执行。</w:t>
      </w:r>
    </w:p>
    <w:p w14:paraId="1EE87F28">
      <w:pPr>
        <w:pStyle w:val="67"/>
        <w:bidi w:val="0"/>
        <w:rPr>
          <w:rFonts w:hint="default"/>
          <w:lang w:val="en-US" w:eastAsia="zh-CN"/>
        </w:rPr>
      </w:pPr>
      <w:r>
        <w:rPr>
          <w:rFonts w:hint="eastAsia"/>
          <w:lang w:val="en-US" w:eastAsia="zh-CN"/>
        </w:rPr>
        <w:t>水分含量</w:t>
      </w:r>
    </w:p>
    <w:p w14:paraId="6067AAF9">
      <w:pPr>
        <w:pStyle w:val="58"/>
        <w:rPr>
          <w:rFonts w:hint="eastAsia" w:ascii="宋体" w:hAnsi="宋体" w:cs="宋体"/>
          <w:lang w:val="en-US" w:eastAsia="zh-CN"/>
        </w:rPr>
      </w:pPr>
      <w:r>
        <w:rPr>
          <w:rFonts w:hint="eastAsia"/>
          <w:lang w:val="en-US" w:eastAsia="zh-CN"/>
        </w:rPr>
        <w:t>按照</w:t>
      </w:r>
      <w:r>
        <w:rPr>
          <w:rFonts w:hint="eastAsia" w:ascii="宋体" w:hAnsi="宋体" w:eastAsia="宋体" w:cs="宋体"/>
          <w:lang w:val="en-US" w:eastAsia="zh-CN"/>
        </w:rPr>
        <w:t>GB/T</w:t>
      </w:r>
      <w:r>
        <w:rPr>
          <w:rFonts w:hint="eastAsia" w:ascii="宋体" w:hAnsi="宋体" w:cs="宋体"/>
          <w:lang w:val="en-US" w:eastAsia="zh-CN"/>
        </w:rPr>
        <w:t xml:space="preserve"> </w:t>
      </w:r>
      <w:r>
        <w:rPr>
          <w:rFonts w:hint="eastAsia" w:ascii="宋体" w:hAnsi="宋体" w:eastAsia="宋体" w:cs="宋体"/>
          <w:lang w:val="en-US" w:eastAsia="zh-CN"/>
        </w:rPr>
        <w:t>5497</w:t>
      </w:r>
      <w:r>
        <w:rPr>
          <w:rFonts w:hint="eastAsia" w:ascii="宋体" w:hAnsi="宋体" w:cs="宋体"/>
          <w:lang w:val="en-US" w:eastAsia="zh-CN"/>
        </w:rPr>
        <w:t>的规定执行。</w:t>
      </w:r>
    </w:p>
    <w:p w14:paraId="4B9B75EA">
      <w:pPr>
        <w:pStyle w:val="107"/>
        <w:bidi w:val="0"/>
        <w:rPr>
          <w:rFonts w:hint="default"/>
          <w:highlight w:val="none"/>
          <w:lang w:val="en-US" w:eastAsia="zh-CN"/>
        </w:rPr>
      </w:pPr>
      <w:r>
        <w:rPr>
          <w:rFonts w:hint="eastAsia"/>
          <w:highlight w:val="none"/>
          <w:lang w:val="en-US" w:eastAsia="zh-CN"/>
        </w:rPr>
        <w:t>理化指标</w:t>
      </w:r>
    </w:p>
    <w:p w14:paraId="55CFD3B3">
      <w:pPr>
        <w:pStyle w:val="67"/>
        <w:bidi w:val="0"/>
        <w:rPr>
          <w:rFonts w:hint="default"/>
          <w:highlight w:val="none"/>
          <w:lang w:val="en-US" w:eastAsia="zh-CN"/>
        </w:rPr>
      </w:pPr>
      <w:r>
        <w:rPr>
          <w:rFonts w:hint="eastAsia"/>
          <w:highlight w:val="none"/>
          <w:lang w:val="en-US" w:eastAsia="zh-CN"/>
        </w:rPr>
        <w:t>蛋白质</w:t>
      </w:r>
    </w:p>
    <w:p w14:paraId="6480D882">
      <w:pPr>
        <w:pStyle w:val="58"/>
        <w:rPr>
          <w:rFonts w:hint="eastAsia" w:ascii="宋体" w:hAnsi="宋体" w:cs="宋体"/>
          <w:highlight w:val="none"/>
          <w:lang w:val="en-US" w:eastAsia="zh-CN"/>
        </w:rPr>
      </w:pPr>
      <w:r>
        <w:rPr>
          <w:rFonts w:hint="eastAsia" w:ascii="宋体" w:hAnsi="宋体" w:cs="宋体"/>
          <w:highlight w:val="none"/>
          <w:lang w:val="en-US" w:eastAsia="zh-CN"/>
        </w:rPr>
        <w:t>按照</w:t>
      </w:r>
      <w:r>
        <w:rPr>
          <w:rFonts w:hint="eastAsia" w:ascii="宋体" w:hAnsi="宋体" w:eastAsia="宋体" w:cs="宋体"/>
          <w:highlight w:val="none"/>
          <w:lang w:val="en-US" w:eastAsia="zh-CN"/>
        </w:rPr>
        <w:t>GB/T 5009.5</w:t>
      </w:r>
      <w:r>
        <w:rPr>
          <w:rFonts w:hint="eastAsia" w:ascii="宋体" w:hAnsi="宋体" w:cs="宋体"/>
          <w:highlight w:val="none"/>
          <w:lang w:val="en-US" w:eastAsia="zh-CN"/>
        </w:rPr>
        <w:t>的规定执行。</w:t>
      </w:r>
    </w:p>
    <w:p w14:paraId="324F965A">
      <w:pPr>
        <w:pStyle w:val="67"/>
        <w:bidi w:val="0"/>
        <w:rPr>
          <w:rFonts w:hint="default"/>
          <w:highlight w:val="none"/>
          <w:lang w:val="en-US" w:eastAsia="zh-CN"/>
        </w:rPr>
      </w:pPr>
      <w:r>
        <w:rPr>
          <w:rFonts w:hint="eastAsia"/>
          <w:highlight w:val="none"/>
          <w:lang w:val="en-US" w:eastAsia="zh-CN"/>
        </w:rPr>
        <w:t>脂肪</w:t>
      </w:r>
    </w:p>
    <w:p w14:paraId="3A168044">
      <w:pPr>
        <w:pStyle w:val="58"/>
        <w:rPr>
          <w:rFonts w:hint="eastAsia" w:ascii="宋体" w:hAnsi="宋体" w:cs="宋体"/>
          <w:highlight w:val="none"/>
          <w:lang w:val="en-US" w:eastAsia="zh-CN"/>
        </w:rPr>
      </w:pPr>
      <w:r>
        <w:rPr>
          <w:rFonts w:hint="eastAsia" w:ascii="宋体" w:hAnsi="宋体" w:cs="宋体"/>
          <w:highlight w:val="none"/>
          <w:lang w:val="en-US" w:eastAsia="zh-CN"/>
        </w:rPr>
        <w:t>按照</w:t>
      </w:r>
      <w:r>
        <w:rPr>
          <w:rFonts w:hint="eastAsia" w:ascii="宋体" w:hAnsi="宋体" w:eastAsia="宋体" w:cs="宋体"/>
          <w:highlight w:val="none"/>
          <w:lang w:val="en-US" w:eastAsia="zh-CN"/>
        </w:rPr>
        <w:t>GB/T 5009.6</w:t>
      </w:r>
      <w:r>
        <w:rPr>
          <w:rFonts w:hint="eastAsia" w:ascii="宋体" w:hAnsi="宋体" w:cs="宋体"/>
          <w:highlight w:val="none"/>
          <w:lang w:val="en-US" w:eastAsia="zh-CN"/>
        </w:rPr>
        <w:t>的规定执行。</w:t>
      </w:r>
    </w:p>
    <w:p w14:paraId="6098A38E">
      <w:pPr>
        <w:pStyle w:val="67"/>
        <w:bidi w:val="0"/>
        <w:rPr>
          <w:rFonts w:hint="default"/>
          <w:highlight w:val="none"/>
          <w:lang w:val="en-US" w:eastAsia="zh-CN"/>
        </w:rPr>
      </w:pPr>
      <w:r>
        <w:rPr>
          <w:rFonts w:hint="eastAsia"/>
          <w:highlight w:val="none"/>
          <w:lang w:val="en-US" w:eastAsia="zh-CN"/>
        </w:rPr>
        <w:t>直链淀粉</w:t>
      </w:r>
    </w:p>
    <w:p w14:paraId="5B424961">
      <w:pPr>
        <w:pStyle w:val="58"/>
        <w:rPr>
          <w:rFonts w:hint="eastAsia" w:ascii="宋体" w:hAnsi="宋体" w:cs="宋体"/>
          <w:highlight w:val="none"/>
          <w:lang w:val="en-US" w:eastAsia="zh-CN"/>
        </w:rPr>
      </w:pPr>
      <w:r>
        <w:rPr>
          <w:rFonts w:hint="eastAsia" w:ascii="宋体" w:hAnsi="宋体" w:cs="宋体"/>
          <w:highlight w:val="none"/>
          <w:lang w:val="en-US" w:eastAsia="zh-CN"/>
        </w:rPr>
        <w:t>按照</w:t>
      </w:r>
      <w:r>
        <w:rPr>
          <w:rFonts w:hint="eastAsia" w:ascii="宋体" w:hAnsi="宋体" w:eastAsia="宋体" w:cs="宋体"/>
          <w:highlight w:val="none"/>
          <w:lang w:val="en-US" w:eastAsia="zh-CN"/>
        </w:rPr>
        <w:t>GB/T 5009.9</w:t>
      </w:r>
      <w:r>
        <w:rPr>
          <w:rFonts w:hint="eastAsia" w:ascii="宋体" w:hAnsi="宋体" w:cs="宋体"/>
          <w:highlight w:val="none"/>
          <w:lang w:val="en-US" w:eastAsia="zh-CN"/>
        </w:rPr>
        <w:t>的规定执行。</w:t>
      </w:r>
    </w:p>
    <w:p w14:paraId="25925621">
      <w:pPr>
        <w:pStyle w:val="107"/>
        <w:bidi w:val="0"/>
        <w:rPr>
          <w:rFonts w:hint="default"/>
          <w:lang w:val="en-US" w:eastAsia="zh-CN"/>
        </w:rPr>
      </w:pPr>
      <w:r>
        <w:rPr>
          <w:rFonts w:hint="eastAsia"/>
          <w:lang w:val="en-US" w:eastAsia="zh-CN"/>
        </w:rPr>
        <w:t>净含量</w:t>
      </w:r>
    </w:p>
    <w:p w14:paraId="63B21ED7">
      <w:pPr>
        <w:pStyle w:val="58"/>
        <w:ind w:firstLine="400"/>
        <w:rPr>
          <w:rFonts w:hint="default"/>
          <w:lang w:val="en-US" w:eastAsia="zh-CN"/>
        </w:rPr>
      </w:pPr>
      <w:r>
        <w:rPr>
          <w:rFonts w:ascii="宋体" w:hAnsi="宋体" w:cs="宋体"/>
          <w:color w:val="000000"/>
          <w:sz w:val="21"/>
          <w:szCs w:val="21"/>
        </w:rPr>
        <w:t>按</w:t>
      </w:r>
      <w:r>
        <w:rPr>
          <w:rFonts w:hint="eastAsia" w:ascii="宋体" w:hAnsi="宋体" w:cs="宋体"/>
          <w:color w:val="000000"/>
          <w:sz w:val="21"/>
          <w:szCs w:val="21"/>
          <w:lang w:eastAsia="zh-CN"/>
        </w:rPr>
        <w:t>照</w:t>
      </w:r>
      <w:r>
        <w:rPr>
          <w:rFonts w:ascii="宋体" w:hAnsi="宋体" w:cs="宋体"/>
          <w:color w:val="000000"/>
          <w:sz w:val="21"/>
          <w:szCs w:val="21"/>
        </w:rPr>
        <w:t>JJF</w:t>
      </w:r>
      <w:r>
        <w:rPr>
          <w:rFonts w:hint="eastAsia" w:ascii="宋体" w:hAnsi="宋体" w:cs="宋体"/>
          <w:color w:val="000000"/>
          <w:sz w:val="21"/>
          <w:szCs w:val="21"/>
          <w:lang w:val="en-US" w:eastAsia="zh-CN"/>
        </w:rPr>
        <w:t xml:space="preserve"> </w:t>
      </w:r>
      <w:r>
        <w:rPr>
          <w:rFonts w:ascii="宋体" w:hAnsi="宋体" w:cs="宋体"/>
          <w:color w:val="000000"/>
          <w:sz w:val="21"/>
          <w:szCs w:val="21"/>
        </w:rPr>
        <w:t>1070</w:t>
      </w:r>
      <w:r>
        <w:rPr>
          <w:rFonts w:hint="eastAsia" w:ascii="宋体" w:hAnsi="宋体" w:cs="宋体"/>
          <w:color w:val="000000"/>
          <w:sz w:val="21"/>
          <w:szCs w:val="21"/>
          <w:lang w:val="en-US" w:eastAsia="zh-CN"/>
        </w:rPr>
        <w:t>的</w:t>
      </w:r>
      <w:r>
        <w:rPr>
          <w:rFonts w:ascii="宋体" w:hAnsi="宋体" w:cs="宋体"/>
          <w:color w:val="000000"/>
          <w:sz w:val="21"/>
          <w:szCs w:val="21"/>
        </w:rPr>
        <w:t>规定</w:t>
      </w:r>
      <w:r>
        <w:rPr>
          <w:rFonts w:hint="eastAsia" w:ascii="宋体" w:hAnsi="宋体" w:cs="宋体"/>
          <w:color w:val="000000"/>
          <w:sz w:val="21"/>
          <w:szCs w:val="21"/>
          <w:lang w:val="en-US" w:eastAsia="zh-CN"/>
        </w:rPr>
        <w:t>执行</w:t>
      </w:r>
      <w:r>
        <w:rPr>
          <w:rFonts w:hint="eastAsia" w:ascii="宋体" w:hAnsi="宋体" w:cs="宋体"/>
          <w:color w:val="000000"/>
          <w:sz w:val="21"/>
          <w:szCs w:val="21"/>
        </w:rPr>
        <w:t>。</w:t>
      </w:r>
    </w:p>
    <w:p w14:paraId="723E1F76">
      <w:pPr>
        <w:pStyle w:val="106"/>
        <w:bidi w:val="0"/>
        <w:rPr>
          <w:rFonts w:hint="default"/>
          <w:highlight w:val="none"/>
          <w:lang w:val="en-US" w:eastAsia="zh-CN"/>
        </w:rPr>
      </w:pPr>
      <w:r>
        <w:rPr>
          <w:rFonts w:hint="eastAsia"/>
          <w:highlight w:val="none"/>
          <w:lang w:val="en-US" w:eastAsia="zh-CN"/>
        </w:rPr>
        <w:t>检验规则</w:t>
      </w:r>
    </w:p>
    <w:p w14:paraId="0151CCA7">
      <w:pPr>
        <w:pStyle w:val="107"/>
        <w:bidi w:val="0"/>
        <w:rPr>
          <w:rFonts w:hint="default"/>
          <w:lang w:val="en-US" w:eastAsia="zh-CN"/>
        </w:rPr>
      </w:pPr>
      <w:r>
        <w:rPr>
          <w:rFonts w:hint="eastAsia"/>
          <w:lang w:val="en-US" w:eastAsia="zh-CN"/>
        </w:rPr>
        <w:t>组批</w:t>
      </w:r>
    </w:p>
    <w:p w14:paraId="4F9DE60F">
      <w:pPr>
        <w:pStyle w:val="58"/>
        <w:rPr>
          <w:rFonts w:hint="eastAsia"/>
          <w:lang w:val="en-US" w:eastAsia="zh-CN"/>
        </w:rPr>
      </w:pPr>
      <w:r>
        <w:rPr>
          <w:rFonts w:hint="eastAsia"/>
          <w:lang w:val="en-US" w:eastAsia="zh-CN"/>
        </w:rPr>
        <w:t>同原料、同工艺、同设备加工的同种产品为一批次。</w:t>
      </w:r>
    </w:p>
    <w:p w14:paraId="1843CDD9">
      <w:pPr>
        <w:pStyle w:val="107"/>
        <w:bidi w:val="0"/>
        <w:rPr>
          <w:rFonts w:hint="default"/>
          <w:lang w:val="en-US" w:eastAsia="zh-CN"/>
        </w:rPr>
      </w:pPr>
      <w:r>
        <w:rPr>
          <w:rFonts w:hint="eastAsia"/>
          <w:lang w:val="en-US" w:eastAsia="zh-CN"/>
        </w:rPr>
        <w:t>扦样、分样</w:t>
      </w:r>
    </w:p>
    <w:p w14:paraId="3E26ED1C">
      <w:pPr>
        <w:pStyle w:val="58"/>
        <w:rPr>
          <w:rFonts w:hint="eastAsia"/>
          <w:lang w:val="en-US" w:eastAsia="zh-CN"/>
        </w:rPr>
      </w:pPr>
      <w:r>
        <w:rPr>
          <w:rFonts w:hint="eastAsia" w:ascii="宋体" w:hAnsi="宋体" w:eastAsia="宋体" w:cs="宋体"/>
          <w:lang w:val="en-US" w:eastAsia="zh-CN"/>
        </w:rPr>
        <w:t>按GB/T 5491的规定执行</w:t>
      </w:r>
      <w:r>
        <w:rPr>
          <w:rFonts w:hint="eastAsia"/>
          <w:lang w:val="en-US" w:eastAsia="zh-CN"/>
        </w:rPr>
        <w:t>。</w:t>
      </w:r>
    </w:p>
    <w:p w14:paraId="028D69BA">
      <w:pPr>
        <w:pStyle w:val="107"/>
        <w:bidi w:val="0"/>
        <w:rPr>
          <w:rFonts w:hint="eastAsia" w:ascii="宋体" w:hAnsi="宋体" w:eastAsia="宋体" w:cs="宋体"/>
          <w:lang w:val="en-US" w:eastAsia="zh-CN"/>
        </w:rPr>
      </w:pPr>
      <w:r>
        <w:rPr>
          <w:rFonts w:hint="eastAsia"/>
          <w:lang w:val="en-US" w:eastAsia="zh-CN"/>
        </w:rPr>
        <w:t>出厂检验</w:t>
      </w:r>
    </w:p>
    <w:p w14:paraId="791CA08B">
      <w:pPr>
        <w:pStyle w:val="58"/>
        <w:rPr>
          <w:rFonts w:hint="eastAsia"/>
          <w:lang w:val="en-US" w:eastAsia="zh-CN"/>
        </w:rPr>
      </w:pPr>
      <w:r>
        <w:rPr>
          <w:rFonts w:hint="eastAsia" w:ascii="宋体" w:hAnsi="宋体" w:eastAsia="宋体" w:cs="宋体"/>
          <w:lang w:val="en-US" w:eastAsia="zh-CN"/>
        </w:rPr>
        <w:t>出厂检验项目为本文件</w:t>
      </w:r>
      <w:r>
        <w:rPr>
          <w:rFonts w:hint="eastAsia" w:ascii="宋体" w:hAnsi="宋体" w:cs="宋体"/>
          <w:lang w:val="en-US" w:eastAsia="zh-CN"/>
        </w:rPr>
        <w:t>第8章</w:t>
      </w:r>
      <w:r>
        <w:rPr>
          <w:rFonts w:hint="eastAsia"/>
          <w:lang w:val="en-US" w:eastAsia="zh-CN"/>
        </w:rPr>
        <w:t>规定的项目，检验方</w:t>
      </w:r>
      <w:r>
        <w:rPr>
          <w:rFonts w:hint="eastAsia" w:ascii="宋体" w:hAnsi="宋体" w:eastAsia="宋体" w:cs="宋体"/>
          <w:lang w:val="en-US" w:eastAsia="zh-CN"/>
        </w:rPr>
        <w:t>法按照第9章执行。</w:t>
      </w:r>
    </w:p>
    <w:p w14:paraId="1C12495F">
      <w:pPr>
        <w:pStyle w:val="107"/>
        <w:bidi w:val="0"/>
        <w:rPr>
          <w:rFonts w:hint="default"/>
          <w:lang w:val="en-US" w:eastAsia="zh-CN"/>
        </w:rPr>
      </w:pPr>
      <w:r>
        <w:rPr>
          <w:rFonts w:hint="eastAsia"/>
          <w:lang w:val="en-US" w:eastAsia="zh-CN"/>
        </w:rPr>
        <w:t>型式检验</w:t>
      </w:r>
    </w:p>
    <w:p w14:paraId="3C22986A">
      <w:pPr>
        <w:pStyle w:val="164"/>
        <w:numPr>
          <w:ilvl w:val="2"/>
          <w:numId w:val="0"/>
        </w:numPr>
        <w:bidi w:val="0"/>
        <w:ind w:leftChars="0" w:firstLine="420" w:firstLineChars="200"/>
        <w:rPr>
          <w:rFonts w:hint="default"/>
          <w:lang w:val="en-US" w:eastAsia="zh-CN"/>
        </w:rPr>
      </w:pPr>
      <w:r>
        <w:rPr>
          <w:rFonts w:hint="eastAsia"/>
          <w:lang w:val="en-US" w:eastAsia="zh-CN"/>
        </w:rPr>
        <w:t>型式检验项目为本文件8章的全部内容；每年</w:t>
      </w:r>
      <w:r>
        <w:rPr>
          <w:rFonts w:hint="eastAsia"/>
        </w:rPr>
        <w:t>应对产品进行一次型式检验，发生下列情况之一的应进行型式检验：</w:t>
      </w:r>
    </w:p>
    <w:p w14:paraId="6C115864">
      <w:pPr>
        <w:pStyle w:val="176"/>
        <w:bidi w:val="0"/>
        <w:ind w:left="851" w:leftChars="0" w:hanging="426" w:firstLineChars="0"/>
        <w:rPr>
          <w:rFonts w:hint="default"/>
          <w:lang w:val="en-US" w:eastAsia="zh-CN"/>
        </w:rPr>
      </w:pPr>
      <w:r>
        <w:rPr>
          <w:rFonts w:hint="eastAsia"/>
          <w:lang w:val="en-US" w:eastAsia="zh-CN"/>
        </w:rPr>
        <w:t>原料、工艺、设备有较大变化时；</w:t>
      </w:r>
    </w:p>
    <w:p w14:paraId="1D3D3910">
      <w:pPr>
        <w:pStyle w:val="176"/>
        <w:bidi w:val="0"/>
        <w:ind w:left="851" w:leftChars="0" w:hanging="426" w:firstLineChars="0"/>
        <w:rPr>
          <w:rFonts w:hint="default"/>
          <w:lang w:val="en-US" w:eastAsia="zh-CN"/>
        </w:rPr>
      </w:pPr>
      <w:r>
        <w:rPr>
          <w:rFonts w:hint="eastAsia"/>
          <w:lang w:val="en-US" w:eastAsia="zh-CN"/>
        </w:rPr>
        <w:t>产品停产6个月以上回复生产时；</w:t>
      </w:r>
    </w:p>
    <w:p w14:paraId="062B0EFA">
      <w:pPr>
        <w:pStyle w:val="176"/>
        <w:bidi w:val="0"/>
        <w:ind w:left="851" w:leftChars="0" w:hanging="426" w:firstLineChars="0"/>
        <w:rPr>
          <w:rFonts w:hint="default"/>
          <w:lang w:val="en-US" w:eastAsia="zh-CN"/>
        </w:rPr>
      </w:pPr>
      <w:r>
        <w:rPr>
          <w:rFonts w:hint="eastAsia"/>
          <w:lang w:val="en-US" w:eastAsia="zh-CN"/>
        </w:rPr>
        <w:t>国家有关行政主管部门提出检验要求时。</w:t>
      </w:r>
    </w:p>
    <w:p w14:paraId="26558279">
      <w:pPr>
        <w:pStyle w:val="107"/>
        <w:bidi w:val="0"/>
        <w:rPr>
          <w:rFonts w:hint="default"/>
          <w:lang w:val="en-US" w:eastAsia="zh-CN"/>
        </w:rPr>
      </w:pPr>
      <w:r>
        <w:rPr>
          <w:rFonts w:hint="eastAsia"/>
          <w:lang w:val="en-US" w:eastAsia="zh-CN"/>
        </w:rPr>
        <w:t>判定规则</w:t>
      </w:r>
    </w:p>
    <w:p w14:paraId="06721C40">
      <w:pPr>
        <w:pStyle w:val="67"/>
        <w:bidi w:val="0"/>
        <w:rPr>
          <w:rFonts w:hint="default"/>
          <w:lang w:val="en-US" w:eastAsia="zh-CN"/>
        </w:rPr>
      </w:pPr>
      <w:r>
        <w:rPr>
          <w:rFonts w:hint="eastAsia"/>
          <w:lang w:val="en-US" w:eastAsia="zh-CN"/>
        </w:rPr>
        <w:t>出厂检验判定规则</w:t>
      </w:r>
    </w:p>
    <w:p w14:paraId="1956D412">
      <w:pPr>
        <w:pStyle w:val="58"/>
        <w:rPr>
          <w:rFonts w:hint="eastAsia"/>
          <w:lang w:val="en-US" w:eastAsia="zh-CN"/>
        </w:rPr>
      </w:pPr>
      <w:r>
        <w:rPr>
          <w:rFonts w:hint="eastAsia"/>
          <w:lang w:val="en-US" w:eastAsia="zh-CN"/>
        </w:rPr>
        <w:t>出厂检验项目全部符合本文件要求时，判定该批产品为合格。出厂检验中若出现不合格项，可在同一批产品中加倍抽样复检，复检结果仍出现不合格项时，按照实测结果判定该批为不合格。</w:t>
      </w:r>
    </w:p>
    <w:p w14:paraId="6847D416">
      <w:pPr>
        <w:pStyle w:val="67"/>
        <w:bidi w:val="0"/>
        <w:rPr>
          <w:rFonts w:hint="eastAsia"/>
          <w:lang w:val="en-US" w:eastAsia="zh-CN"/>
        </w:rPr>
      </w:pPr>
      <w:r>
        <w:rPr>
          <w:rFonts w:hint="eastAsia"/>
          <w:lang w:val="en-US" w:eastAsia="zh-CN"/>
        </w:rPr>
        <w:t>型式检验判定规则</w:t>
      </w:r>
    </w:p>
    <w:p w14:paraId="08733496">
      <w:pPr>
        <w:pStyle w:val="58"/>
        <w:rPr>
          <w:rFonts w:hint="eastAsia"/>
          <w:lang w:val="en-US" w:eastAsia="zh-CN"/>
        </w:rPr>
      </w:pPr>
      <w:r>
        <w:rPr>
          <w:rFonts w:hint="eastAsia"/>
          <w:lang w:val="en-US" w:eastAsia="zh-CN"/>
        </w:rPr>
        <w:t>型式检验项目全部符合本文件感官要求、质量要求、理化要求和净含量要求时，判定该批产品型式检验合格。如有一项及以上项目不符合本文件要求时，可取备样复检，复检后仍不符合本文件要求的，则判定该批产品型式检验不合格。</w:t>
      </w:r>
    </w:p>
    <w:p w14:paraId="7F22442B">
      <w:pPr>
        <w:pStyle w:val="106"/>
        <w:bidi w:val="0"/>
        <w:rPr>
          <w:rFonts w:hint="default"/>
          <w:lang w:val="en-US" w:eastAsia="zh-CN"/>
        </w:rPr>
      </w:pPr>
      <w:r>
        <w:rPr>
          <w:rFonts w:hint="eastAsia"/>
          <w:lang w:val="en-US" w:eastAsia="zh-CN"/>
        </w:rPr>
        <w:t>标志、标签、包装、运输、贮存</w:t>
      </w:r>
    </w:p>
    <w:p w14:paraId="46944814">
      <w:pPr>
        <w:pStyle w:val="164"/>
        <w:bidi w:val="0"/>
        <w:rPr>
          <w:rFonts w:hint="eastAsia" w:ascii="黑体" w:hAnsi="黑体" w:eastAsia="黑体" w:cs="黑体"/>
          <w:b w:val="0"/>
          <w:bCs w:val="0"/>
          <w:lang w:val="en-US" w:eastAsia="zh-CN"/>
        </w:rPr>
      </w:pPr>
      <w:r>
        <w:rPr>
          <w:rFonts w:hint="eastAsia" w:ascii="黑体" w:hAnsi="黑体" w:eastAsia="黑体" w:cs="黑体"/>
          <w:b w:val="0"/>
          <w:bCs w:val="0"/>
          <w:lang w:val="en-US" w:eastAsia="zh-CN"/>
        </w:rPr>
        <w:t>标志、标签</w:t>
      </w:r>
    </w:p>
    <w:p w14:paraId="3F12A386">
      <w:pPr>
        <w:pStyle w:val="167"/>
        <w:rPr>
          <w:rFonts w:hint="eastAsia" w:ascii="宋体" w:hAnsi="Times New Roman" w:eastAsia="宋体" w:cs="Times New Roman"/>
          <w:lang w:val="en-US" w:eastAsia="zh-CN"/>
        </w:rPr>
      </w:pPr>
      <w:r>
        <w:rPr>
          <w:rFonts w:hint="eastAsia" w:ascii="宋体" w:hAnsi="Times New Roman" w:eastAsia="宋体" w:cs="Times New Roman"/>
          <w:lang w:val="en-US" w:eastAsia="zh-CN"/>
        </w:rPr>
        <w:t>符合本文件要求的产品方可在产品标签或包装物上标注地理标志名称及本文件的标准编号，并应同时使用经国家知识产权行政管理部门核准公告的地理标志专用标志。</w:t>
      </w:r>
    </w:p>
    <w:p w14:paraId="53C0E318">
      <w:pPr>
        <w:pStyle w:val="167"/>
        <w:rPr>
          <w:rFonts w:hint="eastAsia" w:ascii="宋体" w:hAnsi="Times New Roman" w:eastAsia="宋体" w:cs="Times New Roman"/>
          <w:lang w:val="en-US" w:eastAsia="zh-CN"/>
        </w:rPr>
      </w:pPr>
      <w:r>
        <w:rPr>
          <w:rFonts w:hint="eastAsia" w:ascii="宋体" w:hAnsi="Times New Roman" w:eastAsia="宋体" w:cs="Times New Roman"/>
          <w:lang w:val="en-US" w:eastAsia="zh-CN"/>
        </w:rPr>
        <w:t>产品标签应符合GB 7718、GB</w:t>
      </w:r>
      <w:r>
        <w:rPr>
          <w:rFonts w:hint="eastAsia" w:cs="Times New Roman"/>
          <w:lang w:val="en-US" w:eastAsia="zh-CN"/>
        </w:rPr>
        <w:t>17924</w:t>
      </w:r>
      <w:r>
        <w:rPr>
          <w:rFonts w:hint="eastAsia" w:ascii="宋体" w:hAnsi="Times New Roman" w:eastAsia="宋体" w:cs="Times New Roman"/>
          <w:lang w:val="en-US" w:eastAsia="zh-CN"/>
        </w:rPr>
        <w:t>和有关规定</w:t>
      </w:r>
      <w:r>
        <w:rPr>
          <w:rFonts w:hint="eastAsia" w:cs="Times New Roman"/>
          <w:lang w:val="en-US" w:eastAsia="zh-CN"/>
        </w:rPr>
        <w:t>。</w:t>
      </w:r>
    </w:p>
    <w:p w14:paraId="0F62C8E1">
      <w:pPr>
        <w:pStyle w:val="167"/>
        <w:bidi w:val="0"/>
        <w:rPr>
          <w:rFonts w:hint="default"/>
          <w:lang w:val="en-US" w:eastAsia="zh-CN"/>
        </w:rPr>
      </w:pPr>
      <w:r>
        <w:rPr>
          <w:rFonts w:hint="eastAsia" w:ascii="宋体" w:hAnsi="Times New Roman" w:eastAsia="宋体" w:cs="Times New Roman"/>
          <w:lang w:val="en-US" w:eastAsia="zh-CN"/>
        </w:rPr>
        <w:t>运输包装图示标志应符合GB/T 191的规定</w:t>
      </w:r>
      <w:r>
        <w:rPr>
          <w:rFonts w:hint="eastAsia" w:cs="Times New Roman"/>
          <w:lang w:val="en-US" w:eastAsia="zh-CN"/>
        </w:rPr>
        <w:t>。</w:t>
      </w:r>
    </w:p>
    <w:p w14:paraId="57FE163C">
      <w:pPr>
        <w:pStyle w:val="164"/>
        <w:bidi w:val="0"/>
        <w:rPr>
          <w:rFonts w:hint="default" w:ascii="黑体" w:hAnsi="黑体" w:eastAsia="黑体" w:cs="黑体"/>
          <w:lang w:val="en-US" w:eastAsia="zh-CN"/>
        </w:rPr>
      </w:pPr>
      <w:r>
        <w:rPr>
          <w:rFonts w:hint="eastAsia" w:ascii="黑体" w:hAnsi="黑体" w:eastAsia="黑体" w:cs="黑体"/>
          <w:lang w:val="en-US" w:eastAsia="zh-CN"/>
        </w:rPr>
        <w:t>包装</w:t>
      </w:r>
    </w:p>
    <w:p w14:paraId="0BA85C1B">
      <w:pPr>
        <w:pStyle w:val="167"/>
        <w:numPr>
          <w:ilvl w:val="3"/>
          <w:numId w:val="0"/>
        </w:numPr>
        <w:ind w:leftChars="0" w:firstLine="420" w:firstLineChars="200"/>
        <w:rPr>
          <w:rFonts w:hint="default" w:ascii="黑体" w:hAnsi="黑体" w:eastAsia="黑体" w:cs="黑体"/>
          <w:lang w:val="en-US" w:eastAsia="zh-CN"/>
        </w:rPr>
      </w:pPr>
      <w:r>
        <w:rPr>
          <w:rFonts w:hint="eastAsia" w:ascii="宋体" w:hAnsi="Times New Roman" w:eastAsia="宋体" w:cs="Times New Roman"/>
          <w:lang w:val="en-US" w:eastAsia="zh-CN"/>
        </w:rPr>
        <w:t>应</w:t>
      </w:r>
      <w:r>
        <w:rPr>
          <w:rFonts w:hint="eastAsia" w:cs="Times New Roman"/>
          <w:lang w:val="en-US" w:eastAsia="zh-CN"/>
        </w:rPr>
        <w:t>符合GB/T 17109的规定。</w:t>
      </w:r>
    </w:p>
    <w:p w14:paraId="1368AF19">
      <w:pPr>
        <w:pStyle w:val="164"/>
        <w:bidi w:val="0"/>
        <w:rPr>
          <w:rFonts w:hint="eastAsia" w:ascii="黑体" w:hAnsi="黑体" w:eastAsia="黑体" w:cs="黑体"/>
          <w:lang w:val="en-US" w:eastAsia="zh-CN"/>
        </w:rPr>
      </w:pPr>
      <w:r>
        <w:rPr>
          <w:rFonts w:hint="eastAsia" w:ascii="黑体" w:hAnsi="黑体" w:eastAsia="黑体" w:cs="黑体"/>
          <w:lang w:val="en-US" w:eastAsia="zh-CN"/>
        </w:rPr>
        <w:t>运输</w:t>
      </w:r>
    </w:p>
    <w:p w14:paraId="1C3208D3">
      <w:pPr>
        <w:pStyle w:val="67"/>
        <w:numPr>
          <w:ilvl w:val="3"/>
          <w:numId w:val="0"/>
        </w:numPr>
        <w:spacing w:before="156" w:after="156"/>
        <w:ind w:leftChars="0" w:firstLine="420" w:firstLineChars="200"/>
        <w:rPr>
          <w:rFonts w:hint="eastAsia" w:ascii="宋体" w:hAnsi="Times New Roman" w:eastAsia="宋体" w:cs="Times New Roman"/>
          <w:sz w:val="21"/>
          <w:lang w:val="en-US" w:eastAsia="zh-CN" w:bidi="ar-SA"/>
        </w:rPr>
      </w:pPr>
      <w:r>
        <w:rPr>
          <w:rFonts w:hint="eastAsia" w:ascii="宋体" w:eastAsia="宋体" w:cs="Times New Roman"/>
          <w:sz w:val="21"/>
          <w:lang w:val="en-US" w:eastAsia="zh-CN" w:bidi="ar-SA"/>
        </w:rPr>
        <w:t>应使用符合卫生要求的运输工具和容器运输。运输过程中应注意防止雨淋和污染，不得与有毒、有害物质混运。</w:t>
      </w:r>
    </w:p>
    <w:p w14:paraId="6A38B55C">
      <w:pPr>
        <w:pStyle w:val="107"/>
        <w:bidi w:val="0"/>
        <w:rPr>
          <w:rFonts w:hint="eastAsia"/>
          <w:lang w:val="en-US" w:eastAsia="zh-CN"/>
        </w:rPr>
      </w:pPr>
      <w:r>
        <w:rPr>
          <w:rFonts w:hint="eastAsia"/>
          <w:lang w:val="en-US" w:eastAsia="zh-CN"/>
        </w:rPr>
        <w:t>贮存</w:t>
      </w:r>
    </w:p>
    <w:p w14:paraId="49AEE3BC">
      <w:pPr>
        <w:pStyle w:val="58"/>
        <w:rPr>
          <w:rFonts w:hint="default"/>
          <w:lang w:val="en-US" w:eastAsia="zh-CN"/>
        </w:rPr>
      </w:pPr>
      <w:r>
        <w:rPr>
          <w:rFonts w:hint="eastAsia"/>
          <w:lang w:val="en-US" w:eastAsia="zh-CN"/>
        </w:rPr>
        <w:t>应贮存在清洁、干燥、防雨、防潮、防虫、防鼠、无异味的仓房内，不得与有毒有害物质或含水量较高的物质混存。</w:t>
      </w:r>
    </w:p>
    <w:p w14:paraId="379F1E9F">
      <w:pPr>
        <w:pStyle w:val="164"/>
        <w:numPr>
          <w:ilvl w:val="2"/>
          <w:numId w:val="0"/>
        </w:numPr>
        <w:bidi w:val="0"/>
        <w:ind w:leftChars="0"/>
        <w:rPr>
          <w:rFonts w:hint="eastAsia"/>
          <w:lang w:val="en-US" w:eastAsia="zh-CN"/>
        </w:rPr>
      </w:pPr>
    </w:p>
    <w:p w14:paraId="63CEE3A3">
      <w:pPr>
        <w:pStyle w:val="167"/>
        <w:numPr>
          <w:ilvl w:val="3"/>
          <w:numId w:val="0"/>
        </w:numPr>
        <w:bidi w:val="0"/>
        <w:ind w:leftChars="0"/>
        <w:rPr>
          <w:rFonts w:hint="eastAsia"/>
          <w:lang w:val="en-US" w:eastAsia="zh-CN"/>
        </w:rPr>
      </w:pPr>
    </w:p>
    <w:p w14:paraId="78D3E0FE">
      <w:pPr>
        <w:pStyle w:val="167"/>
        <w:numPr>
          <w:ilvl w:val="3"/>
          <w:numId w:val="0"/>
        </w:numPr>
        <w:bidi w:val="0"/>
        <w:ind w:leftChars="0"/>
        <w:rPr>
          <w:rFonts w:hint="default"/>
          <w:lang w:val="en-US" w:eastAsia="zh-CN"/>
        </w:rPr>
      </w:pPr>
    </w:p>
    <w:p w14:paraId="0672B44D">
      <w:pPr>
        <w:pStyle w:val="58"/>
        <w:ind w:firstLine="420"/>
      </w:pPr>
    </w:p>
    <w:p w14:paraId="2766A692">
      <w:pPr>
        <w:pStyle w:val="58"/>
        <w:bidi w:val="0"/>
        <w:ind w:left="0" w:leftChars="0" w:firstLine="0" w:firstLineChars="0"/>
        <w:rPr>
          <w:rFonts w:hint="eastAsia" w:eastAsia="宋体"/>
          <w:lang w:val="en-US" w:eastAsia="zh-CN"/>
        </w:rPr>
        <w:sectPr>
          <w:pgSz w:w="11906" w:h="16838"/>
          <w:pgMar w:top="1928" w:right="1134" w:bottom="1134" w:left="1134" w:header="1418" w:footer="1134" w:gutter="284"/>
          <w:pgNumType w:start="1"/>
          <w:cols w:space="425" w:num="1"/>
          <w:formProt w:val="0"/>
          <w:docGrid w:linePitch="312" w:charSpace="0"/>
        </w:sectPr>
      </w:pPr>
    </w:p>
    <w:bookmarkEnd w:id="22"/>
    <w:p w14:paraId="3134E664">
      <w:pPr>
        <w:pStyle w:val="200"/>
        <w:bidi w:val="0"/>
        <w:rPr>
          <w:rFonts w:hint="eastAsia"/>
          <w:lang w:val="en-US" w:eastAsia="zh-CN"/>
        </w:rPr>
      </w:pPr>
      <w:bookmarkStart w:id="46" w:name="BookMark5"/>
    </w:p>
    <w:p w14:paraId="534C2276">
      <w:pPr>
        <w:pStyle w:val="201"/>
        <w:bidi w:val="0"/>
        <w:rPr>
          <w:rFonts w:hint="eastAsia"/>
          <w:lang w:val="en-US" w:eastAsia="zh-CN"/>
        </w:rPr>
      </w:pPr>
    </w:p>
    <w:p w14:paraId="2BC6C3F1">
      <w:pPr>
        <w:pStyle w:val="78"/>
        <w:bidi w:val="0"/>
        <w:rPr>
          <w:rFonts w:hint="eastAsia"/>
          <w:lang w:val="en-US" w:eastAsia="zh-CN"/>
        </w:rPr>
      </w:pPr>
      <w:r>
        <w:rPr>
          <w:rFonts w:hint="eastAsia"/>
          <w:lang w:val="en-US" w:eastAsia="zh-CN"/>
        </w:rPr>
        <w:br w:type="textWrapping"/>
      </w:r>
      <w:r>
        <w:rPr>
          <w:rFonts w:hint="eastAsia"/>
          <w:lang w:val="en-US" w:eastAsia="zh-CN"/>
        </w:rPr>
        <w:t>（规范性）</w:t>
      </w:r>
      <w:r>
        <w:rPr>
          <w:rFonts w:hint="eastAsia"/>
          <w:lang w:val="en-US" w:eastAsia="zh-CN"/>
        </w:rPr>
        <w:br w:type="textWrapping"/>
      </w:r>
      <w:r>
        <w:rPr>
          <w:rFonts w:hint="eastAsia"/>
          <w:lang w:val="en-US" w:eastAsia="zh-CN"/>
        </w:rPr>
        <w:t>地理标志证明商标突泉小米产地范围示意图</w:t>
      </w:r>
    </w:p>
    <w:p w14:paraId="1961FD76">
      <w:pPr>
        <w:pStyle w:val="85"/>
        <w:numPr>
          <w:ilvl w:val="1"/>
          <w:numId w:val="0"/>
        </w:numPr>
        <w:spacing w:before="156" w:after="156"/>
        <w:ind w:firstLine="420" w:firstLineChars="200"/>
        <w:jc w:val="both"/>
        <w:rPr>
          <w:rFonts w:hint="eastAsia" w:ascii="宋体" w:hAnsi="宋体" w:eastAsia="宋体" w:cs="宋体"/>
        </w:rPr>
      </w:pPr>
      <w:r>
        <w:rPr>
          <w:rFonts w:hint="eastAsia" w:ascii="宋体" w:hAnsi="宋体" w:eastAsia="宋体" w:cs="宋体"/>
          <w:lang w:val="en-US" w:eastAsia="zh-CN"/>
        </w:rPr>
        <w:t>理标志证明商标突泉小米产地范围见图A.1。</w:t>
      </w:r>
    </w:p>
    <w:p w14:paraId="00299469">
      <w:pPr>
        <w:pStyle w:val="58"/>
        <w:bidi w:val="0"/>
        <w:ind w:left="0" w:leftChars="0" w:firstLine="0" w:firstLineChars="0"/>
        <w:rPr>
          <w:rFonts w:hint="eastAsia"/>
          <w:lang w:val="en-US" w:eastAsia="zh-CN"/>
        </w:rPr>
      </w:pPr>
    </w:p>
    <w:p w14:paraId="63FFAE2A">
      <w:pPr>
        <w:pStyle w:val="58"/>
        <w:bidi w:val="0"/>
        <w:jc w:val="both"/>
        <w:rPr>
          <w:rFonts w:hint="eastAsia"/>
          <w:lang w:val="en-US" w:eastAsia="zh-CN"/>
        </w:rPr>
      </w:pPr>
      <w:r>
        <w:rPr>
          <w:rFonts w:hint="eastAsia"/>
          <w:lang w:val="en-US" w:eastAsia="zh-CN"/>
        </w:rPr>
        <w:drawing>
          <wp:inline distT="0" distB="0" distL="114300" distR="114300">
            <wp:extent cx="5292090" cy="4824095"/>
            <wp:effectExtent l="0" t="0" r="3810" b="14605"/>
            <wp:docPr id="3" name="图片 3" descr="70278140479040865d31364321961a54"/>
            <wp:cNvGraphicFramePr/>
            <a:graphic xmlns:a="http://schemas.openxmlformats.org/drawingml/2006/main">
              <a:graphicData uri="http://schemas.openxmlformats.org/drawingml/2006/picture">
                <pic:pic xmlns:pic="http://schemas.openxmlformats.org/drawingml/2006/picture">
                  <pic:nvPicPr>
                    <pic:cNvPr id="3" name="图片 3" descr="70278140479040865d31364321961a54"/>
                    <pic:cNvPicPr/>
                  </pic:nvPicPr>
                  <pic:blipFill>
                    <a:blip r:embed="rId15"/>
                    <a:stretch>
                      <a:fillRect/>
                    </a:stretch>
                  </pic:blipFill>
                  <pic:spPr>
                    <a:xfrm>
                      <a:off x="0" y="0"/>
                      <a:ext cx="5292090" cy="4824095"/>
                    </a:xfrm>
                    <a:prstGeom prst="rect">
                      <a:avLst/>
                    </a:prstGeom>
                  </pic:spPr>
                </pic:pic>
              </a:graphicData>
            </a:graphic>
          </wp:inline>
        </w:drawing>
      </w:r>
    </w:p>
    <w:p w14:paraId="040A00EB">
      <w:pPr>
        <w:pStyle w:val="58"/>
        <w:bidi w:val="0"/>
        <w:jc w:val="both"/>
        <w:rPr>
          <w:rFonts w:hint="eastAsia"/>
          <w:lang w:val="en-US" w:eastAsia="zh-CN"/>
        </w:rPr>
      </w:pPr>
    </w:p>
    <w:p w14:paraId="2EE062F9">
      <w:pPr>
        <w:pStyle w:val="58"/>
        <w:bidi w:val="0"/>
        <w:jc w:val="both"/>
        <w:rPr>
          <w:rFonts w:hint="eastAsia"/>
          <w:lang w:val="en-US" w:eastAsia="zh-CN"/>
        </w:rPr>
      </w:pPr>
    </w:p>
    <w:p w14:paraId="49DD19BB">
      <w:pPr>
        <w:pStyle w:val="58"/>
        <w:bidi w:val="0"/>
        <w:jc w:val="both"/>
        <w:rPr>
          <w:rFonts w:hint="eastAsia"/>
          <w:lang w:val="en-US" w:eastAsia="zh-CN"/>
        </w:rPr>
      </w:pPr>
    </w:p>
    <w:p w14:paraId="6A1F601F">
      <w:pPr>
        <w:pStyle w:val="85"/>
        <w:bidi w:val="0"/>
        <w:rPr>
          <w:rFonts w:hint="eastAsia"/>
          <w:lang w:val="en-US" w:eastAsia="zh-CN"/>
        </w:rPr>
      </w:pPr>
      <w:r>
        <w:rPr>
          <w:rFonts w:hint="eastAsia"/>
          <w:lang w:val="en-US" w:eastAsia="zh-CN"/>
        </w:rPr>
        <w:t>地理标志证明商标突泉小米产地范围图</w:t>
      </w:r>
    </w:p>
    <w:bookmarkEnd w:id="46"/>
    <w:p w14:paraId="1E14BAC8">
      <w:pPr>
        <w:pStyle w:val="58"/>
        <w:ind w:firstLine="0" w:firstLineChars="0"/>
        <w:jc w:val="center"/>
        <w:rPr>
          <w:rFonts w:hint="eastAsia"/>
          <w:lang w:val="en-US" w:eastAsia="zh-CN"/>
        </w:rPr>
      </w:pPr>
      <w:bookmarkStart w:id="47" w:name="BookMark8"/>
      <w:r>
        <w:rPr>
          <w:rFonts w:hint="eastAsia"/>
          <w:lang w:val="en-US" w:eastAsia="zh-CN"/>
        </w:rPr>
        <w:drawing>
          <wp:inline distT="0" distB="0" distL="114300" distR="114300">
            <wp:extent cx="1485900" cy="317500"/>
            <wp:effectExtent l="0" t="0" r="0" b="6350"/>
            <wp:docPr id="4" name="图片 4" descr="1"/>
            <wp:cNvGraphicFramePr/>
            <a:graphic xmlns:a="http://schemas.openxmlformats.org/drawingml/2006/main">
              <a:graphicData uri="http://schemas.openxmlformats.org/drawingml/2006/picture">
                <pic:pic xmlns:pic="http://schemas.openxmlformats.org/drawingml/2006/picture">
                  <pic:nvPicPr>
                    <pic:cNvPr id="4" name="图片 4" descr="1"/>
                    <pic:cNvPicPr/>
                  </pic:nvPicPr>
                  <pic:blipFill>
                    <a:blip r:embed="rId16"/>
                    <a:stretch>
                      <a:fillRect/>
                    </a:stretch>
                  </pic:blipFill>
                  <pic:spPr>
                    <a:xfrm>
                      <a:off x="0" y="0"/>
                      <a:ext cx="1485900" cy="317500"/>
                    </a:xfrm>
                    <a:prstGeom prst="rect">
                      <a:avLst/>
                    </a:prstGeom>
                  </pic:spPr>
                </pic:pic>
              </a:graphicData>
            </a:graphic>
          </wp:inline>
        </w:drawing>
      </w:r>
      <w:bookmarkEnd w:id="47"/>
    </w:p>
    <w:sectPr>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4"/>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3"/>
      <w:rPr>
        <w:rFonts w:hint="eastAsia"/>
      </w:rPr>
    </w:pPr>
    <w:r>
      <w:fldChar w:fldCharType="begin"/>
    </w:r>
    <w:r>
      <w:instrText xml:space="preserve"> STYLEREF  标准文件_文件编号  \* MERGEFORMAT </w:instrText>
    </w:r>
    <w:r>
      <w:fldChar w:fldCharType="separate"/>
    </w:r>
    <w:r>
      <w:t>T/IMAALE 025—2026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9"/>
      <w:jc w:val="right"/>
    </w:pPr>
    <w:r>
      <w:fldChar w:fldCharType="begin"/>
    </w:r>
    <w:r>
      <w:instrText xml:space="preserve"> STYLEREF  标准文件_文件编号  \* MERGEFORMAT </w:instrText>
    </w:r>
    <w:r>
      <w:fldChar w:fldCharType="separate"/>
    </w:r>
    <w:r>
      <w:t>T/IMAALE 025—2026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A7FC83"/>
    <w:multiLevelType w:val="multilevel"/>
    <w:tmpl w:val="8AA7FC83"/>
    <w:lvl w:ilvl="0" w:tentative="0">
      <w:start w:val="1"/>
      <w:numFmt w:val="lowerLetter"/>
      <w:pStyle w:val="176"/>
      <w:lvlText w:val="%1)"/>
      <w:lvlJc w:val="left"/>
      <w:pPr>
        <w:tabs>
          <w:tab w:val="left" w:pos="851"/>
        </w:tabs>
        <w:ind w:left="851" w:hanging="426"/>
      </w:pPr>
      <w:rPr>
        <w:rFonts w:hint="eastAsia" w:ascii="宋体" w:hAnsi="Times New Roman" w:eastAsia="宋体"/>
        <w:sz w:val="21"/>
      </w:rPr>
    </w:lvl>
    <w:lvl w:ilvl="1" w:tentative="0">
      <w:start w:val="1"/>
      <w:numFmt w:val="decimal"/>
      <w:pStyle w:val="111"/>
      <w:lvlText w:val="%2)"/>
      <w:lvlJc w:val="left"/>
      <w:pPr>
        <w:tabs>
          <w:tab w:val="left" w:pos="1276"/>
        </w:tabs>
        <w:ind w:left="1276" w:hanging="425"/>
      </w:pPr>
      <w:rPr>
        <w:rFonts w:hint="eastAsia" w:ascii="宋体" w:hAnsi="Times New Roman" w:eastAsia="宋体"/>
        <w:sz w:val="21"/>
      </w:rPr>
    </w:lvl>
    <w:lvl w:ilvl="2" w:tentative="0">
      <w:start w:val="1"/>
      <w:numFmt w:val="decimal"/>
      <w:pStyle w:val="119"/>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
    <w:nsid w:val="02837933"/>
    <w:multiLevelType w:val="multilevel"/>
    <w:tmpl w:val="02837933"/>
    <w:lvl w:ilvl="0" w:tentative="0">
      <w:start w:val="1"/>
      <w:numFmt w:val="decimal"/>
      <w:pStyle w:val="66"/>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1"/>
      <w:suff w:val="nothing"/>
      <w:lvlText w:val="%1%2.%3　"/>
      <w:lvlJc w:val="left"/>
      <w:pPr>
        <w:ind w:left="0" w:firstLine="0"/>
      </w:pPr>
    </w:lvl>
    <w:lvl w:ilvl="3" w:tentative="0">
      <w:start w:val="1"/>
      <w:numFmt w:val="decimal"/>
      <w:pStyle w:val="120"/>
      <w:suff w:val="nothing"/>
      <w:lvlText w:val="%1%2.%3.%4　"/>
      <w:lvlJc w:val="left"/>
      <w:pPr>
        <w:ind w:left="0" w:firstLine="0"/>
      </w:pPr>
    </w:lvl>
    <w:lvl w:ilvl="4" w:tentative="0">
      <w:start w:val="1"/>
      <w:numFmt w:val="decimal"/>
      <w:pStyle w:val="155"/>
      <w:suff w:val="nothing"/>
      <w:lvlText w:val="%1%2.%3.%4.%5　"/>
      <w:lvlJc w:val="left"/>
      <w:pPr>
        <w:ind w:left="0" w:firstLine="0"/>
      </w:pPr>
    </w:lvl>
    <w:lvl w:ilvl="5" w:tentative="0">
      <w:start w:val="1"/>
      <w:numFmt w:val="decimal"/>
      <w:pStyle w:val="157"/>
      <w:suff w:val="nothing"/>
      <w:lvlText w:val="%1%2.%3.%4.%5.%6　"/>
      <w:lvlJc w:val="left"/>
      <w:pPr>
        <w:ind w:left="0" w:firstLine="0"/>
      </w:pPr>
    </w:lvl>
    <w:lvl w:ilvl="6" w:tentative="0">
      <w:start w:val="1"/>
      <w:numFmt w:val="decimal"/>
      <w:pStyle w:val="160"/>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2"/>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2"/>
      <w:suff w:val="nothing"/>
      <w:lvlText w:val="%10.%2 "/>
      <w:lvlJc w:val="left"/>
      <w:pPr>
        <w:ind w:left="0" w:firstLine="0"/>
      </w:pPr>
      <w:rPr>
        <w:rFonts w:hint="eastAsia" w:ascii="黑体" w:eastAsia="黑体" w:hAnsiTheme="minorHAnsi"/>
        <w:b w:val="0"/>
        <w:i w:val="0"/>
        <w:sz w:val="21"/>
      </w:rPr>
    </w:lvl>
    <w:lvl w:ilvl="2" w:tentative="0">
      <w:start w:val="1"/>
      <w:numFmt w:val="decimal"/>
      <w:pStyle w:val="203"/>
      <w:suff w:val="nothing"/>
      <w:lvlText w:val="%10.%2.%3 "/>
      <w:lvlJc w:val="left"/>
      <w:pPr>
        <w:ind w:left="0" w:firstLine="0"/>
      </w:pPr>
      <w:rPr>
        <w:rFonts w:hint="eastAsia" w:ascii="黑体" w:eastAsia="黑体" w:hAnsiTheme="minorHAnsi"/>
        <w:b w:val="0"/>
        <w:i w:val="0"/>
        <w:sz w:val="21"/>
      </w:rPr>
    </w:lvl>
    <w:lvl w:ilvl="3" w:tentative="0">
      <w:start w:val="1"/>
      <w:numFmt w:val="decimal"/>
      <w:pStyle w:val="204"/>
      <w:suff w:val="nothing"/>
      <w:lvlText w:val="%10.%2.%3.%4 "/>
      <w:lvlJc w:val="left"/>
      <w:pPr>
        <w:ind w:left="0" w:firstLine="0"/>
      </w:pPr>
      <w:rPr>
        <w:rFonts w:hint="eastAsia" w:ascii="黑体" w:eastAsia="黑体" w:hAnsiTheme="minorHAnsi"/>
        <w:b w:val="0"/>
        <w:i w:val="0"/>
        <w:sz w:val="21"/>
      </w:rPr>
    </w:lvl>
    <w:lvl w:ilvl="4" w:tentative="0">
      <w:start w:val="1"/>
      <w:numFmt w:val="decimal"/>
      <w:pStyle w:val="205"/>
      <w:suff w:val="nothing"/>
      <w:lvlText w:val="%10.%2.%3.%4.%5 "/>
      <w:lvlJc w:val="left"/>
      <w:pPr>
        <w:ind w:left="0" w:firstLine="0"/>
      </w:pPr>
      <w:rPr>
        <w:rFonts w:hint="eastAsia" w:ascii="黑体" w:eastAsia="黑体" w:hAnsiTheme="minorHAnsi"/>
        <w:b w:val="0"/>
        <w:i w:val="0"/>
        <w:sz w:val="21"/>
      </w:rPr>
    </w:lvl>
    <w:lvl w:ilvl="5" w:tentative="0">
      <w:start w:val="1"/>
      <w:numFmt w:val="decimal"/>
      <w:pStyle w:val="206"/>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3"/>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9"/>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2"/>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7"/>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4"/>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9"/>
      <w:lvlText w:val=""/>
      <w:lvlJc w:val="left"/>
      <w:pPr>
        <w:ind w:left="851" w:hanging="431"/>
      </w:pPr>
      <w:rPr>
        <w:rFonts w:hint="default" w:ascii="Symbol" w:hAnsi="Symbol"/>
        <w:sz w:val="21"/>
      </w:rPr>
    </w:lvl>
    <w:lvl w:ilvl="2" w:tentative="0">
      <w:start w:val="1"/>
      <w:numFmt w:val="bullet"/>
      <w:pStyle w:val="174"/>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3"/>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8802D1C"/>
    <w:multiLevelType w:val="multilevel"/>
    <w:tmpl w:val="48802D1C"/>
    <w:lvl w:ilvl="0" w:tentative="0">
      <w:start w:val="1"/>
      <w:numFmt w:val="upperLetter"/>
      <w:pStyle w:val="200"/>
      <w:lvlText w:val="%1"/>
      <w:lvlJc w:val="left"/>
      <w:pPr>
        <w:ind w:left="420" w:hanging="420"/>
      </w:pPr>
      <w:rPr>
        <w:rFonts w:hint="eastAsia"/>
      </w:rPr>
    </w:lvl>
    <w:lvl w:ilvl="1" w:tentative="0">
      <w:start w:val="1"/>
      <w:numFmt w:val="decimal"/>
      <w:pStyle w:val="85"/>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5"/>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8"/>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6"/>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1"/>
      <w:suff w:val="space"/>
      <w:lvlText w:val="%1"/>
      <w:lvlJc w:val="left"/>
      <w:pPr>
        <w:ind w:left="425" w:hanging="425"/>
      </w:pPr>
      <w:rPr>
        <w:rFonts w:hint="eastAsia"/>
      </w:rPr>
    </w:lvl>
    <w:lvl w:ilvl="1" w:tentative="0">
      <w:start w:val="1"/>
      <w:numFmt w:val="decimal"/>
      <w:pStyle w:val="79"/>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3"/>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1"/>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8"/>
      <w:suff w:val="nothing"/>
      <w:lvlText w:val="附录%1"/>
      <w:lvlJc w:val="left"/>
      <w:pPr>
        <w:ind w:left="0" w:firstLine="0"/>
      </w:pPr>
      <w:rPr>
        <w:rFonts w:hint="eastAsia"/>
        <w:spacing w:val="100"/>
      </w:rPr>
    </w:lvl>
    <w:lvl w:ilvl="1" w:tentative="0">
      <w:start w:val="1"/>
      <w:numFmt w:val="decimal"/>
      <w:pStyle w:val="80"/>
      <w:suff w:val="nothing"/>
      <w:lvlText w:val="%1.%2　"/>
      <w:lvlJc w:val="left"/>
      <w:pPr>
        <w:ind w:left="0" w:firstLine="0"/>
      </w:pPr>
      <w:rPr>
        <w:rFonts w:hint="eastAsia" w:ascii="黑体" w:eastAsia="黑体"/>
        <w:b w:val="0"/>
        <w:i w:val="0"/>
        <w:sz w:val="21"/>
      </w:rPr>
    </w:lvl>
    <w:lvl w:ilvl="2" w:tentative="0">
      <w:start w:val="1"/>
      <w:numFmt w:val="decimal"/>
      <w:pStyle w:val="81"/>
      <w:suff w:val="nothing"/>
      <w:lvlText w:val="%1.%2.%3　"/>
      <w:lvlJc w:val="left"/>
      <w:pPr>
        <w:ind w:left="0" w:firstLine="0"/>
      </w:pPr>
      <w:rPr>
        <w:rFonts w:hint="eastAsia" w:ascii="黑体" w:eastAsia="黑体"/>
        <w:b w:val="0"/>
        <w:i w:val="0"/>
        <w:sz w:val="21"/>
      </w:rPr>
    </w:lvl>
    <w:lvl w:ilvl="3" w:tentative="0">
      <w:start w:val="1"/>
      <w:numFmt w:val="decimal"/>
      <w:pStyle w:val="83"/>
      <w:suff w:val="nothing"/>
      <w:lvlText w:val="%1.%2.%3.%4　"/>
      <w:lvlJc w:val="left"/>
      <w:pPr>
        <w:ind w:left="0" w:firstLine="0"/>
      </w:pPr>
      <w:rPr>
        <w:rFonts w:hint="eastAsia" w:ascii="黑体" w:eastAsia="黑体"/>
        <w:b w:val="0"/>
        <w:i w:val="0"/>
        <w:sz w:val="21"/>
      </w:rPr>
    </w:lvl>
    <w:lvl w:ilvl="4" w:tentative="0">
      <w:start w:val="1"/>
      <w:numFmt w:val="decimal"/>
      <w:pStyle w:val="84"/>
      <w:suff w:val="nothing"/>
      <w:lvlText w:val="%1.%2.%3.%4.%5　"/>
      <w:lvlJc w:val="left"/>
      <w:pPr>
        <w:ind w:left="0" w:firstLine="0"/>
      </w:pPr>
      <w:rPr>
        <w:rFonts w:hint="eastAsia" w:ascii="黑体" w:eastAsia="黑体"/>
        <w:b w:val="0"/>
        <w:i w:val="0"/>
        <w:sz w:val="21"/>
      </w:rPr>
    </w:lvl>
    <w:lvl w:ilvl="5" w:tentative="0">
      <w:start w:val="1"/>
      <w:numFmt w:val="decimal"/>
      <w:pStyle w:val="86"/>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0"/>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4"/>
      <w:suff w:val="nothing"/>
      <w:lvlText w:val="%1"/>
      <w:lvlJc w:val="left"/>
      <w:pPr>
        <w:ind w:left="0" w:firstLine="0"/>
      </w:pPr>
      <w:rPr>
        <w:rFonts w:hint="eastAsia"/>
      </w:rPr>
    </w:lvl>
    <w:lvl w:ilvl="1" w:tentative="0">
      <w:start w:val="1"/>
      <w:numFmt w:val="decimal"/>
      <w:pStyle w:val="106"/>
      <w:suff w:val="nothing"/>
      <w:lvlText w:val="%1%2　"/>
      <w:lvlJc w:val="left"/>
      <w:pPr>
        <w:ind w:left="0" w:firstLine="0"/>
      </w:pPr>
      <w:rPr>
        <w:rFonts w:hint="eastAsia" w:ascii="黑体" w:eastAsia="黑体"/>
        <w:b w:val="0"/>
        <w:i w:val="0"/>
        <w:sz w:val="21"/>
      </w:rPr>
    </w:lvl>
    <w:lvl w:ilvl="2" w:tentative="0">
      <w:start w:val="1"/>
      <w:numFmt w:val="decimal"/>
      <w:pStyle w:val="10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7"/>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5"/>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1"/>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7"/>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1"/>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7"/>
  </w:num>
  <w:num w:numId="3">
    <w:abstractNumId w:val="6"/>
  </w:num>
  <w:num w:numId="4">
    <w:abstractNumId w:val="23"/>
  </w:num>
  <w:num w:numId="5">
    <w:abstractNumId w:val="18"/>
  </w:num>
  <w:num w:numId="6">
    <w:abstractNumId w:val="13"/>
  </w:num>
  <w:num w:numId="7">
    <w:abstractNumId w:val="9"/>
  </w:num>
  <w:num w:numId="8">
    <w:abstractNumId w:val="4"/>
  </w:num>
  <w:num w:numId="9">
    <w:abstractNumId w:val="10"/>
  </w:num>
  <w:num w:numId="10">
    <w:abstractNumId w:val="16"/>
  </w:num>
  <w:num w:numId="11">
    <w:abstractNumId w:val="25"/>
  </w:num>
  <w:num w:numId="12">
    <w:abstractNumId w:val="12"/>
  </w:num>
  <w:num w:numId="13">
    <w:abstractNumId w:val="0"/>
  </w:num>
  <w:num w:numId="14">
    <w:abstractNumId w:val="8"/>
  </w:num>
  <w:num w:numId="15">
    <w:abstractNumId w:val="19"/>
  </w:num>
  <w:num w:numId="16">
    <w:abstractNumId w:val="21"/>
  </w:num>
  <w:num w:numId="17">
    <w:abstractNumId w:val="17"/>
  </w:num>
  <w:num w:numId="18">
    <w:abstractNumId w:val="29"/>
  </w:num>
  <w:num w:numId="19">
    <w:abstractNumId w:val="15"/>
  </w:num>
  <w:num w:numId="20">
    <w:abstractNumId w:val="2"/>
  </w:num>
  <w:num w:numId="21">
    <w:abstractNumId w:val="11"/>
  </w:num>
  <w:num w:numId="22">
    <w:abstractNumId w:val="30"/>
  </w:num>
  <w:num w:numId="23">
    <w:abstractNumId w:val="20"/>
  </w:num>
  <w:num w:numId="24">
    <w:abstractNumId w:val="7"/>
  </w:num>
  <w:num w:numId="25">
    <w:abstractNumId w:val="26"/>
  </w:num>
  <w:num w:numId="26">
    <w:abstractNumId w:val="28"/>
  </w:num>
  <w:num w:numId="27">
    <w:abstractNumId w:val="3"/>
  </w:num>
  <w:num w:numId="28">
    <w:abstractNumId w:val="5"/>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dit="forms" w:enforcement="1" w:cryptProviderType="rsaFull" w:cryptAlgorithmClass="hash" w:cryptAlgorithmType="typeAny" w:cryptAlgorithmSid="4" w:cryptSpinCount="0" w:hash="BKYDahKlJIzSfMh/t7y/OcnCMxo=" w:salt="t+QSyTRuXr9743XKOm+zEA=="/>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94F518E"/>
    <w:rsid w:val="0000040A"/>
    <w:rsid w:val="00000A94"/>
    <w:rsid w:val="00001972"/>
    <w:rsid w:val="00001D9A"/>
    <w:rsid w:val="00002D44"/>
    <w:rsid w:val="00007B3A"/>
    <w:rsid w:val="000107E0"/>
    <w:rsid w:val="00011FDE"/>
    <w:rsid w:val="00012FFD"/>
    <w:rsid w:val="00014162"/>
    <w:rsid w:val="00014340"/>
    <w:rsid w:val="00015A8C"/>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7349C"/>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5EA1"/>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1E35"/>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4788B"/>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0EA3"/>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121891"/>
    <w:rsid w:val="013B6B5D"/>
    <w:rsid w:val="013E2686"/>
    <w:rsid w:val="014A102B"/>
    <w:rsid w:val="015522D5"/>
    <w:rsid w:val="01BB3CD7"/>
    <w:rsid w:val="01CA3F1A"/>
    <w:rsid w:val="01DB7ED5"/>
    <w:rsid w:val="01EE7C08"/>
    <w:rsid w:val="0234063D"/>
    <w:rsid w:val="0256755B"/>
    <w:rsid w:val="0273635F"/>
    <w:rsid w:val="02746BAB"/>
    <w:rsid w:val="02A26AC8"/>
    <w:rsid w:val="02B0537A"/>
    <w:rsid w:val="02BA21E0"/>
    <w:rsid w:val="02CA4845"/>
    <w:rsid w:val="02EB774C"/>
    <w:rsid w:val="02ED6112"/>
    <w:rsid w:val="03044C13"/>
    <w:rsid w:val="0328714A"/>
    <w:rsid w:val="032D0693"/>
    <w:rsid w:val="03822CFE"/>
    <w:rsid w:val="03942A31"/>
    <w:rsid w:val="03962305"/>
    <w:rsid w:val="03A61443"/>
    <w:rsid w:val="04073203"/>
    <w:rsid w:val="043858E1"/>
    <w:rsid w:val="04441D61"/>
    <w:rsid w:val="0458580D"/>
    <w:rsid w:val="04722D72"/>
    <w:rsid w:val="04844854"/>
    <w:rsid w:val="04DA26C6"/>
    <w:rsid w:val="053C0C8A"/>
    <w:rsid w:val="058645FB"/>
    <w:rsid w:val="058C1C12"/>
    <w:rsid w:val="05BB24F7"/>
    <w:rsid w:val="05D47115"/>
    <w:rsid w:val="05EB743C"/>
    <w:rsid w:val="06452248"/>
    <w:rsid w:val="06640499"/>
    <w:rsid w:val="06BF6017"/>
    <w:rsid w:val="06C13B3D"/>
    <w:rsid w:val="06CB733C"/>
    <w:rsid w:val="07035F04"/>
    <w:rsid w:val="073065CD"/>
    <w:rsid w:val="074B3407"/>
    <w:rsid w:val="077566D6"/>
    <w:rsid w:val="07951EC6"/>
    <w:rsid w:val="07B3140E"/>
    <w:rsid w:val="07D23B28"/>
    <w:rsid w:val="088968DD"/>
    <w:rsid w:val="08CC4A1B"/>
    <w:rsid w:val="08F024B8"/>
    <w:rsid w:val="093323A4"/>
    <w:rsid w:val="09382BD6"/>
    <w:rsid w:val="09434CDD"/>
    <w:rsid w:val="094840A2"/>
    <w:rsid w:val="09D678FF"/>
    <w:rsid w:val="09D73678"/>
    <w:rsid w:val="09DC47EA"/>
    <w:rsid w:val="09E13DD4"/>
    <w:rsid w:val="09EC7AAD"/>
    <w:rsid w:val="0A2A7C4B"/>
    <w:rsid w:val="0A2F3081"/>
    <w:rsid w:val="0A432ABB"/>
    <w:rsid w:val="0A4800D1"/>
    <w:rsid w:val="0A584970"/>
    <w:rsid w:val="0A7648BF"/>
    <w:rsid w:val="0A7B2255"/>
    <w:rsid w:val="0A892BC4"/>
    <w:rsid w:val="0B016BFE"/>
    <w:rsid w:val="0B364677"/>
    <w:rsid w:val="0B3A3EBE"/>
    <w:rsid w:val="0B3A5C6C"/>
    <w:rsid w:val="0B3D1B83"/>
    <w:rsid w:val="0B5C3E34"/>
    <w:rsid w:val="0B705B32"/>
    <w:rsid w:val="0B732F2C"/>
    <w:rsid w:val="0B7A42BB"/>
    <w:rsid w:val="0B8D66E4"/>
    <w:rsid w:val="0BBB40C9"/>
    <w:rsid w:val="0BC457B2"/>
    <w:rsid w:val="0BE1258C"/>
    <w:rsid w:val="0BE1747C"/>
    <w:rsid w:val="0BE67BA2"/>
    <w:rsid w:val="0BEA58E4"/>
    <w:rsid w:val="0BF22EDE"/>
    <w:rsid w:val="0BF71DAF"/>
    <w:rsid w:val="0C3B1C9C"/>
    <w:rsid w:val="0C405504"/>
    <w:rsid w:val="0C4072B2"/>
    <w:rsid w:val="0C5965C6"/>
    <w:rsid w:val="0C7358DA"/>
    <w:rsid w:val="0C747A2B"/>
    <w:rsid w:val="0C975227"/>
    <w:rsid w:val="0CB832EC"/>
    <w:rsid w:val="0D091D9A"/>
    <w:rsid w:val="0D2941EA"/>
    <w:rsid w:val="0D692839"/>
    <w:rsid w:val="0D8B6C53"/>
    <w:rsid w:val="0D951880"/>
    <w:rsid w:val="0DC363ED"/>
    <w:rsid w:val="0DFB64F3"/>
    <w:rsid w:val="0E1924B1"/>
    <w:rsid w:val="0E2844A2"/>
    <w:rsid w:val="0E364E11"/>
    <w:rsid w:val="0EC87A33"/>
    <w:rsid w:val="0ECD6FA8"/>
    <w:rsid w:val="0F10771B"/>
    <w:rsid w:val="0F3A26DF"/>
    <w:rsid w:val="0F753717"/>
    <w:rsid w:val="0F772119"/>
    <w:rsid w:val="0FB3423F"/>
    <w:rsid w:val="10667503"/>
    <w:rsid w:val="11651569"/>
    <w:rsid w:val="11A93B4C"/>
    <w:rsid w:val="11E06E41"/>
    <w:rsid w:val="11E15093"/>
    <w:rsid w:val="12046FD4"/>
    <w:rsid w:val="122D02D9"/>
    <w:rsid w:val="12491D69"/>
    <w:rsid w:val="12543AB7"/>
    <w:rsid w:val="126F6B43"/>
    <w:rsid w:val="12AA10F1"/>
    <w:rsid w:val="12B10F0A"/>
    <w:rsid w:val="12BA1309"/>
    <w:rsid w:val="12D469A6"/>
    <w:rsid w:val="130C4392"/>
    <w:rsid w:val="13166FBF"/>
    <w:rsid w:val="13243011"/>
    <w:rsid w:val="132536A6"/>
    <w:rsid w:val="13484F1B"/>
    <w:rsid w:val="138F10FE"/>
    <w:rsid w:val="139F5206"/>
    <w:rsid w:val="13C57211"/>
    <w:rsid w:val="13D824C6"/>
    <w:rsid w:val="13EB7EFF"/>
    <w:rsid w:val="13EE3A98"/>
    <w:rsid w:val="14157276"/>
    <w:rsid w:val="141A7667"/>
    <w:rsid w:val="141D59F3"/>
    <w:rsid w:val="14883EEC"/>
    <w:rsid w:val="14A44C48"/>
    <w:rsid w:val="14ED3D4F"/>
    <w:rsid w:val="14F670A8"/>
    <w:rsid w:val="15015A4D"/>
    <w:rsid w:val="1525798D"/>
    <w:rsid w:val="1551198D"/>
    <w:rsid w:val="15603DFF"/>
    <w:rsid w:val="15630CA5"/>
    <w:rsid w:val="15992295"/>
    <w:rsid w:val="15A5287C"/>
    <w:rsid w:val="15B12FCF"/>
    <w:rsid w:val="15EC4007"/>
    <w:rsid w:val="162419F3"/>
    <w:rsid w:val="16445BF1"/>
    <w:rsid w:val="166922EB"/>
    <w:rsid w:val="16976668"/>
    <w:rsid w:val="16981528"/>
    <w:rsid w:val="16D231FD"/>
    <w:rsid w:val="170610F8"/>
    <w:rsid w:val="170B2BB3"/>
    <w:rsid w:val="172F3FDF"/>
    <w:rsid w:val="173E6AE4"/>
    <w:rsid w:val="176E561B"/>
    <w:rsid w:val="17710C68"/>
    <w:rsid w:val="1780297E"/>
    <w:rsid w:val="17AA5F28"/>
    <w:rsid w:val="17D17E9D"/>
    <w:rsid w:val="18027B12"/>
    <w:rsid w:val="181D0DEF"/>
    <w:rsid w:val="185B5474"/>
    <w:rsid w:val="187A7FF0"/>
    <w:rsid w:val="1890336F"/>
    <w:rsid w:val="18AE64DD"/>
    <w:rsid w:val="18CE5C46"/>
    <w:rsid w:val="19314B52"/>
    <w:rsid w:val="193D5BD1"/>
    <w:rsid w:val="196B16E7"/>
    <w:rsid w:val="19AB02DA"/>
    <w:rsid w:val="19AC5F87"/>
    <w:rsid w:val="19B61A68"/>
    <w:rsid w:val="19BE215E"/>
    <w:rsid w:val="19E25E4D"/>
    <w:rsid w:val="19EC6CCB"/>
    <w:rsid w:val="19FF69FF"/>
    <w:rsid w:val="1A07140F"/>
    <w:rsid w:val="1A147FD0"/>
    <w:rsid w:val="1A1E49AB"/>
    <w:rsid w:val="1A584361"/>
    <w:rsid w:val="1A703458"/>
    <w:rsid w:val="1A873050"/>
    <w:rsid w:val="1A920163"/>
    <w:rsid w:val="1ABC669E"/>
    <w:rsid w:val="1B140288"/>
    <w:rsid w:val="1B281F85"/>
    <w:rsid w:val="1B4548E5"/>
    <w:rsid w:val="1B634D6B"/>
    <w:rsid w:val="1BAA1CA5"/>
    <w:rsid w:val="1BB144E7"/>
    <w:rsid w:val="1BB630ED"/>
    <w:rsid w:val="1BB9498B"/>
    <w:rsid w:val="1C2269D4"/>
    <w:rsid w:val="1C332BD1"/>
    <w:rsid w:val="1CA32FD4"/>
    <w:rsid w:val="1CCF401D"/>
    <w:rsid w:val="1CFC21FD"/>
    <w:rsid w:val="1D001020"/>
    <w:rsid w:val="1D291FE4"/>
    <w:rsid w:val="1D41732E"/>
    <w:rsid w:val="1D4833BA"/>
    <w:rsid w:val="1D516351"/>
    <w:rsid w:val="1D557E55"/>
    <w:rsid w:val="1DCC309C"/>
    <w:rsid w:val="1E5B7F7C"/>
    <w:rsid w:val="1EC43D73"/>
    <w:rsid w:val="1EDA3596"/>
    <w:rsid w:val="1F0060BE"/>
    <w:rsid w:val="1F2E743E"/>
    <w:rsid w:val="1F494278"/>
    <w:rsid w:val="1F4C5B16"/>
    <w:rsid w:val="1F645556"/>
    <w:rsid w:val="1FA31BDA"/>
    <w:rsid w:val="1FF02946"/>
    <w:rsid w:val="20166850"/>
    <w:rsid w:val="202F16C0"/>
    <w:rsid w:val="20987265"/>
    <w:rsid w:val="209D2ACD"/>
    <w:rsid w:val="20BE47F2"/>
    <w:rsid w:val="20FB76C1"/>
    <w:rsid w:val="211F1734"/>
    <w:rsid w:val="217E5989"/>
    <w:rsid w:val="21A25EC1"/>
    <w:rsid w:val="21D50045"/>
    <w:rsid w:val="220B3A67"/>
    <w:rsid w:val="223119FD"/>
    <w:rsid w:val="22B10AB2"/>
    <w:rsid w:val="232079E6"/>
    <w:rsid w:val="232C0139"/>
    <w:rsid w:val="23C27922"/>
    <w:rsid w:val="23CE7442"/>
    <w:rsid w:val="23E80503"/>
    <w:rsid w:val="23FE1AD5"/>
    <w:rsid w:val="240D7F6A"/>
    <w:rsid w:val="241412F8"/>
    <w:rsid w:val="243A0633"/>
    <w:rsid w:val="245142FB"/>
    <w:rsid w:val="24637B8A"/>
    <w:rsid w:val="247016DD"/>
    <w:rsid w:val="247973AD"/>
    <w:rsid w:val="24813CEA"/>
    <w:rsid w:val="24861ACA"/>
    <w:rsid w:val="24C70119"/>
    <w:rsid w:val="2503311B"/>
    <w:rsid w:val="25714529"/>
    <w:rsid w:val="25867FD4"/>
    <w:rsid w:val="258B2DDD"/>
    <w:rsid w:val="258B7398"/>
    <w:rsid w:val="258E6E89"/>
    <w:rsid w:val="259D3570"/>
    <w:rsid w:val="25A4045A"/>
    <w:rsid w:val="2601765A"/>
    <w:rsid w:val="26437C73"/>
    <w:rsid w:val="26775B6F"/>
    <w:rsid w:val="26795443"/>
    <w:rsid w:val="2679798B"/>
    <w:rsid w:val="26832765"/>
    <w:rsid w:val="27223D2C"/>
    <w:rsid w:val="273C335F"/>
    <w:rsid w:val="2769195B"/>
    <w:rsid w:val="277420AE"/>
    <w:rsid w:val="277B168E"/>
    <w:rsid w:val="27B32BD6"/>
    <w:rsid w:val="27B70919"/>
    <w:rsid w:val="27DB3EDB"/>
    <w:rsid w:val="28034902"/>
    <w:rsid w:val="28117CD7"/>
    <w:rsid w:val="28123DA1"/>
    <w:rsid w:val="28176166"/>
    <w:rsid w:val="283A50A6"/>
    <w:rsid w:val="28AF4EEF"/>
    <w:rsid w:val="28B5297E"/>
    <w:rsid w:val="28C17575"/>
    <w:rsid w:val="28E76FDC"/>
    <w:rsid w:val="29017971"/>
    <w:rsid w:val="294B4321"/>
    <w:rsid w:val="29932CBF"/>
    <w:rsid w:val="29AB625B"/>
    <w:rsid w:val="29E22301"/>
    <w:rsid w:val="29EC6874"/>
    <w:rsid w:val="2A077209"/>
    <w:rsid w:val="2A196977"/>
    <w:rsid w:val="2A814869"/>
    <w:rsid w:val="2AC23F22"/>
    <w:rsid w:val="2AC84BEB"/>
    <w:rsid w:val="2AED28A3"/>
    <w:rsid w:val="2AED63FF"/>
    <w:rsid w:val="2AF23A16"/>
    <w:rsid w:val="2B1E480B"/>
    <w:rsid w:val="2B6C1A1A"/>
    <w:rsid w:val="2B7B1C0B"/>
    <w:rsid w:val="2B8579CC"/>
    <w:rsid w:val="2BB84C5F"/>
    <w:rsid w:val="2BC058C2"/>
    <w:rsid w:val="2BD447F6"/>
    <w:rsid w:val="2BEF1E2A"/>
    <w:rsid w:val="2BFC0FF0"/>
    <w:rsid w:val="2C3562B0"/>
    <w:rsid w:val="2C3A38C6"/>
    <w:rsid w:val="2C3D5164"/>
    <w:rsid w:val="2C3F712F"/>
    <w:rsid w:val="2C9859E6"/>
    <w:rsid w:val="2CAB45AB"/>
    <w:rsid w:val="2CCA2E9C"/>
    <w:rsid w:val="2CF30308"/>
    <w:rsid w:val="2D3447B9"/>
    <w:rsid w:val="2D502C75"/>
    <w:rsid w:val="2D5A377F"/>
    <w:rsid w:val="2D5B1D46"/>
    <w:rsid w:val="2D940DB4"/>
    <w:rsid w:val="2D9B65E7"/>
    <w:rsid w:val="2DC0604D"/>
    <w:rsid w:val="2DCE2518"/>
    <w:rsid w:val="2E112405"/>
    <w:rsid w:val="2E121EE3"/>
    <w:rsid w:val="2E2F6D2F"/>
    <w:rsid w:val="2E4C78E1"/>
    <w:rsid w:val="2E6609A2"/>
    <w:rsid w:val="2E7540FB"/>
    <w:rsid w:val="2EAF2B13"/>
    <w:rsid w:val="2F1877C3"/>
    <w:rsid w:val="2F3740ED"/>
    <w:rsid w:val="2F6C023B"/>
    <w:rsid w:val="2F794705"/>
    <w:rsid w:val="2F9E23BE"/>
    <w:rsid w:val="2FA774C5"/>
    <w:rsid w:val="2FD64A7E"/>
    <w:rsid w:val="30055F99"/>
    <w:rsid w:val="304F4436"/>
    <w:rsid w:val="30517430"/>
    <w:rsid w:val="305F4F6B"/>
    <w:rsid w:val="308C20BB"/>
    <w:rsid w:val="30930421"/>
    <w:rsid w:val="30973596"/>
    <w:rsid w:val="30B5176D"/>
    <w:rsid w:val="30C9346B"/>
    <w:rsid w:val="30F524B2"/>
    <w:rsid w:val="30F77FD8"/>
    <w:rsid w:val="311F752F"/>
    <w:rsid w:val="320C1861"/>
    <w:rsid w:val="321E3342"/>
    <w:rsid w:val="322A1CE7"/>
    <w:rsid w:val="32537490"/>
    <w:rsid w:val="325F4087"/>
    <w:rsid w:val="32931F82"/>
    <w:rsid w:val="32933D30"/>
    <w:rsid w:val="32A33B29"/>
    <w:rsid w:val="32C24615"/>
    <w:rsid w:val="32F63C4B"/>
    <w:rsid w:val="32FF4F22"/>
    <w:rsid w:val="33492641"/>
    <w:rsid w:val="335E60EC"/>
    <w:rsid w:val="3361798A"/>
    <w:rsid w:val="33B05E45"/>
    <w:rsid w:val="33E74334"/>
    <w:rsid w:val="34362BC5"/>
    <w:rsid w:val="34733E19"/>
    <w:rsid w:val="34737FC2"/>
    <w:rsid w:val="34B1049E"/>
    <w:rsid w:val="34CC177B"/>
    <w:rsid w:val="34E97C37"/>
    <w:rsid w:val="355A17E5"/>
    <w:rsid w:val="35773495"/>
    <w:rsid w:val="3590706C"/>
    <w:rsid w:val="35A87AF3"/>
    <w:rsid w:val="35CF1523"/>
    <w:rsid w:val="35F1076F"/>
    <w:rsid w:val="35F26FC0"/>
    <w:rsid w:val="35FC1BEC"/>
    <w:rsid w:val="36474BC0"/>
    <w:rsid w:val="365E6403"/>
    <w:rsid w:val="366E3BE0"/>
    <w:rsid w:val="36AA5AEC"/>
    <w:rsid w:val="36B64491"/>
    <w:rsid w:val="36BA41EE"/>
    <w:rsid w:val="36FC6348"/>
    <w:rsid w:val="37A20571"/>
    <w:rsid w:val="37B7226F"/>
    <w:rsid w:val="37EE37B7"/>
    <w:rsid w:val="380F3E59"/>
    <w:rsid w:val="381C0324"/>
    <w:rsid w:val="381F1BC2"/>
    <w:rsid w:val="382B0567"/>
    <w:rsid w:val="384C6E5B"/>
    <w:rsid w:val="388163D9"/>
    <w:rsid w:val="389B749B"/>
    <w:rsid w:val="38BB5D8F"/>
    <w:rsid w:val="38CF35E8"/>
    <w:rsid w:val="39094D4C"/>
    <w:rsid w:val="391B4A7F"/>
    <w:rsid w:val="39225E0E"/>
    <w:rsid w:val="39276F80"/>
    <w:rsid w:val="394958FD"/>
    <w:rsid w:val="395A454A"/>
    <w:rsid w:val="39932868"/>
    <w:rsid w:val="39B56711"/>
    <w:rsid w:val="39B867BB"/>
    <w:rsid w:val="3A086DB2"/>
    <w:rsid w:val="3A0D43C8"/>
    <w:rsid w:val="3A1303FA"/>
    <w:rsid w:val="3A3E0A25"/>
    <w:rsid w:val="3A3E27D3"/>
    <w:rsid w:val="3A541D49"/>
    <w:rsid w:val="3A766411"/>
    <w:rsid w:val="3A786573"/>
    <w:rsid w:val="3A836438"/>
    <w:rsid w:val="3A9E3A8B"/>
    <w:rsid w:val="3AAA1F99"/>
    <w:rsid w:val="3AC727C9"/>
    <w:rsid w:val="3AF55D52"/>
    <w:rsid w:val="3B023801"/>
    <w:rsid w:val="3B1479D8"/>
    <w:rsid w:val="3B1672AC"/>
    <w:rsid w:val="3B5B1163"/>
    <w:rsid w:val="3B800BCA"/>
    <w:rsid w:val="3B941309"/>
    <w:rsid w:val="3BF05D4F"/>
    <w:rsid w:val="3C0A582D"/>
    <w:rsid w:val="3C0E2679"/>
    <w:rsid w:val="3C636521"/>
    <w:rsid w:val="3C6504EB"/>
    <w:rsid w:val="3C6F136A"/>
    <w:rsid w:val="3C836BC3"/>
    <w:rsid w:val="3C8A1D00"/>
    <w:rsid w:val="3C9012E0"/>
    <w:rsid w:val="3CA803D8"/>
    <w:rsid w:val="3D2739F3"/>
    <w:rsid w:val="3D347EBE"/>
    <w:rsid w:val="3D430101"/>
    <w:rsid w:val="3D6E1622"/>
    <w:rsid w:val="3D9848F1"/>
    <w:rsid w:val="3DCF605F"/>
    <w:rsid w:val="3DDD67A7"/>
    <w:rsid w:val="3DFD29A6"/>
    <w:rsid w:val="3E073460"/>
    <w:rsid w:val="3E0D61A2"/>
    <w:rsid w:val="3E10092B"/>
    <w:rsid w:val="3E2E0DB1"/>
    <w:rsid w:val="3E5A418E"/>
    <w:rsid w:val="3E5A6583"/>
    <w:rsid w:val="3E66477A"/>
    <w:rsid w:val="3EA6276F"/>
    <w:rsid w:val="3EB017C6"/>
    <w:rsid w:val="3EB23790"/>
    <w:rsid w:val="3EC85BF0"/>
    <w:rsid w:val="3EE75DB1"/>
    <w:rsid w:val="3F055FB6"/>
    <w:rsid w:val="3F2D1069"/>
    <w:rsid w:val="3F8A2017"/>
    <w:rsid w:val="3FB53538"/>
    <w:rsid w:val="3FDB0AC5"/>
    <w:rsid w:val="3FFA546F"/>
    <w:rsid w:val="402B37FA"/>
    <w:rsid w:val="403666A1"/>
    <w:rsid w:val="403C1A73"/>
    <w:rsid w:val="40580367"/>
    <w:rsid w:val="407B1C4F"/>
    <w:rsid w:val="41261227"/>
    <w:rsid w:val="41586871"/>
    <w:rsid w:val="41C932CA"/>
    <w:rsid w:val="42073141"/>
    <w:rsid w:val="420A5691"/>
    <w:rsid w:val="42100EF9"/>
    <w:rsid w:val="426B67E5"/>
    <w:rsid w:val="4286740D"/>
    <w:rsid w:val="4296435D"/>
    <w:rsid w:val="42FF3FE9"/>
    <w:rsid w:val="42FF4ACA"/>
    <w:rsid w:val="434F15AD"/>
    <w:rsid w:val="435272F0"/>
    <w:rsid w:val="43884D6A"/>
    <w:rsid w:val="439873F8"/>
    <w:rsid w:val="43AE09CA"/>
    <w:rsid w:val="43CD4BC8"/>
    <w:rsid w:val="4407632C"/>
    <w:rsid w:val="441F3676"/>
    <w:rsid w:val="44392A6D"/>
    <w:rsid w:val="444D217E"/>
    <w:rsid w:val="44953938"/>
    <w:rsid w:val="44C0795E"/>
    <w:rsid w:val="44C4421D"/>
    <w:rsid w:val="44DC50C3"/>
    <w:rsid w:val="44FF2277"/>
    <w:rsid w:val="450B3BFA"/>
    <w:rsid w:val="451E6974"/>
    <w:rsid w:val="45322F35"/>
    <w:rsid w:val="459C4979"/>
    <w:rsid w:val="45B7168C"/>
    <w:rsid w:val="45C10D70"/>
    <w:rsid w:val="45D43FEC"/>
    <w:rsid w:val="46BA7686"/>
    <w:rsid w:val="46D149CF"/>
    <w:rsid w:val="476475F1"/>
    <w:rsid w:val="477A0BC3"/>
    <w:rsid w:val="47947ED7"/>
    <w:rsid w:val="47B916EB"/>
    <w:rsid w:val="47D77DC3"/>
    <w:rsid w:val="47E0311C"/>
    <w:rsid w:val="480B000A"/>
    <w:rsid w:val="48270D4B"/>
    <w:rsid w:val="482F19AD"/>
    <w:rsid w:val="48484C47"/>
    <w:rsid w:val="4877302A"/>
    <w:rsid w:val="487970CD"/>
    <w:rsid w:val="488520C4"/>
    <w:rsid w:val="48857523"/>
    <w:rsid w:val="489D2DBB"/>
    <w:rsid w:val="48A71E8C"/>
    <w:rsid w:val="48AA5EB9"/>
    <w:rsid w:val="48AA6225"/>
    <w:rsid w:val="48B00A3D"/>
    <w:rsid w:val="48E376BD"/>
    <w:rsid w:val="490177EE"/>
    <w:rsid w:val="495E69EE"/>
    <w:rsid w:val="49830203"/>
    <w:rsid w:val="49D7054F"/>
    <w:rsid w:val="49EB7B56"/>
    <w:rsid w:val="49ED0675"/>
    <w:rsid w:val="49F7299F"/>
    <w:rsid w:val="49F96717"/>
    <w:rsid w:val="4A19522C"/>
    <w:rsid w:val="4A253068"/>
    <w:rsid w:val="4A5751EC"/>
    <w:rsid w:val="4AAA17BF"/>
    <w:rsid w:val="4AAE7501"/>
    <w:rsid w:val="4AC5484B"/>
    <w:rsid w:val="4ACC7988"/>
    <w:rsid w:val="4AF75215"/>
    <w:rsid w:val="4B054C48"/>
    <w:rsid w:val="4B0C4228"/>
    <w:rsid w:val="4B26353C"/>
    <w:rsid w:val="4B7D6ED4"/>
    <w:rsid w:val="4BEB5EDF"/>
    <w:rsid w:val="4C3677AE"/>
    <w:rsid w:val="4C3C28EB"/>
    <w:rsid w:val="4C5F6A71"/>
    <w:rsid w:val="4CFA1BB5"/>
    <w:rsid w:val="4D3161C8"/>
    <w:rsid w:val="4D602609"/>
    <w:rsid w:val="4D8B3B2A"/>
    <w:rsid w:val="4DB43081"/>
    <w:rsid w:val="4DD3727F"/>
    <w:rsid w:val="4DEE5E67"/>
    <w:rsid w:val="4E9702AC"/>
    <w:rsid w:val="4EA34EA3"/>
    <w:rsid w:val="4EA74993"/>
    <w:rsid w:val="4EB86BA1"/>
    <w:rsid w:val="4EE31744"/>
    <w:rsid w:val="4EE47996"/>
    <w:rsid w:val="4EEF1E97"/>
    <w:rsid w:val="4F1D6A04"/>
    <w:rsid w:val="4F361873"/>
    <w:rsid w:val="4F3700F2"/>
    <w:rsid w:val="4F6C798B"/>
    <w:rsid w:val="4F833A26"/>
    <w:rsid w:val="4F8E345D"/>
    <w:rsid w:val="4FD01CC8"/>
    <w:rsid w:val="4FE52C74"/>
    <w:rsid w:val="4FFD05E3"/>
    <w:rsid w:val="50100316"/>
    <w:rsid w:val="5023629C"/>
    <w:rsid w:val="502D2C76"/>
    <w:rsid w:val="503C110B"/>
    <w:rsid w:val="509727E6"/>
    <w:rsid w:val="50AA2519"/>
    <w:rsid w:val="50AD2009"/>
    <w:rsid w:val="5115067F"/>
    <w:rsid w:val="51165E00"/>
    <w:rsid w:val="514A7858"/>
    <w:rsid w:val="514C1822"/>
    <w:rsid w:val="51786173"/>
    <w:rsid w:val="51CE2237"/>
    <w:rsid w:val="51E657D3"/>
    <w:rsid w:val="521A547C"/>
    <w:rsid w:val="522D1654"/>
    <w:rsid w:val="525E0C42"/>
    <w:rsid w:val="5266020F"/>
    <w:rsid w:val="527C7EE5"/>
    <w:rsid w:val="52E8557B"/>
    <w:rsid w:val="52E9540A"/>
    <w:rsid w:val="52F8213F"/>
    <w:rsid w:val="52FB52AE"/>
    <w:rsid w:val="530103EA"/>
    <w:rsid w:val="53285977"/>
    <w:rsid w:val="532E7431"/>
    <w:rsid w:val="534A1D91"/>
    <w:rsid w:val="53603363"/>
    <w:rsid w:val="538232D9"/>
    <w:rsid w:val="538A6632"/>
    <w:rsid w:val="53963229"/>
    <w:rsid w:val="53BC2C8F"/>
    <w:rsid w:val="53BD07B5"/>
    <w:rsid w:val="53C40E4E"/>
    <w:rsid w:val="53D14261"/>
    <w:rsid w:val="5415239F"/>
    <w:rsid w:val="54482775"/>
    <w:rsid w:val="548117E3"/>
    <w:rsid w:val="54882B71"/>
    <w:rsid w:val="549F7EBB"/>
    <w:rsid w:val="54AB59CA"/>
    <w:rsid w:val="54BF230B"/>
    <w:rsid w:val="54C85664"/>
    <w:rsid w:val="54C87412"/>
    <w:rsid w:val="54CD67D6"/>
    <w:rsid w:val="54D92093"/>
    <w:rsid w:val="54DE09E3"/>
    <w:rsid w:val="54DF6509"/>
    <w:rsid w:val="55200FFC"/>
    <w:rsid w:val="5536081F"/>
    <w:rsid w:val="556F3D31"/>
    <w:rsid w:val="557B4484"/>
    <w:rsid w:val="558A2919"/>
    <w:rsid w:val="56075D18"/>
    <w:rsid w:val="562E5514"/>
    <w:rsid w:val="56382375"/>
    <w:rsid w:val="56505911"/>
    <w:rsid w:val="565C42B5"/>
    <w:rsid w:val="565D002E"/>
    <w:rsid w:val="56A93273"/>
    <w:rsid w:val="56C1236A"/>
    <w:rsid w:val="56E85B49"/>
    <w:rsid w:val="570D735E"/>
    <w:rsid w:val="571A1A7B"/>
    <w:rsid w:val="572A7F10"/>
    <w:rsid w:val="574865E8"/>
    <w:rsid w:val="574A05B2"/>
    <w:rsid w:val="576F1DC6"/>
    <w:rsid w:val="57D32355"/>
    <w:rsid w:val="57D94126"/>
    <w:rsid w:val="57DE5369"/>
    <w:rsid w:val="58057058"/>
    <w:rsid w:val="581A4428"/>
    <w:rsid w:val="581B3CFC"/>
    <w:rsid w:val="58382B00"/>
    <w:rsid w:val="585F1E3B"/>
    <w:rsid w:val="586C4558"/>
    <w:rsid w:val="588B0E82"/>
    <w:rsid w:val="58E14F46"/>
    <w:rsid w:val="59084281"/>
    <w:rsid w:val="59462FFB"/>
    <w:rsid w:val="595C281E"/>
    <w:rsid w:val="596A0A97"/>
    <w:rsid w:val="59C962AE"/>
    <w:rsid w:val="59E3084A"/>
    <w:rsid w:val="59E529BF"/>
    <w:rsid w:val="5A1153B7"/>
    <w:rsid w:val="5A3115B5"/>
    <w:rsid w:val="5A3B2434"/>
    <w:rsid w:val="5A8913F1"/>
    <w:rsid w:val="5A987886"/>
    <w:rsid w:val="5AA955EF"/>
    <w:rsid w:val="5ABE7AB0"/>
    <w:rsid w:val="5AEE56F8"/>
    <w:rsid w:val="5B062A42"/>
    <w:rsid w:val="5B294982"/>
    <w:rsid w:val="5B296730"/>
    <w:rsid w:val="5B4812AC"/>
    <w:rsid w:val="5B4B2B4A"/>
    <w:rsid w:val="5B8D4F11"/>
    <w:rsid w:val="5BA26C0E"/>
    <w:rsid w:val="5BAD7361"/>
    <w:rsid w:val="5BE82147"/>
    <w:rsid w:val="5BEA1DEA"/>
    <w:rsid w:val="5C0A6562"/>
    <w:rsid w:val="5C2C297C"/>
    <w:rsid w:val="5C2C472A"/>
    <w:rsid w:val="5C7165E1"/>
    <w:rsid w:val="5C763BF7"/>
    <w:rsid w:val="5C7B745F"/>
    <w:rsid w:val="5C966047"/>
    <w:rsid w:val="5CAC7619"/>
    <w:rsid w:val="5CBC3D00"/>
    <w:rsid w:val="5CE45005"/>
    <w:rsid w:val="5D455B9D"/>
    <w:rsid w:val="5D616655"/>
    <w:rsid w:val="5D7719D5"/>
    <w:rsid w:val="5DB22A0D"/>
    <w:rsid w:val="5DB744C7"/>
    <w:rsid w:val="5DC529E5"/>
    <w:rsid w:val="5DCF35BF"/>
    <w:rsid w:val="5DD72473"/>
    <w:rsid w:val="5DFC1EDA"/>
    <w:rsid w:val="5DFD637E"/>
    <w:rsid w:val="5E4A6E6C"/>
    <w:rsid w:val="5E4F2952"/>
    <w:rsid w:val="5E55712E"/>
    <w:rsid w:val="5E5B12F6"/>
    <w:rsid w:val="5E6F08FE"/>
    <w:rsid w:val="5E8A5738"/>
    <w:rsid w:val="5ED2780B"/>
    <w:rsid w:val="5EE94B54"/>
    <w:rsid w:val="5EEE295A"/>
    <w:rsid w:val="5F08322C"/>
    <w:rsid w:val="5F773FA2"/>
    <w:rsid w:val="5FCF5AF8"/>
    <w:rsid w:val="5FCF78A6"/>
    <w:rsid w:val="5FD1399C"/>
    <w:rsid w:val="5FED41D0"/>
    <w:rsid w:val="60082DB8"/>
    <w:rsid w:val="60367925"/>
    <w:rsid w:val="60402552"/>
    <w:rsid w:val="606049A2"/>
    <w:rsid w:val="60B371C8"/>
    <w:rsid w:val="61096DE8"/>
    <w:rsid w:val="617050B9"/>
    <w:rsid w:val="61720E31"/>
    <w:rsid w:val="61880654"/>
    <w:rsid w:val="618C17C7"/>
    <w:rsid w:val="61B03707"/>
    <w:rsid w:val="61D54F1C"/>
    <w:rsid w:val="622D31D4"/>
    <w:rsid w:val="626B73B4"/>
    <w:rsid w:val="62E278F0"/>
    <w:rsid w:val="62E43D52"/>
    <w:rsid w:val="633F2F95"/>
    <w:rsid w:val="635F3637"/>
    <w:rsid w:val="6377272F"/>
    <w:rsid w:val="63780255"/>
    <w:rsid w:val="63BA261B"/>
    <w:rsid w:val="63E63410"/>
    <w:rsid w:val="63F7561D"/>
    <w:rsid w:val="64061D04"/>
    <w:rsid w:val="64124205"/>
    <w:rsid w:val="642F125B"/>
    <w:rsid w:val="64601415"/>
    <w:rsid w:val="646B1B68"/>
    <w:rsid w:val="64AE0D31"/>
    <w:rsid w:val="64BC23C3"/>
    <w:rsid w:val="64BE438D"/>
    <w:rsid w:val="64D96983"/>
    <w:rsid w:val="657D7DA4"/>
    <w:rsid w:val="658630FD"/>
    <w:rsid w:val="659012DA"/>
    <w:rsid w:val="659F5F6D"/>
    <w:rsid w:val="65C634F9"/>
    <w:rsid w:val="65F52031"/>
    <w:rsid w:val="65FC33BF"/>
    <w:rsid w:val="66254723"/>
    <w:rsid w:val="668138C4"/>
    <w:rsid w:val="668D4017"/>
    <w:rsid w:val="66990C0E"/>
    <w:rsid w:val="669B6734"/>
    <w:rsid w:val="671E7365"/>
    <w:rsid w:val="677B0314"/>
    <w:rsid w:val="67AB6E4B"/>
    <w:rsid w:val="67CE3AE9"/>
    <w:rsid w:val="67E768AA"/>
    <w:rsid w:val="68161876"/>
    <w:rsid w:val="68AC667B"/>
    <w:rsid w:val="690F51B7"/>
    <w:rsid w:val="694F518E"/>
    <w:rsid w:val="69623539"/>
    <w:rsid w:val="696C085C"/>
    <w:rsid w:val="697E40EB"/>
    <w:rsid w:val="69D32689"/>
    <w:rsid w:val="6A1231B1"/>
    <w:rsid w:val="6A856939"/>
    <w:rsid w:val="6AB204F0"/>
    <w:rsid w:val="6ACC6B8D"/>
    <w:rsid w:val="6B2F38EF"/>
    <w:rsid w:val="6B304469"/>
    <w:rsid w:val="6B655563"/>
    <w:rsid w:val="6BA37E39"/>
    <w:rsid w:val="6BB81B36"/>
    <w:rsid w:val="6C07661A"/>
    <w:rsid w:val="6C2F0A11"/>
    <w:rsid w:val="6C313D84"/>
    <w:rsid w:val="6C3311BD"/>
    <w:rsid w:val="6C557385"/>
    <w:rsid w:val="6C6E7FF0"/>
    <w:rsid w:val="6C77554D"/>
    <w:rsid w:val="6C9674AB"/>
    <w:rsid w:val="6CD72490"/>
    <w:rsid w:val="6CE150BD"/>
    <w:rsid w:val="6D1C54E9"/>
    <w:rsid w:val="6D5175C4"/>
    <w:rsid w:val="6D7C6B93"/>
    <w:rsid w:val="6DA85BDA"/>
    <w:rsid w:val="6DC01176"/>
    <w:rsid w:val="6DC42A14"/>
    <w:rsid w:val="6DCF760B"/>
    <w:rsid w:val="6E0D6F64"/>
    <w:rsid w:val="6E1D2124"/>
    <w:rsid w:val="6E34121C"/>
    <w:rsid w:val="6E7220C5"/>
    <w:rsid w:val="6E963C85"/>
    <w:rsid w:val="6E9879FD"/>
    <w:rsid w:val="6EA225C7"/>
    <w:rsid w:val="6EA23374"/>
    <w:rsid w:val="6EB81C75"/>
    <w:rsid w:val="6EBA5BC5"/>
    <w:rsid w:val="6EC802E2"/>
    <w:rsid w:val="6F1057E5"/>
    <w:rsid w:val="6F105EF0"/>
    <w:rsid w:val="6F35349E"/>
    <w:rsid w:val="6F6D49E6"/>
    <w:rsid w:val="6F712728"/>
    <w:rsid w:val="6F7915DC"/>
    <w:rsid w:val="6FA06B69"/>
    <w:rsid w:val="6FB46AB9"/>
    <w:rsid w:val="6FB5018B"/>
    <w:rsid w:val="6FF9096F"/>
    <w:rsid w:val="70074E3A"/>
    <w:rsid w:val="7027728A"/>
    <w:rsid w:val="703518BB"/>
    <w:rsid w:val="70477E4B"/>
    <w:rsid w:val="705838E8"/>
    <w:rsid w:val="70814BED"/>
    <w:rsid w:val="70B7060E"/>
    <w:rsid w:val="70C96594"/>
    <w:rsid w:val="70D07922"/>
    <w:rsid w:val="714A76D4"/>
    <w:rsid w:val="718D136F"/>
    <w:rsid w:val="718D5813"/>
    <w:rsid w:val="71BB5EDC"/>
    <w:rsid w:val="71C72AD3"/>
    <w:rsid w:val="71D945B4"/>
    <w:rsid w:val="71E4450D"/>
    <w:rsid w:val="71EA0570"/>
    <w:rsid w:val="720535FB"/>
    <w:rsid w:val="721D27B7"/>
    <w:rsid w:val="721E7981"/>
    <w:rsid w:val="723E7643"/>
    <w:rsid w:val="727B1B10"/>
    <w:rsid w:val="728269FA"/>
    <w:rsid w:val="72D354A8"/>
    <w:rsid w:val="72EC5620"/>
    <w:rsid w:val="72FC49FE"/>
    <w:rsid w:val="73685BF0"/>
    <w:rsid w:val="736D3206"/>
    <w:rsid w:val="738F520D"/>
    <w:rsid w:val="73BC23E0"/>
    <w:rsid w:val="73C3376E"/>
    <w:rsid w:val="73CB7074"/>
    <w:rsid w:val="73DD76C0"/>
    <w:rsid w:val="73DE4104"/>
    <w:rsid w:val="73DE5EB2"/>
    <w:rsid w:val="73E86D31"/>
    <w:rsid w:val="74116287"/>
    <w:rsid w:val="74147B26"/>
    <w:rsid w:val="745B5755"/>
    <w:rsid w:val="74600FBD"/>
    <w:rsid w:val="746A1E3C"/>
    <w:rsid w:val="747131CA"/>
    <w:rsid w:val="74875287"/>
    <w:rsid w:val="74F11C15"/>
    <w:rsid w:val="75102179"/>
    <w:rsid w:val="75226272"/>
    <w:rsid w:val="75383CE8"/>
    <w:rsid w:val="753C59CD"/>
    <w:rsid w:val="755212F7"/>
    <w:rsid w:val="7577036C"/>
    <w:rsid w:val="75AF5D58"/>
    <w:rsid w:val="75B22BE2"/>
    <w:rsid w:val="75E35A02"/>
    <w:rsid w:val="75FC745B"/>
    <w:rsid w:val="76127EB1"/>
    <w:rsid w:val="764D1103"/>
    <w:rsid w:val="76796366"/>
    <w:rsid w:val="76876CD5"/>
    <w:rsid w:val="76A61249"/>
    <w:rsid w:val="76DE49AA"/>
    <w:rsid w:val="76E063E5"/>
    <w:rsid w:val="77004391"/>
    <w:rsid w:val="7722255A"/>
    <w:rsid w:val="774353DC"/>
    <w:rsid w:val="77FC724F"/>
    <w:rsid w:val="784D1858"/>
    <w:rsid w:val="7855442E"/>
    <w:rsid w:val="7860333A"/>
    <w:rsid w:val="78727511"/>
    <w:rsid w:val="788334CC"/>
    <w:rsid w:val="788B412F"/>
    <w:rsid w:val="789131C4"/>
    <w:rsid w:val="78A31478"/>
    <w:rsid w:val="78AF2513"/>
    <w:rsid w:val="78EA6370"/>
    <w:rsid w:val="79556C16"/>
    <w:rsid w:val="795D3D1D"/>
    <w:rsid w:val="797572B9"/>
    <w:rsid w:val="79A4194C"/>
    <w:rsid w:val="79B17BC5"/>
    <w:rsid w:val="79B7167F"/>
    <w:rsid w:val="79EA1A55"/>
    <w:rsid w:val="7A150154"/>
    <w:rsid w:val="7A431165"/>
    <w:rsid w:val="7A543372"/>
    <w:rsid w:val="7A6F3D08"/>
    <w:rsid w:val="7A884DCA"/>
    <w:rsid w:val="7AA02271"/>
    <w:rsid w:val="7ABC1AED"/>
    <w:rsid w:val="7AD26045"/>
    <w:rsid w:val="7AF97A75"/>
    <w:rsid w:val="7B191EC6"/>
    <w:rsid w:val="7B476A33"/>
    <w:rsid w:val="7B5F3D7C"/>
    <w:rsid w:val="7C474F80"/>
    <w:rsid w:val="7C855A65"/>
    <w:rsid w:val="7C9C690A"/>
    <w:rsid w:val="7CB65C1E"/>
    <w:rsid w:val="7D1E0E24"/>
    <w:rsid w:val="7D344D95"/>
    <w:rsid w:val="7D3E5C13"/>
    <w:rsid w:val="7D5B0573"/>
    <w:rsid w:val="7D5D078F"/>
    <w:rsid w:val="7D6B2EAC"/>
    <w:rsid w:val="7D951CD7"/>
    <w:rsid w:val="7D957F29"/>
    <w:rsid w:val="7DE140D8"/>
    <w:rsid w:val="7E013118"/>
    <w:rsid w:val="7E105802"/>
    <w:rsid w:val="7E203168"/>
    <w:rsid w:val="7E372D8F"/>
    <w:rsid w:val="7E5A6A7D"/>
    <w:rsid w:val="7E696CC0"/>
    <w:rsid w:val="7E9C0E44"/>
    <w:rsid w:val="7E9F2881"/>
    <w:rsid w:val="7EC07354"/>
    <w:rsid w:val="7ECA3C03"/>
    <w:rsid w:val="7ED22AB7"/>
    <w:rsid w:val="7EED78F1"/>
    <w:rsid w:val="7F076C05"/>
    <w:rsid w:val="7F266502"/>
    <w:rsid w:val="7F371BC5"/>
    <w:rsid w:val="7F4C286A"/>
    <w:rsid w:val="7F675C96"/>
    <w:rsid w:val="7F792F33"/>
    <w:rsid w:val="7F961D37"/>
    <w:rsid w:val="7FB1091F"/>
    <w:rsid w:val="7FC00B62"/>
    <w:rsid w:val="7FE9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8"/>
    <w:qFormat/>
    <w:uiPriority w:val="0"/>
    <w:pPr>
      <w:keepNext/>
      <w:keepLines/>
      <w:spacing w:before="260" w:after="260" w:line="416" w:lineRule="auto"/>
      <w:outlineLvl w:val="2"/>
    </w:pPr>
    <w:rPr>
      <w:b/>
      <w:bCs/>
      <w:sz w:val="32"/>
      <w:szCs w:val="32"/>
    </w:rPr>
  </w:style>
  <w:style w:type="paragraph" w:styleId="5">
    <w:name w:val="heading 4"/>
    <w:basedOn w:val="1"/>
    <w:next w:val="1"/>
    <w:link w:val="39"/>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0"/>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1"/>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2"/>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3"/>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4"/>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8"/>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Plain Text"/>
    <w:basedOn w:val="1"/>
    <w:qFormat/>
    <w:uiPriority w:val="0"/>
    <w:rPr>
      <w:rFonts w:ascii="宋体" w:hAnsi="Courier New"/>
    </w:rPr>
  </w:style>
  <w:style w:type="paragraph" w:styleId="17">
    <w:name w:val="Balloon Text"/>
    <w:basedOn w:val="1"/>
    <w:link w:val="47"/>
    <w:semiHidden/>
    <w:unhideWhenUsed/>
    <w:qFormat/>
    <w:uiPriority w:val="99"/>
    <w:rPr>
      <w:sz w:val="18"/>
      <w:szCs w:val="18"/>
    </w:rPr>
  </w:style>
  <w:style w:type="paragraph" w:styleId="18">
    <w:name w:val="footer"/>
    <w:basedOn w:val="1"/>
    <w:link w:val="46"/>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5"/>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1"/>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0"/>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FollowedHyperlink"/>
    <w:basedOn w:val="29"/>
    <w:semiHidden/>
    <w:unhideWhenUsed/>
    <w:qFormat/>
    <w:uiPriority w:val="99"/>
    <w:rPr>
      <w:color w:val="333333"/>
      <w:u w:val="none"/>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footnote reference"/>
    <w:semiHidden/>
    <w:qFormat/>
    <w:uiPriority w:val="0"/>
    <w:rPr>
      <w:rFonts w:ascii="宋体" w:hAnsi="宋体" w:eastAsia="宋体" w:cs="Times New Roman"/>
      <w:spacing w:val="0"/>
      <w:sz w:val="18"/>
      <w:vertAlign w:val="superscript"/>
    </w:rPr>
  </w:style>
  <w:style w:type="character" w:customStyle="1" w:styleId="36">
    <w:name w:val="标题 1 字符"/>
    <w:link w:val="2"/>
    <w:qFormat/>
    <w:uiPriority w:val="0"/>
    <w:rPr>
      <w:b/>
      <w:bCs/>
      <w:kern w:val="44"/>
      <w:sz w:val="44"/>
      <w:szCs w:val="44"/>
    </w:rPr>
  </w:style>
  <w:style w:type="character" w:customStyle="1" w:styleId="37">
    <w:name w:val="标题 2 字符"/>
    <w:link w:val="3"/>
    <w:qFormat/>
    <w:uiPriority w:val="0"/>
    <w:rPr>
      <w:rFonts w:ascii="Arial" w:hAnsi="Arial" w:eastAsia="黑体"/>
      <w:b/>
      <w:bCs/>
      <w:kern w:val="2"/>
      <w:sz w:val="32"/>
      <w:szCs w:val="32"/>
    </w:rPr>
  </w:style>
  <w:style w:type="character" w:customStyle="1" w:styleId="38">
    <w:name w:val="标题 3 字符"/>
    <w:link w:val="4"/>
    <w:qFormat/>
    <w:uiPriority w:val="0"/>
    <w:rPr>
      <w:b/>
      <w:bCs/>
      <w:kern w:val="2"/>
      <w:sz w:val="32"/>
      <w:szCs w:val="32"/>
    </w:rPr>
  </w:style>
  <w:style w:type="character" w:customStyle="1" w:styleId="39">
    <w:name w:val="标题 4 字符"/>
    <w:link w:val="5"/>
    <w:qFormat/>
    <w:uiPriority w:val="0"/>
    <w:rPr>
      <w:rFonts w:ascii="Arial" w:hAnsi="Arial" w:eastAsia="黑体"/>
      <w:b/>
      <w:bCs/>
      <w:kern w:val="2"/>
      <w:sz w:val="28"/>
      <w:szCs w:val="28"/>
    </w:rPr>
  </w:style>
  <w:style w:type="character" w:customStyle="1" w:styleId="40">
    <w:name w:val="标题 5 字符"/>
    <w:link w:val="6"/>
    <w:qFormat/>
    <w:uiPriority w:val="0"/>
    <w:rPr>
      <w:b/>
      <w:bCs/>
      <w:kern w:val="2"/>
      <w:sz w:val="28"/>
      <w:szCs w:val="28"/>
    </w:rPr>
  </w:style>
  <w:style w:type="character" w:customStyle="1" w:styleId="41">
    <w:name w:val="标题 6 字符"/>
    <w:link w:val="7"/>
    <w:qFormat/>
    <w:uiPriority w:val="0"/>
    <w:rPr>
      <w:rFonts w:ascii="Arial" w:hAnsi="Arial" w:eastAsia="黑体"/>
      <w:b/>
      <w:bCs/>
      <w:kern w:val="2"/>
      <w:sz w:val="24"/>
      <w:szCs w:val="24"/>
    </w:rPr>
  </w:style>
  <w:style w:type="character" w:customStyle="1" w:styleId="42">
    <w:name w:val="标题 7 字符"/>
    <w:link w:val="8"/>
    <w:qFormat/>
    <w:uiPriority w:val="0"/>
    <w:rPr>
      <w:b/>
      <w:bCs/>
      <w:kern w:val="2"/>
      <w:sz w:val="24"/>
      <w:szCs w:val="24"/>
    </w:rPr>
  </w:style>
  <w:style w:type="character" w:customStyle="1" w:styleId="43">
    <w:name w:val="标题 8 字符"/>
    <w:link w:val="9"/>
    <w:qFormat/>
    <w:uiPriority w:val="0"/>
    <w:rPr>
      <w:rFonts w:ascii="Arial" w:hAnsi="Arial" w:eastAsia="黑体"/>
      <w:kern w:val="2"/>
      <w:sz w:val="24"/>
      <w:szCs w:val="24"/>
    </w:rPr>
  </w:style>
  <w:style w:type="character" w:customStyle="1" w:styleId="44">
    <w:name w:val="标题 9 字符"/>
    <w:link w:val="10"/>
    <w:qFormat/>
    <w:uiPriority w:val="0"/>
    <w:rPr>
      <w:rFonts w:ascii="Arial" w:hAnsi="Arial" w:eastAsia="黑体"/>
      <w:kern w:val="2"/>
      <w:sz w:val="21"/>
      <w:szCs w:val="21"/>
    </w:rPr>
  </w:style>
  <w:style w:type="character" w:customStyle="1" w:styleId="45">
    <w:name w:val="页眉 字符"/>
    <w:link w:val="19"/>
    <w:qFormat/>
    <w:uiPriority w:val="99"/>
    <w:rPr>
      <w:kern w:val="2"/>
      <w:sz w:val="18"/>
      <w:szCs w:val="18"/>
    </w:rPr>
  </w:style>
  <w:style w:type="character" w:customStyle="1" w:styleId="46">
    <w:name w:val="页脚 字符"/>
    <w:link w:val="18"/>
    <w:qFormat/>
    <w:uiPriority w:val="99"/>
    <w:rPr>
      <w:rFonts w:ascii="宋体"/>
      <w:kern w:val="2"/>
      <w:sz w:val="18"/>
      <w:szCs w:val="18"/>
    </w:rPr>
  </w:style>
  <w:style w:type="character" w:customStyle="1" w:styleId="47">
    <w:name w:val="批注框文本 字符"/>
    <w:link w:val="17"/>
    <w:semiHidden/>
    <w:qFormat/>
    <w:uiPriority w:val="99"/>
    <w:rPr>
      <w:kern w:val="2"/>
      <w:sz w:val="18"/>
      <w:szCs w:val="18"/>
    </w:rPr>
  </w:style>
  <w:style w:type="paragraph" w:styleId="48">
    <w:name w:val="Quote"/>
    <w:basedOn w:val="1"/>
    <w:next w:val="1"/>
    <w:link w:val="49"/>
    <w:qFormat/>
    <w:uiPriority w:val="29"/>
    <w:rPr>
      <w:i/>
      <w:iCs/>
      <w:color w:val="000000"/>
    </w:rPr>
  </w:style>
  <w:style w:type="character" w:customStyle="1" w:styleId="49">
    <w:name w:val="引用 字符"/>
    <w:link w:val="48"/>
    <w:qFormat/>
    <w:uiPriority w:val="29"/>
    <w:rPr>
      <w:i/>
      <w:iCs/>
      <w:color w:val="000000"/>
      <w:kern w:val="2"/>
      <w:sz w:val="21"/>
      <w:szCs w:val="21"/>
    </w:rPr>
  </w:style>
  <w:style w:type="character" w:customStyle="1" w:styleId="50">
    <w:name w:val="标题 字符"/>
    <w:link w:val="26"/>
    <w:qFormat/>
    <w:uiPriority w:val="0"/>
    <w:rPr>
      <w:rFonts w:ascii="Arial" w:hAnsi="Arial" w:cs="Arial"/>
      <w:b/>
      <w:bCs/>
      <w:kern w:val="2"/>
      <w:sz w:val="32"/>
      <w:szCs w:val="32"/>
    </w:rPr>
  </w:style>
  <w:style w:type="paragraph" w:customStyle="1" w:styleId="51">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qFormat/>
    <w:uiPriority w:val="0"/>
    <w:pPr>
      <w:spacing w:line="0" w:lineRule="atLeast"/>
    </w:pPr>
    <w:rPr>
      <w:rFonts w:ascii="黑体" w:hAnsi="宋体" w:eastAsia="黑体"/>
    </w:rPr>
  </w:style>
  <w:style w:type="paragraph" w:customStyle="1" w:styleId="57">
    <w:name w:val="标准文件_标准正文"/>
    <w:basedOn w:val="1"/>
    <w:next w:val="58"/>
    <w:qFormat/>
    <w:uiPriority w:val="0"/>
    <w:pPr>
      <w:snapToGrid w:val="0"/>
      <w:ind w:firstLine="200" w:firstLineChars="200"/>
    </w:pPr>
    <w:rPr>
      <w:kern w:val="0"/>
    </w:rPr>
  </w:style>
  <w:style w:type="paragraph" w:customStyle="1" w:styleId="58">
    <w:name w:val="标准文件_段"/>
    <w:link w:val="186"/>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9">
    <w:name w:val="标准文件_版本"/>
    <w:basedOn w:val="57"/>
    <w:qFormat/>
    <w:uiPriority w:val="0"/>
    <w:pPr>
      <w:adjustRightInd/>
      <w:snapToGrid/>
      <w:ind w:firstLine="0" w:firstLineChars="0"/>
    </w:pPr>
    <w:rPr>
      <w:rFonts w:ascii="宋体" w:hAnsi="宋体"/>
      <w:kern w:val="2"/>
    </w:rPr>
  </w:style>
  <w:style w:type="paragraph" w:customStyle="1" w:styleId="60">
    <w:name w:val="标准文件_标准部门"/>
    <w:basedOn w:val="1"/>
    <w:qFormat/>
    <w:uiPriority w:val="0"/>
    <w:pPr>
      <w:jc w:val="center"/>
    </w:pPr>
    <w:rPr>
      <w:rFonts w:ascii="黑体" w:eastAsia="黑体"/>
      <w:kern w:val="0"/>
      <w:sz w:val="44"/>
    </w:rPr>
  </w:style>
  <w:style w:type="paragraph" w:customStyle="1" w:styleId="61">
    <w:name w:val="标准文件_标准代替"/>
    <w:basedOn w:val="1"/>
    <w:next w:val="1"/>
    <w:qFormat/>
    <w:uiPriority w:val="0"/>
    <w:pPr>
      <w:spacing w:line="310" w:lineRule="exact"/>
      <w:jc w:val="right"/>
    </w:pPr>
    <w:rPr>
      <w:rFonts w:ascii="宋体" w:hAnsi="宋体"/>
      <w:kern w:val="0"/>
    </w:rPr>
  </w:style>
  <w:style w:type="paragraph" w:customStyle="1" w:styleId="62">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3">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4">
    <w:name w:val="标准文件_页眉偶数页"/>
    <w:basedOn w:val="63"/>
    <w:next w:val="1"/>
    <w:qFormat/>
    <w:uiPriority w:val="0"/>
    <w:pPr>
      <w:jc w:val="left"/>
    </w:pPr>
  </w:style>
  <w:style w:type="paragraph" w:customStyle="1" w:styleId="65">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6">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7">
    <w:name w:val="标准文件_二级条标题"/>
    <w:next w:val="58"/>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8">
    <w:name w:val="标准文件_发布"/>
    <w:qFormat/>
    <w:uiPriority w:val="0"/>
    <w:rPr>
      <w:rFonts w:ascii="黑体" w:eastAsia="黑体"/>
      <w:spacing w:val="0"/>
      <w:w w:val="100"/>
      <w:position w:val="3"/>
      <w:sz w:val="28"/>
    </w:rPr>
  </w:style>
  <w:style w:type="paragraph" w:customStyle="1" w:styleId="69">
    <w:name w:val="标准文件_方框数字列项"/>
    <w:basedOn w:val="58"/>
    <w:qFormat/>
    <w:uiPriority w:val="0"/>
    <w:pPr>
      <w:numPr>
        <w:ilvl w:val="0"/>
        <w:numId w:val="3"/>
      </w:numPr>
      <w:ind w:firstLine="0" w:firstLineChars="0"/>
    </w:pPr>
  </w:style>
  <w:style w:type="paragraph" w:customStyle="1" w:styleId="70">
    <w:name w:val="标准文件_封面标准编号"/>
    <w:basedOn w:val="1"/>
    <w:next w:val="61"/>
    <w:qFormat/>
    <w:uiPriority w:val="0"/>
    <w:pPr>
      <w:spacing w:line="310" w:lineRule="exact"/>
      <w:jc w:val="right"/>
    </w:pPr>
    <w:rPr>
      <w:rFonts w:ascii="黑体" w:eastAsia="黑体"/>
      <w:kern w:val="0"/>
      <w:sz w:val="28"/>
    </w:rPr>
  </w:style>
  <w:style w:type="paragraph" w:customStyle="1" w:styleId="71">
    <w:name w:val="标准文件_封面标准分类号"/>
    <w:basedOn w:val="1"/>
    <w:qFormat/>
    <w:uiPriority w:val="0"/>
    <w:rPr>
      <w:rFonts w:ascii="黑体" w:eastAsia="黑体"/>
      <w:b/>
      <w:kern w:val="0"/>
      <w:sz w:val="28"/>
    </w:rPr>
  </w:style>
  <w:style w:type="paragraph" w:customStyle="1" w:styleId="72">
    <w:name w:val="标准文件_封面标准名称"/>
    <w:basedOn w:val="1"/>
    <w:qFormat/>
    <w:uiPriority w:val="0"/>
    <w:pPr>
      <w:spacing w:line="240" w:lineRule="auto"/>
      <w:jc w:val="center"/>
    </w:pPr>
    <w:rPr>
      <w:rFonts w:ascii="黑体" w:eastAsia="黑体"/>
      <w:kern w:val="0"/>
      <w:sz w:val="52"/>
    </w:rPr>
  </w:style>
  <w:style w:type="paragraph" w:customStyle="1" w:styleId="73">
    <w:name w:val="标准文件_封面标准英文名称"/>
    <w:basedOn w:val="1"/>
    <w:qFormat/>
    <w:uiPriority w:val="0"/>
    <w:pPr>
      <w:spacing w:line="240" w:lineRule="auto"/>
      <w:jc w:val="center"/>
    </w:pPr>
    <w:rPr>
      <w:rFonts w:ascii="黑体" w:eastAsia="黑体"/>
      <w:b/>
      <w:sz w:val="28"/>
    </w:rPr>
  </w:style>
  <w:style w:type="paragraph" w:customStyle="1" w:styleId="74">
    <w:name w:val="标准文件_封面发布日期"/>
    <w:basedOn w:val="1"/>
    <w:qFormat/>
    <w:uiPriority w:val="0"/>
    <w:pPr>
      <w:spacing w:line="310" w:lineRule="exact"/>
    </w:pPr>
    <w:rPr>
      <w:rFonts w:ascii="黑体" w:eastAsia="黑体"/>
      <w:kern w:val="0"/>
      <w:sz w:val="28"/>
    </w:rPr>
  </w:style>
  <w:style w:type="paragraph" w:customStyle="1" w:styleId="75">
    <w:name w:val="标准文件_封面密级"/>
    <w:basedOn w:val="1"/>
    <w:qFormat/>
    <w:uiPriority w:val="0"/>
    <w:rPr>
      <w:rFonts w:eastAsia="黑体"/>
      <w:sz w:val="32"/>
    </w:rPr>
  </w:style>
  <w:style w:type="paragraph" w:customStyle="1" w:styleId="76">
    <w:name w:val="标准文件_封面实施日期"/>
    <w:basedOn w:val="1"/>
    <w:qFormat/>
    <w:uiPriority w:val="0"/>
    <w:pPr>
      <w:spacing w:line="310" w:lineRule="exact"/>
      <w:jc w:val="right"/>
    </w:pPr>
    <w:rPr>
      <w:rFonts w:ascii="黑体" w:eastAsia="黑体"/>
      <w:sz w:val="28"/>
    </w:rPr>
  </w:style>
  <w:style w:type="paragraph" w:customStyle="1" w:styleId="77">
    <w:name w:val="标准文件_封面抬头"/>
    <w:basedOn w:val="58"/>
    <w:qFormat/>
    <w:uiPriority w:val="0"/>
    <w:pPr>
      <w:adjustRightInd w:val="0"/>
      <w:spacing w:line="800" w:lineRule="exact"/>
      <w:ind w:firstLine="0" w:firstLineChars="0"/>
      <w:jc w:val="distribute"/>
    </w:pPr>
    <w:rPr>
      <w:rFonts w:ascii="黑体" w:eastAsia="黑体"/>
      <w:b/>
      <w:sz w:val="64"/>
    </w:rPr>
  </w:style>
  <w:style w:type="paragraph" w:customStyle="1" w:styleId="78">
    <w:name w:val="标准文件_附录标识"/>
    <w:next w:val="58"/>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9">
    <w:name w:val="标准文件_附录表标题"/>
    <w:next w:val="58"/>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0">
    <w:name w:val="标准文件_附录一级条标题"/>
    <w:next w:val="58"/>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1">
    <w:name w:val="标准文件_附录二级条标题"/>
    <w:basedOn w:val="80"/>
    <w:next w:val="58"/>
    <w:qFormat/>
    <w:uiPriority w:val="0"/>
    <w:pPr>
      <w:widowControl/>
      <w:numPr>
        <w:ilvl w:val="2"/>
      </w:numPr>
      <w:wordWrap w:val="0"/>
      <w:overflowPunct w:val="0"/>
      <w:autoSpaceDE w:val="0"/>
      <w:autoSpaceDN w:val="0"/>
      <w:textAlignment w:val="baseline"/>
      <w:outlineLvl w:val="3"/>
    </w:pPr>
  </w:style>
  <w:style w:type="paragraph" w:customStyle="1" w:styleId="82">
    <w:name w:val="标准文件_附录公式"/>
    <w:basedOn w:val="57"/>
    <w:next w:val="57"/>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3">
    <w:name w:val="标准文件_附录三级条标题"/>
    <w:next w:val="58"/>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4">
    <w:name w:val="标准文件_附录四级条标题"/>
    <w:next w:val="58"/>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5">
    <w:name w:val="标准文件_附录图标题"/>
    <w:next w:val="58"/>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6">
    <w:name w:val="标准文件_附录五级条标题"/>
    <w:next w:val="58"/>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7">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8">
    <w:name w:val="正文文本 字符"/>
    <w:link w:val="13"/>
    <w:qFormat/>
    <w:uiPriority w:val="0"/>
    <w:rPr>
      <w:kern w:val="2"/>
      <w:sz w:val="21"/>
      <w:szCs w:val="21"/>
    </w:rPr>
  </w:style>
  <w:style w:type="paragraph" w:customStyle="1" w:styleId="89">
    <w:name w:val="标准文件_附录章标题"/>
    <w:next w:val="58"/>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qFormat/>
    <w:uiPriority w:val="0"/>
    <w:pPr>
      <w:ind w:left="488" w:leftChars="200" w:hanging="289" w:hangingChars="290"/>
    </w:pPr>
  </w:style>
  <w:style w:type="paragraph" w:customStyle="1" w:styleId="91">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qFormat/>
    <w:uiPriority w:val="0"/>
    <w:pPr>
      <w:spacing w:line="460" w:lineRule="exact"/>
      <w:ind w:left="0" w:firstLine="0"/>
    </w:pPr>
  </w:style>
  <w:style w:type="paragraph" w:customStyle="1" w:styleId="93">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4">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qFormat/>
    <w:uiPriority w:val="0"/>
    <w:pPr>
      <w:numPr>
        <w:numId w:val="10"/>
      </w:numPr>
    </w:pPr>
  </w:style>
  <w:style w:type="paragraph" w:customStyle="1" w:styleId="96">
    <w:name w:val="标准文件_三级条标题"/>
    <w:basedOn w:val="67"/>
    <w:next w:val="58"/>
    <w:qFormat/>
    <w:uiPriority w:val="0"/>
    <w:pPr>
      <w:widowControl/>
      <w:numPr>
        <w:ilvl w:val="4"/>
      </w:numPr>
      <w:outlineLvl w:val="3"/>
    </w:pPr>
  </w:style>
  <w:style w:type="character" w:customStyle="1" w:styleId="97">
    <w:name w:val="Subtle Reference"/>
    <w:qFormat/>
    <w:uiPriority w:val="31"/>
    <w:rPr>
      <w:smallCaps/>
      <w:color w:val="C0504D"/>
      <w:u w:val="single"/>
    </w:rPr>
  </w:style>
  <w:style w:type="paragraph" w:customStyle="1" w:styleId="98">
    <w:name w:val="标准文件_示例后续"/>
    <w:basedOn w:val="1"/>
    <w:qFormat/>
    <w:uiPriority w:val="0"/>
    <w:pPr>
      <w:adjustRightInd/>
      <w:spacing w:line="240" w:lineRule="auto"/>
      <w:ind w:firstLine="200" w:firstLineChars="200"/>
    </w:pPr>
    <w:rPr>
      <w:sz w:val="18"/>
      <w:szCs w:val="24"/>
    </w:rPr>
  </w:style>
  <w:style w:type="paragraph" w:customStyle="1" w:styleId="99">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1">
    <w:name w:val="脚注文本 字符"/>
    <w:link w:val="22"/>
    <w:semiHidden/>
    <w:qFormat/>
    <w:uiPriority w:val="0"/>
    <w:rPr>
      <w:rFonts w:ascii="宋体"/>
      <w:kern w:val="2"/>
      <w:sz w:val="18"/>
      <w:szCs w:val="18"/>
    </w:rPr>
  </w:style>
  <w:style w:type="paragraph" w:customStyle="1" w:styleId="102">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3">
    <w:name w:val="标准文件_图表脚注"/>
    <w:basedOn w:val="1"/>
    <w:next w:val="58"/>
    <w:qFormat/>
    <w:uiPriority w:val="0"/>
    <w:pPr>
      <w:numPr>
        <w:ilvl w:val="0"/>
        <w:numId w:val="12"/>
      </w:numPr>
      <w:spacing w:line="240" w:lineRule="auto"/>
      <w:jc w:val="left"/>
    </w:pPr>
    <w:rPr>
      <w:rFonts w:ascii="宋体" w:hAnsi="宋体"/>
      <w:sz w:val="18"/>
    </w:rPr>
  </w:style>
  <w:style w:type="character" w:customStyle="1" w:styleId="104">
    <w:name w:val="标准文件_图表脚注内容"/>
    <w:qFormat/>
    <w:uiPriority w:val="0"/>
    <w:rPr>
      <w:rFonts w:ascii="宋体" w:hAnsi="宋体" w:eastAsia="宋体" w:cs="Times New Roman"/>
      <w:spacing w:val="0"/>
      <w:sz w:val="18"/>
      <w:vertAlign w:val="superscript"/>
    </w:rPr>
  </w:style>
  <w:style w:type="paragraph" w:customStyle="1" w:styleId="105">
    <w:name w:val="标准文件_五级条标题"/>
    <w:next w:val="58"/>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6">
    <w:name w:val="标准文件_章标题"/>
    <w:next w:val="5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7">
    <w:name w:val="标准文件_一级条标题"/>
    <w:basedOn w:val="106"/>
    <w:next w:val="58"/>
    <w:qFormat/>
    <w:uiPriority w:val="0"/>
    <w:pPr>
      <w:numPr>
        <w:ilvl w:val="2"/>
      </w:numPr>
      <w:spacing w:before="50" w:beforeLines="50" w:after="50" w:afterLines="50"/>
      <w:outlineLvl w:val="1"/>
    </w:pPr>
  </w:style>
  <w:style w:type="paragraph" w:customStyle="1" w:styleId="108">
    <w:name w:val="标准文件_一致程度"/>
    <w:basedOn w:val="1"/>
    <w:qFormat/>
    <w:uiPriority w:val="0"/>
    <w:pPr>
      <w:spacing w:line="440" w:lineRule="exact"/>
      <w:jc w:val="center"/>
    </w:pPr>
    <w:rPr>
      <w:sz w:val="28"/>
    </w:rPr>
  </w:style>
  <w:style w:type="paragraph" w:customStyle="1" w:styleId="109">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0">
    <w:name w:val="标准文件_英文图表脚注"/>
    <w:basedOn w:val="57"/>
    <w:qFormat/>
    <w:uiPriority w:val="0"/>
    <w:pPr>
      <w:widowControl/>
      <w:adjustRightInd/>
      <w:snapToGrid/>
      <w:spacing w:line="240" w:lineRule="auto"/>
      <w:ind w:left="79" w:hanging="79" w:hangingChars="80"/>
    </w:pPr>
    <w:rPr>
      <w:rFonts w:ascii="宋体" w:hAnsi="宋体"/>
    </w:rPr>
  </w:style>
  <w:style w:type="paragraph" w:customStyle="1" w:styleId="111">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2">
    <w:name w:val="标准文件_英文注："/>
    <w:basedOn w:val="1"/>
    <w:next w:val="58"/>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3">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4">
    <w:name w:val="标准文件_正文表标题"/>
    <w:next w:val="58"/>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公式"/>
    <w:basedOn w:val="1"/>
    <w:next w:val="57"/>
    <w:qFormat/>
    <w:uiPriority w:val="0"/>
    <w:pPr>
      <w:tabs>
        <w:tab w:val="center" w:pos="4678"/>
        <w:tab w:val="right" w:leader="middleDot" w:pos="9356"/>
      </w:tabs>
      <w:spacing w:line="240" w:lineRule="auto"/>
    </w:pPr>
    <w:rPr>
      <w:rFonts w:ascii="宋体" w:hAnsi="宋体"/>
    </w:rPr>
  </w:style>
  <w:style w:type="paragraph" w:customStyle="1" w:styleId="116">
    <w:name w:val="标准文件_正文图标题"/>
    <w:next w:val="58"/>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英文表标题"/>
    <w:next w:val="58"/>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8">
    <w:name w:val="标准文件_正文英文图标题"/>
    <w:next w:val="58"/>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9">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0">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1">
    <w:name w:val="发布部门"/>
    <w:next w:val="58"/>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2">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3">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4">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7">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8">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9">
    <w:name w:val="封面正文"/>
    <w:qFormat/>
    <w:uiPriority w:val="0"/>
    <w:pPr>
      <w:jc w:val="both"/>
    </w:pPr>
    <w:rPr>
      <w:rFonts w:ascii="Times New Roman" w:hAnsi="Times New Roman" w:eastAsia="宋体" w:cs="Times New Roman"/>
      <w:lang w:val="en-US" w:eastAsia="zh-CN" w:bidi="ar-SA"/>
    </w:rPr>
  </w:style>
  <w:style w:type="paragraph" w:customStyle="1" w:styleId="130">
    <w:name w:val="附录二级无标题条"/>
    <w:basedOn w:val="1"/>
    <w:next w:val="58"/>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1">
    <w:name w:val="附录三级无标题条"/>
    <w:basedOn w:val="130"/>
    <w:next w:val="58"/>
    <w:qFormat/>
    <w:uiPriority w:val="0"/>
    <w:pPr>
      <w:outlineLvl w:val="4"/>
    </w:pPr>
  </w:style>
  <w:style w:type="paragraph" w:customStyle="1" w:styleId="132">
    <w:name w:val="附录四级无标题条"/>
    <w:basedOn w:val="131"/>
    <w:next w:val="58"/>
    <w:qFormat/>
    <w:uiPriority w:val="0"/>
    <w:pPr>
      <w:outlineLvl w:val="5"/>
    </w:pPr>
  </w:style>
  <w:style w:type="paragraph" w:customStyle="1" w:styleId="133">
    <w:name w:val="附录图"/>
    <w:next w:val="58"/>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4">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5">
    <w:name w:val="附录五级无标题条"/>
    <w:basedOn w:val="132"/>
    <w:next w:val="58"/>
    <w:qFormat/>
    <w:uiPriority w:val="0"/>
    <w:pPr>
      <w:outlineLvl w:val="6"/>
    </w:pPr>
  </w:style>
  <w:style w:type="paragraph" w:customStyle="1" w:styleId="136">
    <w:name w:val="附录性质"/>
    <w:basedOn w:val="1"/>
    <w:qFormat/>
    <w:uiPriority w:val="0"/>
    <w:pPr>
      <w:widowControl/>
      <w:adjustRightInd/>
      <w:jc w:val="center"/>
    </w:pPr>
    <w:rPr>
      <w:rFonts w:ascii="黑体" w:eastAsia="黑体"/>
    </w:rPr>
  </w:style>
  <w:style w:type="paragraph" w:customStyle="1" w:styleId="137">
    <w:name w:val="附录一级无标题条"/>
    <w:basedOn w:val="89"/>
    <w:next w:val="58"/>
    <w:qFormat/>
    <w:uiPriority w:val="0"/>
    <w:pPr>
      <w:autoSpaceDN w:val="0"/>
      <w:outlineLvl w:val="2"/>
    </w:pPr>
    <w:rPr>
      <w:rFonts w:ascii="宋体" w:hAnsi="宋体" w:eastAsia="宋体"/>
    </w:rPr>
  </w:style>
  <w:style w:type="character" w:customStyle="1" w:styleId="138">
    <w:name w:val="个人答复风格"/>
    <w:qFormat/>
    <w:uiPriority w:val="0"/>
    <w:rPr>
      <w:rFonts w:ascii="Arial" w:hAnsi="Arial" w:eastAsia="宋体" w:cs="Arial"/>
      <w:color w:val="auto"/>
      <w:spacing w:val="0"/>
      <w:sz w:val="20"/>
    </w:rPr>
  </w:style>
  <w:style w:type="character" w:customStyle="1" w:styleId="139">
    <w:name w:val="个人撰写风格"/>
    <w:qFormat/>
    <w:uiPriority w:val="0"/>
    <w:rPr>
      <w:rFonts w:ascii="Arial" w:hAnsi="Arial" w:eastAsia="宋体" w:cs="Arial"/>
      <w:color w:val="auto"/>
      <w:spacing w:val="0"/>
      <w:sz w:val="20"/>
    </w:rPr>
  </w:style>
  <w:style w:type="paragraph" w:customStyle="1" w:styleId="140">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1">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2">
    <w:name w:val="列项·"/>
    <w:basedOn w:val="58"/>
    <w:qFormat/>
    <w:uiPriority w:val="0"/>
    <w:pPr>
      <w:tabs>
        <w:tab w:val="left" w:pos="840"/>
      </w:tabs>
    </w:pPr>
  </w:style>
  <w:style w:type="paragraph" w:customStyle="1" w:styleId="143">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4">
    <w:name w:val="目录 21"/>
    <w:basedOn w:val="1"/>
    <w:next w:val="1"/>
    <w:autoRedefine/>
    <w:semiHidden/>
    <w:qFormat/>
    <w:uiPriority w:val="0"/>
    <w:pPr>
      <w:adjustRightInd/>
      <w:spacing w:line="240" w:lineRule="auto"/>
      <w:jc w:val="left"/>
    </w:pPr>
    <w:rPr>
      <w:bCs/>
      <w:iCs/>
    </w:rPr>
  </w:style>
  <w:style w:type="paragraph" w:customStyle="1" w:styleId="145">
    <w:name w:val="目录 31"/>
    <w:basedOn w:val="1"/>
    <w:next w:val="1"/>
    <w:autoRedefine/>
    <w:semiHidden/>
    <w:qFormat/>
    <w:uiPriority w:val="0"/>
    <w:pPr>
      <w:spacing w:line="240" w:lineRule="auto"/>
    </w:pPr>
    <w:rPr>
      <w:rFonts w:ascii="宋体" w:hAnsi="宋体"/>
      <w:iCs/>
    </w:rPr>
  </w:style>
  <w:style w:type="paragraph" w:customStyle="1" w:styleId="146">
    <w:name w:val="目录 41"/>
    <w:basedOn w:val="1"/>
    <w:next w:val="1"/>
    <w:autoRedefine/>
    <w:semiHidden/>
    <w:qFormat/>
    <w:uiPriority w:val="0"/>
    <w:pPr>
      <w:adjustRightInd/>
      <w:spacing w:line="240" w:lineRule="auto"/>
      <w:jc w:val="left"/>
    </w:pPr>
  </w:style>
  <w:style w:type="paragraph" w:customStyle="1" w:styleId="147">
    <w:name w:val="目录 51"/>
    <w:basedOn w:val="1"/>
    <w:next w:val="1"/>
    <w:autoRedefine/>
    <w:semiHidden/>
    <w:qFormat/>
    <w:uiPriority w:val="0"/>
    <w:pPr>
      <w:spacing w:line="240" w:lineRule="auto"/>
    </w:pPr>
    <w:rPr>
      <w:rFonts w:ascii="宋体" w:hAnsi="宋体"/>
    </w:rPr>
  </w:style>
  <w:style w:type="paragraph" w:customStyle="1" w:styleId="148">
    <w:name w:val="目录 61"/>
    <w:basedOn w:val="1"/>
    <w:next w:val="1"/>
    <w:autoRedefine/>
    <w:semiHidden/>
    <w:qFormat/>
    <w:uiPriority w:val="0"/>
    <w:pPr>
      <w:adjustRightInd/>
      <w:spacing w:line="240" w:lineRule="auto"/>
      <w:jc w:val="left"/>
    </w:pPr>
  </w:style>
  <w:style w:type="paragraph" w:customStyle="1" w:styleId="149">
    <w:name w:val="目录 71"/>
    <w:basedOn w:val="148"/>
    <w:autoRedefine/>
    <w:semiHidden/>
    <w:qFormat/>
    <w:uiPriority w:val="0"/>
    <w:pPr>
      <w:ind w:left="1260"/>
    </w:pPr>
  </w:style>
  <w:style w:type="paragraph" w:customStyle="1" w:styleId="150">
    <w:name w:val="目录 81"/>
    <w:basedOn w:val="149"/>
    <w:autoRedefine/>
    <w:semiHidden/>
    <w:qFormat/>
    <w:uiPriority w:val="0"/>
    <w:pPr>
      <w:ind w:left="1470"/>
    </w:pPr>
  </w:style>
  <w:style w:type="paragraph" w:customStyle="1" w:styleId="151">
    <w:name w:val="目录 91"/>
    <w:basedOn w:val="150"/>
    <w:autoRedefine/>
    <w:semiHidden/>
    <w:qFormat/>
    <w:uiPriority w:val="0"/>
    <w:pPr>
      <w:ind w:left="1680"/>
    </w:pPr>
  </w:style>
  <w:style w:type="paragraph" w:customStyle="1" w:styleId="152">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3">
    <w:name w:val="其他发布部门"/>
    <w:basedOn w:val="121"/>
    <w:qFormat/>
    <w:uiPriority w:val="0"/>
    <w:pPr>
      <w:framePr w:wrap="around"/>
      <w:spacing w:line="0" w:lineRule="atLeast"/>
    </w:pPr>
    <w:rPr>
      <w:rFonts w:ascii="黑体" w:eastAsia="黑体"/>
      <w:b w:val="0"/>
    </w:rPr>
  </w:style>
  <w:style w:type="paragraph" w:customStyle="1" w:styleId="154">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5">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6">
    <w:name w:val="实施日期"/>
    <w:basedOn w:val="122"/>
    <w:qFormat/>
    <w:uiPriority w:val="0"/>
    <w:pPr>
      <w:framePr w:hSpace="0" w:wrap="around" w:xAlign="right"/>
      <w:jc w:val="right"/>
    </w:pPr>
  </w:style>
  <w:style w:type="paragraph" w:customStyle="1" w:styleId="157">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8">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9">
    <w:name w:val="无标题条"/>
    <w:next w:val="58"/>
    <w:qFormat/>
    <w:uiPriority w:val="0"/>
    <w:pPr>
      <w:jc w:val="both"/>
    </w:pPr>
    <w:rPr>
      <w:rFonts w:ascii="宋体" w:hAnsi="宋体" w:eastAsia="宋体" w:cs="Times New Roman"/>
      <w:sz w:val="21"/>
      <w:lang w:val="en-US" w:eastAsia="zh-CN" w:bidi="ar-SA"/>
    </w:rPr>
  </w:style>
  <w:style w:type="paragraph" w:customStyle="1" w:styleId="160">
    <w:name w:val="五级无标题条"/>
    <w:basedOn w:val="1"/>
    <w:qFormat/>
    <w:uiPriority w:val="0"/>
    <w:pPr>
      <w:numPr>
        <w:ilvl w:val="6"/>
        <w:numId w:val="20"/>
      </w:numPr>
      <w:adjustRightInd/>
    </w:pPr>
    <w:rPr>
      <w:szCs w:val="24"/>
    </w:rPr>
  </w:style>
  <w:style w:type="paragraph" w:customStyle="1" w:styleId="161">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2">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3">
    <w:name w:val="注×:后续"/>
    <w:basedOn w:val="162"/>
    <w:qFormat/>
    <w:uiPriority w:val="0"/>
    <w:pPr>
      <w:ind w:left="1406" w:leftChars="0" w:hanging="499" w:firstLineChars="0"/>
    </w:pPr>
  </w:style>
  <w:style w:type="paragraph" w:customStyle="1" w:styleId="164">
    <w:name w:val="标准文件_一级无标题"/>
    <w:basedOn w:val="107"/>
    <w:qFormat/>
    <w:uiPriority w:val="0"/>
    <w:pPr>
      <w:spacing w:before="0" w:beforeLines="0" w:after="0" w:afterLines="0"/>
      <w:outlineLvl w:val="9"/>
    </w:pPr>
    <w:rPr>
      <w:rFonts w:ascii="宋体" w:eastAsia="宋体"/>
    </w:rPr>
  </w:style>
  <w:style w:type="paragraph" w:customStyle="1" w:styleId="165">
    <w:name w:val="标准文件_五级无标题"/>
    <w:basedOn w:val="105"/>
    <w:qFormat/>
    <w:uiPriority w:val="0"/>
    <w:pPr>
      <w:spacing w:before="0" w:beforeLines="0" w:after="0" w:afterLines="0"/>
      <w:outlineLvl w:val="9"/>
    </w:pPr>
    <w:rPr>
      <w:rFonts w:ascii="宋体" w:eastAsia="宋体"/>
    </w:rPr>
  </w:style>
  <w:style w:type="paragraph" w:customStyle="1" w:styleId="166">
    <w:name w:val="标准文件_三级无标题"/>
    <w:basedOn w:val="96"/>
    <w:qFormat/>
    <w:uiPriority w:val="0"/>
    <w:pPr>
      <w:spacing w:before="0" w:beforeLines="0" w:after="0" w:afterLines="0"/>
      <w:outlineLvl w:val="9"/>
    </w:pPr>
    <w:rPr>
      <w:rFonts w:ascii="宋体" w:eastAsia="宋体"/>
    </w:rPr>
  </w:style>
  <w:style w:type="paragraph" w:customStyle="1" w:styleId="167">
    <w:name w:val="标准文件_二级无标题"/>
    <w:basedOn w:val="67"/>
    <w:qFormat/>
    <w:uiPriority w:val="0"/>
    <w:pPr>
      <w:spacing w:before="0" w:beforeLines="0" w:after="0" w:afterLines="0"/>
      <w:outlineLvl w:val="9"/>
    </w:pPr>
    <w:rPr>
      <w:rFonts w:ascii="宋体" w:eastAsia="宋体"/>
    </w:rPr>
  </w:style>
  <w:style w:type="paragraph" w:customStyle="1" w:styleId="168">
    <w:name w:val="标准_四级无标题"/>
    <w:basedOn w:val="100"/>
    <w:next w:val="58"/>
    <w:qFormat/>
    <w:uiPriority w:val="0"/>
    <w:rPr>
      <w:rFonts w:eastAsia="宋体"/>
    </w:rPr>
  </w:style>
  <w:style w:type="paragraph" w:customStyle="1" w:styleId="169">
    <w:name w:val="标准文件_四级无标题"/>
    <w:basedOn w:val="100"/>
    <w:qFormat/>
    <w:uiPriority w:val="0"/>
    <w:pPr>
      <w:spacing w:before="0" w:beforeLines="0" w:after="0" w:afterLines="0"/>
      <w:outlineLvl w:val="9"/>
    </w:pPr>
    <w:rPr>
      <w:rFonts w:ascii="宋体" w:hAnsi="黑体" w:eastAsia="宋体"/>
      <w:szCs w:val="52"/>
    </w:rPr>
  </w:style>
  <w:style w:type="paragraph" w:customStyle="1" w:styleId="170">
    <w:name w:val="标准文件_大写罗马数字编号列项"/>
    <w:basedOn w:val="58"/>
    <w:qFormat/>
    <w:uiPriority w:val="0"/>
    <w:pPr>
      <w:numPr>
        <w:ilvl w:val="0"/>
        <w:numId w:val="23"/>
      </w:numPr>
      <w:ind w:firstLine="0" w:firstLineChars="0"/>
    </w:pPr>
    <w:rPr>
      <w:rFonts w:cs="Arial"/>
      <w:szCs w:val="28"/>
    </w:rPr>
  </w:style>
  <w:style w:type="paragraph" w:customStyle="1" w:styleId="171">
    <w:name w:val="标准文件_小写罗马数字编号列项"/>
    <w:basedOn w:val="58"/>
    <w:qFormat/>
    <w:uiPriority w:val="0"/>
    <w:pPr>
      <w:numPr>
        <w:ilvl w:val="0"/>
        <w:numId w:val="24"/>
      </w:numPr>
      <w:ind w:firstLine="0" w:firstLineChars="0"/>
    </w:pPr>
    <w:rPr>
      <w:rFonts w:cs="Arial"/>
      <w:szCs w:val="28"/>
    </w:rPr>
  </w:style>
  <w:style w:type="paragraph" w:customStyle="1" w:styleId="172">
    <w:name w:val="标准文件_附录标题"/>
    <w:basedOn w:val="78"/>
    <w:qFormat/>
    <w:uiPriority w:val="0"/>
    <w:pPr>
      <w:numPr>
        <w:numId w:val="0"/>
      </w:numPr>
      <w:spacing w:after="280"/>
      <w:outlineLvl w:val="9"/>
    </w:pPr>
  </w:style>
  <w:style w:type="paragraph" w:customStyle="1" w:styleId="173">
    <w:name w:val="标准文件_二级项"/>
    <w:qFormat/>
    <w:uiPriority w:val="0"/>
    <w:rPr>
      <w:rFonts w:ascii="宋体" w:hAnsi="Times New Roman" w:eastAsia="宋体" w:cs="Times New Roman"/>
      <w:sz w:val="21"/>
      <w:lang w:val="en-US" w:eastAsia="zh-CN" w:bidi="ar-SA"/>
    </w:rPr>
  </w:style>
  <w:style w:type="paragraph" w:customStyle="1" w:styleId="174">
    <w:name w:val="标准文件_三级项"/>
    <w:basedOn w:val="1"/>
    <w:qFormat/>
    <w:uiPriority w:val="0"/>
    <w:pPr>
      <w:numPr>
        <w:ilvl w:val="2"/>
        <w:numId w:val="21"/>
      </w:numPr>
      <w:spacing w:line="536870612" w:lineRule="auto"/>
    </w:pPr>
    <w:rPr>
      <w:rFonts w:ascii="Times New Roman" w:hAnsi="Times New Roman"/>
    </w:rPr>
  </w:style>
  <w:style w:type="paragraph" w:customStyle="1" w:styleId="175">
    <w:name w:val="图表脚注说明"/>
    <w:basedOn w:val="1"/>
    <w:next w:val="58"/>
    <w:qFormat/>
    <w:uiPriority w:val="0"/>
    <w:pPr>
      <w:numPr>
        <w:ilvl w:val="0"/>
        <w:numId w:val="25"/>
      </w:numPr>
      <w:adjustRightInd/>
      <w:spacing w:line="240" w:lineRule="auto"/>
    </w:pPr>
    <w:rPr>
      <w:rFonts w:ascii="宋体" w:hAnsi="Times New Roman"/>
      <w:sz w:val="18"/>
      <w:szCs w:val="18"/>
    </w:rPr>
  </w:style>
  <w:style w:type="paragraph" w:customStyle="1" w:styleId="176">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7">
    <w:name w:val="标准文件_索引字母"/>
    <w:next w:val="58"/>
    <w:qFormat/>
    <w:uiPriority w:val="0"/>
    <w:pPr>
      <w:jc w:val="center"/>
    </w:pPr>
    <w:rPr>
      <w:rFonts w:ascii="宋体" w:hAnsi="宋体" w:eastAsia="Times New Roman" w:cs="Times New Roman"/>
      <w:b/>
      <w:kern w:val="2"/>
      <w:sz w:val="21"/>
      <w:lang w:val="en-US" w:eastAsia="zh-CN" w:bidi="ar-SA"/>
    </w:rPr>
  </w:style>
  <w:style w:type="paragraph" w:customStyle="1" w:styleId="178">
    <w:name w:val="标准文件_附录前"/>
    <w:next w:val="58"/>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9">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0">
    <w:name w:val="标准文件_表格"/>
    <w:basedOn w:val="58"/>
    <w:qFormat/>
    <w:uiPriority w:val="0"/>
    <w:pPr>
      <w:ind w:firstLine="0" w:firstLineChars="0"/>
      <w:jc w:val="center"/>
    </w:pPr>
    <w:rPr>
      <w:sz w:val="18"/>
    </w:rPr>
  </w:style>
  <w:style w:type="paragraph" w:customStyle="1" w:styleId="181">
    <w:name w:val="标准文件_注："/>
    <w:next w:val="58"/>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示例："/>
    <w:next w:val="184"/>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4">
    <w:name w:val="标准文件_示例内容"/>
    <w:basedOn w:val="58"/>
    <w:qFormat/>
    <w:uiPriority w:val="0"/>
    <w:pPr>
      <w:ind w:firstLine="420"/>
    </w:pPr>
    <w:rPr>
      <w:sz w:val="18"/>
    </w:rPr>
  </w:style>
  <w:style w:type="paragraph" w:customStyle="1" w:styleId="185">
    <w:name w:val="标准文件_示例×："/>
    <w:basedOn w:val="1"/>
    <w:next w:val="184"/>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6">
    <w:name w:val="标准文件_段 Char"/>
    <w:link w:val="58"/>
    <w:qFormat/>
    <w:uiPriority w:val="0"/>
    <w:rPr>
      <w:rFonts w:ascii="Times New Roman" w:hAnsi="Times New Roman"/>
      <w:sz w:val="21"/>
    </w:rPr>
  </w:style>
  <w:style w:type="paragraph" w:customStyle="1" w:styleId="187">
    <w:name w:val="标准文件_表格续"/>
    <w:basedOn w:val="58"/>
    <w:next w:val="58"/>
    <w:qFormat/>
    <w:uiPriority w:val="0"/>
    <w:pPr>
      <w:jc w:val="center"/>
    </w:pPr>
    <w:rPr>
      <w:rFonts w:ascii="黑体" w:hAnsi="黑体" w:eastAsia="黑体"/>
    </w:rPr>
  </w:style>
  <w:style w:type="character" w:styleId="188">
    <w:name w:val="Placeholder Text"/>
    <w:basedOn w:val="29"/>
    <w:semiHidden/>
    <w:qFormat/>
    <w:uiPriority w:val="99"/>
    <w:rPr>
      <w:color w:val="808080"/>
    </w:rPr>
  </w:style>
  <w:style w:type="paragraph" w:customStyle="1" w:styleId="189">
    <w:name w:val="标准文件_二级项2"/>
    <w:basedOn w:val="58"/>
    <w:qFormat/>
    <w:uiPriority w:val="0"/>
    <w:pPr>
      <w:numPr>
        <w:ilvl w:val="1"/>
        <w:numId w:val="21"/>
      </w:numPr>
      <w:ind w:firstLine="0" w:firstLineChars="0"/>
    </w:pPr>
  </w:style>
  <w:style w:type="paragraph" w:customStyle="1" w:styleId="190">
    <w:name w:val="标准文件_三级项2"/>
    <w:basedOn w:val="58"/>
    <w:qFormat/>
    <w:uiPriority w:val="0"/>
    <w:pPr>
      <w:numPr>
        <w:ilvl w:val="0"/>
        <w:numId w:val="30"/>
      </w:numPr>
      <w:spacing w:line="300" w:lineRule="exact"/>
      <w:ind w:firstLineChars="0"/>
    </w:pPr>
  </w:style>
  <w:style w:type="paragraph" w:customStyle="1" w:styleId="191">
    <w:name w:val="标准文件_一级项2"/>
    <w:basedOn w:val="58"/>
    <w:qFormat/>
    <w:uiPriority w:val="0"/>
    <w:pPr>
      <w:numPr>
        <w:ilvl w:val="0"/>
        <w:numId w:val="31"/>
      </w:numPr>
      <w:spacing w:line="300" w:lineRule="exact"/>
      <w:ind w:firstLineChars="0"/>
    </w:pPr>
  </w:style>
  <w:style w:type="paragraph" w:customStyle="1" w:styleId="192">
    <w:name w:val="标准文件_提示"/>
    <w:basedOn w:val="58"/>
    <w:next w:val="58"/>
    <w:qFormat/>
    <w:uiPriority w:val="0"/>
    <w:pPr>
      <w:ind w:firstLine="420"/>
    </w:pPr>
    <w:rPr>
      <w:rFonts w:ascii="黑体" w:eastAsia="黑体"/>
    </w:rPr>
  </w:style>
  <w:style w:type="character" w:customStyle="1" w:styleId="193">
    <w:name w:val="标准文件_来源"/>
    <w:basedOn w:val="29"/>
    <w:qFormat/>
    <w:uiPriority w:val="1"/>
    <w:rPr>
      <w:rFonts w:eastAsia="宋体"/>
      <w:sz w:val="21"/>
    </w:rPr>
  </w:style>
  <w:style w:type="paragraph" w:customStyle="1" w:styleId="194">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5">
    <w:name w:val="其他发布日期"/>
    <w:basedOn w:val="122"/>
    <w:qFormat/>
    <w:uiPriority w:val="0"/>
    <w:pPr>
      <w:framePr w:w="3997" w:h="471" w:hRule="exact" w:hSpace="0" w:vSpace="181" w:wrap="around" w:vAnchor="page" w:hAnchor="page" w:x="1419" w:y="14097"/>
    </w:pPr>
  </w:style>
  <w:style w:type="paragraph" w:customStyle="1" w:styleId="196">
    <w:name w:val="其他实施日期"/>
    <w:basedOn w:val="156"/>
    <w:qFormat/>
    <w:uiPriority w:val="0"/>
    <w:pPr>
      <w:framePr w:w="3997" w:h="471" w:hRule="exact" w:vSpace="181" w:wrap="around" w:vAnchor="page" w:hAnchor="page" w:x="7089" w:y="14097"/>
    </w:pPr>
  </w:style>
  <w:style w:type="paragraph" w:customStyle="1" w:styleId="197">
    <w:name w:val="标准文件_文件编号"/>
    <w:basedOn w:val="58"/>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8">
    <w:name w:val="标准文件_替换文件编号"/>
    <w:basedOn w:val="197"/>
    <w:qFormat/>
    <w:uiPriority w:val="0"/>
    <w:pPr>
      <w:spacing w:before="57"/>
    </w:pPr>
    <w:rPr>
      <w:sz w:val="21"/>
    </w:rPr>
  </w:style>
  <w:style w:type="paragraph" w:customStyle="1" w:styleId="199">
    <w:name w:val="标准文件_文件名称"/>
    <w:basedOn w:val="58"/>
    <w:next w:val="58"/>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0">
    <w:name w:val="标准文件_附录图标号"/>
    <w:basedOn w:val="58"/>
    <w:next w:val="58"/>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1">
    <w:name w:val="标准文件_附录表标号"/>
    <w:basedOn w:val="58"/>
    <w:next w:val="58"/>
    <w:qFormat/>
    <w:uiPriority w:val="0"/>
    <w:pPr>
      <w:numPr>
        <w:ilvl w:val="0"/>
        <w:numId w:val="5"/>
      </w:numPr>
      <w:spacing w:line="14" w:lineRule="exact"/>
      <w:ind w:firstLine="0" w:firstLineChars="0"/>
      <w:jc w:val="center"/>
    </w:pPr>
    <w:rPr>
      <w:rFonts w:eastAsia="黑体"/>
      <w:vanish/>
      <w:sz w:val="2"/>
    </w:rPr>
  </w:style>
  <w:style w:type="paragraph" w:customStyle="1" w:styleId="202">
    <w:name w:val="标准文件_引言一级条标题"/>
    <w:basedOn w:val="58"/>
    <w:next w:val="58"/>
    <w:qFormat/>
    <w:uiPriority w:val="0"/>
    <w:pPr>
      <w:numPr>
        <w:ilvl w:val="1"/>
        <w:numId w:val="8"/>
      </w:numPr>
      <w:spacing w:before="50" w:beforeLines="50" w:after="50" w:afterLines="50"/>
      <w:ind w:firstLineChars="0"/>
    </w:pPr>
    <w:rPr>
      <w:rFonts w:ascii="黑体" w:eastAsia="黑体"/>
    </w:rPr>
  </w:style>
  <w:style w:type="paragraph" w:customStyle="1" w:styleId="203">
    <w:name w:val="标准文件_引言二级条标题"/>
    <w:basedOn w:val="58"/>
    <w:next w:val="58"/>
    <w:qFormat/>
    <w:uiPriority w:val="0"/>
    <w:pPr>
      <w:numPr>
        <w:ilvl w:val="2"/>
        <w:numId w:val="8"/>
      </w:numPr>
      <w:spacing w:before="50" w:beforeLines="50" w:after="50" w:afterLines="50"/>
      <w:ind w:firstLineChars="0"/>
    </w:pPr>
    <w:rPr>
      <w:rFonts w:ascii="黑体" w:eastAsia="黑体"/>
    </w:rPr>
  </w:style>
  <w:style w:type="paragraph" w:customStyle="1" w:styleId="204">
    <w:name w:val="标准文件_引言三级条标题"/>
    <w:basedOn w:val="58"/>
    <w:next w:val="58"/>
    <w:qFormat/>
    <w:uiPriority w:val="0"/>
    <w:pPr>
      <w:numPr>
        <w:ilvl w:val="3"/>
        <w:numId w:val="8"/>
      </w:numPr>
      <w:spacing w:before="50" w:beforeLines="50" w:after="50" w:afterLines="50"/>
      <w:ind w:firstLineChars="0"/>
    </w:pPr>
    <w:rPr>
      <w:rFonts w:ascii="黑体" w:eastAsia="黑体"/>
    </w:rPr>
  </w:style>
  <w:style w:type="paragraph" w:customStyle="1" w:styleId="205">
    <w:name w:val="标准文件_引言四级条标题"/>
    <w:basedOn w:val="58"/>
    <w:next w:val="58"/>
    <w:qFormat/>
    <w:uiPriority w:val="0"/>
    <w:pPr>
      <w:numPr>
        <w:ilvl w:val="4"/>
        <w:numId w:val="8"/>
      </w:numPr>
      <w:spacing w:before="50" w:beforeLines="50" w:after="50" w:afterLines="50"/>
      <w:ind w:firstLineChars="0"/>
    </w:pPr>
    <w:rPr>
      <w:rFonts w:ascii="黑体" w:eastAsia="黑体"/>
    </w:rPr>
  </w:style>
  <w:style w:type="paragraph" w:customStyle="1" w:styleId="206">
    <w:name w:val="标准文件_引言五级条标题"/>
    <w:basedOn w:val="58"/>
    <w:next w:val="58"/>
    <w:qFormat/>
    <w:uiPriority w:val="0"/>
    <w:pPr>
      <w:numPr>
        <w:ilvl w:val="5"/>
        <w:numId w:val="8"/>
      </w:numPr>
      <w:spacing w:before="50" w:beforeLines="50" w:after="50" w:afterLines="50"/>
      <w:ind w:firstLineChars="0"/>
    </w:pPr>
    <w:rPr>
      <w:rFonts w:ascii="黑体" w:eastAsia="黑体"/>
    </w:rPr>
  </w:style>
  <w:style w:type="paragraph" w:customStyle="1" w:styleId="207">
    <w:name w:val="标准文件_注后"/>
    <w:basedOn w:val="58"/>
    <w:qFormat/>
    <w:uiPriority w:val="0"/>
    <w:pPr>
      <w:ind w:left="811" w:firstLine="0" w:firstLineChars="0"/>
    </w:pPr>
    <w:rPr>
      <w:sz w:val="18"/>
    </w:rPr>
  </w:style>
  <w:style w:type="paragraph" w:customStyle="1" w:styleId="208">
    <w:name w:val="标准文件_注X后"/>
    <w:basedOn w:val="58"/>
    <w:qFormat/>
    <w:uiPriority w:val="0"/>
    <w:pPr>
      <w:ind w:left="811" w:firstLine="0" w:firstLineChars="0"/>
    </w:pPr>
    <w:rPr>
      <w:sz w:val="18"/>
    </w:rPr>
  </w:style>
  <w:style w:type="paragraph" w:customStyle="1" w:styleId="209">
    <w:name w:val="标准文件_示例后"/>
    <w:basedOn w:val="58"/>
    <w:qFormat/>
    <w:uiPriority w:val="0"/>
    <w:pPr>
      <w:ind w:left="964" w:firstLine="0" w:firstLineChars="0"/>
    </w:pPr>
    <w:rPr>
      <w:sz w:val="18"/>
    </w:rPr>
  </w:style>
  <w:style w:type="paragraph" w:customStyle="1" w:styleId="210">
    <w:name w:val="标准文件_示例X后"/>
    <w:basedOn w:val="58"/>
    <w:link w:val="211"/>
    <w:qFormat/>
    <w:uiPriority w:val="0"/>
    <w:pPr>
      <w:ind w:left="1049" w:firstLine="0" w:firstLineChars="0"/>
    </w:pPr>
    <w:rPr>
      <w:sz w:val="18"/>
    </w:rPr>
  </w:style>
  <w:style w:type="character" w:customStyle="1" w:styleId="211">
    <w:name w:val="标准文件_示例X后 字符"/>
    <w:basedOn w:val="186"/>
    <w:link w:val="210"/>
    <w:qFormat/>
    <w:uiPriority w:val="0"/>
    <w:rPr>
      <w:rFonts w:ascii="宋体" w:hAnsi="Times New Roman"/>
      <w:sz w:val="18"/>
    </w:rPr>
  </w:style>
  <w:style w:type="paragraph" w:customStyle="1" w:styleId="212">
    <w:name w:val="标准文件_索引项"/>
    <w:basedOn w:val="58"/>
    <w:next w:val="58"/>
    <w:qFormat/>
    <w:uiPriority w:val="0"/>
    <w:pPr>
      <w:tabs>
        <w:tab w:val="right" w:leader="dot" w:pos="9356"/>
      </w:tabs>
      <w:ind w:left="210" w:hanging="210" w:firstLineChars="0"/>
      <w:jc w:val="left"/>
    </w:pPr>
  </w:style>
  <w:style w:type="paragraph" w:customStyle="1" w:styleId="213">
    <w:name w:val="标准文件_附录一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二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三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四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五级无标题"/>
    <w:basedOn w:val="86"/>
    <w:qFormat/>
    <w:uiPriority w:val="0"/>
    <w:pPr>
      <w:spacing w:before="0" w:beforeLines="0" w:after="0" w:afterLines="0" w:line="276" w:lineRule="auto"/>
      <w:outlineLvl w:val="9"/>
    </w:pPr>
    <w:rPr>
      <w:rFonts w:ascii="宋体" w:eastAsia="宋体"/>
    </w:rPr>
  </w:style>
  <w:style w:type="paragraph" w:customStyle="1" w:styleId="218">
    <w:name w:val="标准文件_引言一级无标题"/>
    <w:basedOn w:val="202"/>
    <w:next w:val="58"/>
    <w:qFormat/>
    <w:uiPriority w:val="0"/>
    <w:pPr>
      <w:spacing w:before="0" w:beforeLines="0" w:after="0" w:afterLines="0" w:line="276" w:lineRule="auto"/>
    </w:pPr>
    <w:rPr>
      <w:rFonts w:ascii="宋体" w:eastAsia="宋体"/>
    </w:rPr>
  </w:style>
  <w:style w:type="paragraph" w:customStyle="1" w:styleId="219">
    <w:name w:val="标准文件_引言二级无标题"/>
    <w:basedOn w:val="203"/>
    <w:next w:val="58"/>
    <w:qFormat/>
    <w:uiPriority w:val="0"/>
    <w:pPr>
      <w:spacing w:before="0" w:beforeLines="0" w:after="0" w:afterLines="0" w:line="276" w:lineRule="auto"/>
    </w:pPr>
    <w:rPr>
      <w:rFonts w:ascii="宋体" w:eastAsia="宋体"/>
    </w:rPr>
  </w:style>
  <w:style w:type="paragraph" w:customStyle="1" w:styleId="220">
    <w:name w:val="标准文件_引言三级无标题"/>
    <w:basedOn w:val="204"/>
    <w:qFormat/>
    <w:uiPriority w:val="0"/>
    <w:pPr>
      <w:spacing w:before="0" w:beforeLines="0" w:after="0" w:afterLines="0" w:line="276" w:lineRule="auto"/>
    </w:pPr>
    <w:rPr>
      <w:rFonts w:ascii="宋体" w:eastAsia="宋体"/>
    </w:rPr>
  </w:style>
  <w:style w:type="paragraph" w:customStyle="1" w:styleId="221">
    <w:name w:val="标准文件_引言四级无标题"/>
    <w:basedOn w:val="205"/>
    <w:next w:val="58"/>
    <w:qFormat/>
    <w:uiPriority w:val="0"/>
    <w:pPr>
      <w:spacing w:before="0" w:beforeLines="0" w:after="0" w:afterLines="0" w:line="276" w:lineRule="auto"/>
    </w:pPr>
    <w:rPr>
      <w:rFonts w:ascii="宋体" w:eastAsia="宋体"/>
    </w:rPr>
  </w:style>
  <w:style w:type="paragraph" w:customStyle="1" w:styleId="222">
    <w:name w:val="标准文件_引言五级无标题"/>
    <w:basedOn w:val="206"/>
    <w:next w:val="58"/>
    <w:qFormat/>
    <w:uiPriority w:val="0"/>
    <w:pPr>
      <w:spacing w:before="0" w:beforeLines="0" w:after="0" w:afterLines="0" w:line="276" w:lineRule="auto"/>
    </w:pPr>
    <w:rPr>
      <w:rFonts w:ascii="宋体" w:eastAsia="宋体"/>
    </w:rPr>
  </w:style>
  <w:style w:type="paragraph" w:customStyle="1" w:styleId="223">
    <w:name w:val="标准文件_索引标题"/>
    <w:basedOn w:val="65"/>
    <w:next w:val="58"/>
    <w:qFormat/>
    <w:uiPriority w:val="0"/>
    <w:rPr>
      <w:rFonts w:hAnsi="黑体"/>
    </w:rPr>
  </w:style>
  <w:style w:type="paragraph" w:customStyle="1" w:styleId="224">
    <w:name w:val="标准文件_脚注内容"/>
    <w:basedOn w:val="58"/>
    <w:qFormat/>
    <w:uiPriority w:val="0"/>
    <w:pPr>
      <w:ind w:left="400" w:leftChars="200" w:hanging="200" w:hangingChars="200"/>
    </w:pPr>
    <w:rPr>
      <w:sz w:val="15"/>
    </w:rPr>
  </w:style>
  <w:style w:type="paragraph" w:customStyle="1" w:styleId="225">
    <w:name w:val="标准文件_术语条一"/>
    <w:basedOn w:val="164"/>
    <w:next w:val="58"/>
    <w:qFormat/>
    <w:uiPriority w:val="0"/>
  </w:style>
  <w:style w:type="paragraph" w:customStyle="1" w:styleId="226">
    <w:name w:val="标准文件_术语条二"/>
    <w:basedOn w:val="167"/>
    <w:next w:val="58"/>
    <w:qFormat/>
    <w:uiPriority w:val="0"/>
  </w:style>
  <w:style w:type="paragraph" w:customStyle="1" w:styleId="227">
    <w:name w:val="标准文件_术语条三"/>
    <w:basedOn w:val="166"/>
    <w:next w:val="58"/>
    <w:qFormat/>
    <w:uiPriority w:val="0"/>
  </w:style>
  <w:style w:type="paragraph" w:customStyle="1" w:styleId="228">
    <w:name w:val="标准文件_术语条四"/>
    <w:basedOn w:val="169"/>
    <w:next w:val="58"/>
    <w:qFormat/>
    <w:uiPriority w:val="0"/>
  </w:style>
  <w:style w:type="paragraph" w:customStyle="1" w:styleId="229">
    <w:name w:val="标准文件_术语条五"/>
    <w:basedOn w:val="165"/>
    <w:next w:val="58"/>
    <w:qFormat/>
    <w:uiPriority w:val="0"/>
  </w:style>
  <w:style w:type="paragraph" w:customStyle="1" w:styleId="2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1">
    <w:name w:val="发布"/>
    <w:basedOn w:val="29"/>
    <w:qFormat/>
    <w:uiPriority w:val="0"/>
    <w:rPr>
      <w:rFonts w:ascii="黑体" w:eastAsia="黑体"/>
      <w:spacing w:val="85"/>
      <w:w w:val="100"/>
      <w:position w:val="3"/>
      <w:sz w:val="28"/>
      <w:szCs w:val="28"/>
    </w:rPr>
  </w:style>
  <w:style w:type="character" w:customStyle="1" w:styleId="232">
    <w:name w:val="thisit"/>
    <w:basedOn w:val="29"/>
    <w:qFormat/>
    <w:uiPriority w:val="0"/>
  </w:style>
  <w:style w:type="character" w:customStyle="1" w:styleId="233">
    <w:name w:val="bzmc"/>
    <w:basedOn w:val="29"/>
    <w:qFormat/>
    <w:uiPriority w:val="0"/>
  </w:style>
  <w:style w:type="character" w:customStyle="1" w:styleId="234">
    <w:name w:val="bzmc1"/>
    <w:basedOn w:val="29"/>
    <w:qFormat/>
    <w:uiPriority w:val="0"/>
  </w:style>
  <w:style w:type="character" w:customStyle="1" w:styleId="235">
    <w:name w:val="bzmc2"/>
    <w:basedOn w:val="29"/>
    <w:qFormat/>
    <w:uiPriority w:val="0"/>
  </w:style>
  <w:style w:type="character" w:customStyle="1" w:styleId="236">
    <w:name w:val="f_r6"/>
    <w:basedOn w:val="29"/>
    <w:qFormat/>
    <w:uiPriority w:val="0"/>
  </w:style>
  <w:style w:type="character" w:customStyle="1" w:styleId="237">
    <w:name w:val="sysj"/>
    <w:basedOn w:val="29"/>
    <w:qFormat/>
    <w:uiPriority w:val="0"/>
  </w:style>
  <w:style w:type="character" w:customStyle="1" w:styleId="238">
    <w:name w:val="bzrq2"/>
    <w:basedOn w:val="29"/>
    <w:qFormat/>
    <w:uiPriority w:val="0"/>
  </w:style>
  <w:style w:type="character" w:customStyle="1" w:styleId="239">
    <w:name w:val="f_r"/>
    <w:basedOn w:val="29"/>
    <w:qFormat/>
    <w:uiPriority w:val="0"/>
  </w:style>
  <w:style w:type="character" w:customStyle="1" w:styleId="240">
    <w:name w:val="bzrq"/>
    <w:basedOn w:val="29"/>
    <w:qFormat/>
    <w:uiPriority w:val="0"/>
  </w:style>
  <w:style w:type="character" w:customStyle="1" w:styleId="241">
    <w:name w:val="f_r5"/>
    <w:basedOn w:val="29"/>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jpe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46CF9519">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1F5E3E07">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6B5C09B3">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8</Pages>
  <Words>1774</Words>
  <Characters>2204</Characters>
  <Lines>4</Lines>
  <Paragraphs>1</Paragraphs>
  <TotalTime>51</TotalTime>
  <ScaleCrop>false</ScaleCrop>
  <LinksUpToDate>false</LinksUpToDate>
  <CharactersWithSpaces>2337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2026-02-04T06:36:00Z</dcterms:created>
  <dc:creator>2016</dc:creator>
  <cp:lastModifiedBy>陈兆雯15354874134</cp:lastModifiedBy>
  <dcterms:modified xsi:type="dcterms:W3CDTF">2026-04-08T01:29:08Z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D6DF803143EC4C9CAC72913811050EBD_13</vt:lpwstr>
  </property>
  <property fmtid="{D5CDD505-2E9C-101B-9397-08002B2CF9AE}" pid="15" name="KSOTemplateDocerSaveRecord">
    <vt:lpwstr>eyJoZGlkIjoiMTc3N2JkMDdiYzMxNDQ3NGJkOTc5ZWFiNzkyZmZlNTIiLCJ1c2VySWQiOiI1NjIzODE5MjkifQ==</vt:lpwstr>
  </property>
  <property fmtid="{D5CDD505-2E9C-101B-9397-08002B2CF9AE}" pid="16" name="KSOProductBuildVer">
    <vt:lpwstr>2052-12.1.0.25225</vt:lpwstr>
  </property>
</Properties>
</file>