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FAE8B7">
      <w:pPr>
        <w:framePr w:hSpace="180" w:vSpace="180" w:wrap="around" w:vAnchor="page" w:hAnchor="page" w:x="1808" w:y="591" w:anchorLock="1"/>
        <w:widowControl w:val="0"/>
        <w:textAlignment w:val="center"/>
        <w:rPr>
          <w:rFonts w:ascii="黑体" w:hAnsi="Times New Roman" w:eastAsia="黑体" w:cs="Times New Roman"/>
          <w:b/>
          <w:bCs/>
          <w:szCs w:val="21"/>
        </w:rPr>
      </w:pPr>
      <w:r>
        <w:rPr>
          <w:rFonts w:ascii="Times New Roman" w:hAnsi="Times New Roman" w:eastAsia="黑体" w:cs="Times New Roman"/>
          <w:b/>
          <w:bCs/>
          <w:szCs w:val="21"/>
        </w:rPr>
        <w:t>ICS</w:t>
      </w:r>
      <w:r>
        <w:rPr>
          <w:rFonts w:hint="eastAsia" w:ascii="Times New Roman" w:hAnsi="Times New Roman" w:eastAsia="黑体" w:cs="Times New Roman"/>
          <w:b/>
          <w:bCs/>
          <w:szCs w:val="21"/>
        </w:rPr>
        <w:t xml:space="preserve"> 11</w:t>
      </w:r>
      <w:r>
        <w:rPr>
          <w:rFonts w:ascii="Times New Roman" w:hAnsi="Times New Roman" w:eastAsia="黑体" w:cs="Times New Roman"/>
          <w:b/>
          <w:bCs/>
          <w:szCs w:val="21"/>
        </w:rPr>
        <w:t>.0</w:t>
      </w:r>
      <w:r>
        <w:rPr>
          <w:rFonts w:hint="eastAsia" w:ascii="Times New Roman" w:hAnsi="Times New Roman" w:eastAsia="黑体" w:cs="Times New Roman"/>
          <w:b/>
          <w:bCs/>
          <w:szCs w:val="21"/>
        </w:rPr>
        <w:t>2</w:t>
      </w:r>
      <w:r>
        <w:rPr>
          <w:rFonts w:ascii="Times New Roman" w:hAnsi="Times New Roman" w:eastAsia="黑体" w:cs="Times New Roman"/>
          <w:b/>
          <w:bCs/>
          <w:szCs w:val="21"/>
        </w:rPr>
        <w:t>0</w:t>
      </w:r>
    </w:p>
    <w:p w14:paraId="57BEB8CD">
      <w:pPr>
        <w:framePr w:hSpace="180" w:vSpace="180" w:wrap="around" w:vAnchor="page" w:hAnchor="page" w:x="1808" w:y="591" w:anchorLock="1"/>
        <w:widowControl w:val="0"/>
        <w:textAlignment w:val="center"/>
        <w:rPr>
          <w:rFonts w:ascii="Times New Roman" w:hAnsi="Times New Roman" w:eastAsia="黑体" w:cs="Times New Roman"/>
          <w:b/>
          <w:bCs/>
          <w:szCs w:val="21"/>
        </w:rPr>
      </w:pPr>
      <w:r>
        <w:rPr>
          <w:rFonts w:hint="eastAsia" w:ascii="Times New Roman" w:hAnsi="Times New Roman" w:eastAsia="黑体" w:cs="Times New Roman"/>
          <w:b/>
          <w:bCs/>
          <w:szCs w:val="21"/>
        </w:rPr>
        <w:t>CCS C 05</w:t>
      </w:r>
    </w:p>
    <w:p w14:paraId="4AC48848">
      <w:pPr>
        <w:framePr w:w="8178" w:h="856" w:hRule="exact" w:hSpace="181" w:vSpace="181" w:wrap="around" w:vAnchor="page" w:hAnchor="page" w:x="2055" w:y="2221" w:anchorLock="1"/>
        <w:widowControl w:val="0"/>
        <w:kinsoku w:val="0"/>
        <w:overflowPunct w:val="0"/>
        <w:autoSpaceDE w:val="0"/>
        <w:autoSpaceDN w:val="0"/>
        <w:spacing w:line="0" w:lineRule="atLeast"/>
        <w:jc w:val="distribute"/>
        <w:rPr>
          <w:rFonts w:hint="eastAsia" w:ascii="黑体" w:hAnsi="黑体" w:eastAsia="黑体" w:cs="Times New Roman"/>
          <w:bCs/>
          <w:spacing w:val="20"/>
          <w:w w:val="148"/>
          <w:sz w:val="56"/>
          <w:szCs w:val="52"/>
        </w:rPr>
      </w:pPr>
      <w:r>
        <w:rPr>
          <w:rFonts w:hint="eastAsia" w:ascii="黑体" w:hAnsi="黑体" w:eastAsia="黑体" w:cs="Times New Roman"/>
          <w:bCs/>
          <w:spacing w:val="20"/>
          <w:w w:val="148"/>
          <w:sz w:val="56"/>
          <w:szCs w:val="52"/>
        </w:rPr>
        <w:t>团体标准</w:t>
      </w:r>
    </w:p>
    <w:tbl>
      <w:tblPr>
        <w:tblStyle w:val="17"/>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3C3E8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70AD1D00">
            <w:pPr>
              <w:framePr w:w="9140" w:h="1242" w:hRule="exact" w:hSpace="284" w:wrap="around" w:vAnchor="page" w:hAnchor="page" w:x="1382" w:y="3031" w:anchorLock="1"/>
              <w:spacing w:before="357" w:line="280" w:lineRule="exact"/>
              <w:jc w:val="right"/>
              <w:rPr>
                <w:rFonts w:ascii="黑体" w:hAnsi="Times New Roman" w:eastAsia="黑体" w:cs="Times New Roman"/>
                <w:sz w:val="28"/>
                <w:szCs w:val="28"/>
              </w:rPr>
            </w:pPr>
            <w:r>
              <w:rPr>
                <w:rFonts w:hint="eastAsia" w:ascii="Times New Roman" w:hAnsi="Times New Roman" w:eastAsia="黑体" w:cs="Times New Roman"/>
                <w:b/>
                <w:bCs/>
                <w:sz w:val="28"/>
                <w:szCs w:val="28"/>
                <w:lang w:val="fr-FR"/>
              </w:rPr>
              <w:t>T</w:t>
            </w:r>
            <w:r>
              <w:rPr>
                <w:rFonts w:ascii="Times New Roman" w:hAnsi="Times New Roman" w:eastAsia="黑体" w:cs="Times New Roman"/>
                <w:b/>
                <w:bCs/>
                <w:sz w:val="28"/>
                <w:szCs w:val="28"/>
                <w:lang w:val="fr-FR"/>
              </w:rPr>
              <w:t>/</w:t>
            </w:r>
            <w:r>
              <w:rPr>
                <w:rFonts w:hint="eastAsia" w:ascii="Times New Roman" w:hAnsi="Times New Roman" w:eastAsia="黑体" w:cs="Times New Roman"/>
                <w:b/>
                <w:bCs/>
                <w:sz w:val="28"/>
                <w:szCs w:val="28"/>
                <w:lang w:val="fr-FR"/>
              </w:rPr>
              <w:t>C</w:t>
            </w:r>
            <w:bookmarkStart w:id="0" w:name="StdNo1"/>
            <w:r>
              <w:rPr>
                <w:rFonts w:hint="eastAsia" w:ascii="Times New Roman" w:hAnsi="Times New Roman" w:eastAsia="黑体" w:cs="Times New Roman"/>
                <w:b/>
                <w:bCs/>
                <w:sz w:val="28"/>
                <w:szCs w:val="28"/>
              </w:rPr>
              <w:t>RHA</w:t>
            </w:r>
            <w:bookmarkEnd w:id="0"/>
            <w:r>
              <w:rPr>
                <w:rFonts w:hint="eastAsia" w:ascii="Times New Roman" w:hAnsi="Times New Roman" w:eastAsia="黑体" w:cs="Times New Roman"/>
                <w:sz w:val="28"/>
                <w:szCs w:val="28"/>
              </w:rPr>
              <w:t xml:space="preserve"> </w:t>
            </w:r>
            <w:r>
              <w:rPr>
                <w:rFonts w:hint="eastAsia" w:ascii="黑体" w:hAnsi="Times New Roman" w:eastAsia="黑体" w:cs="Times New Roman"/>
                <w:sz w:val="28"/>
                <w:szCs w:val="28"/>
              </w:rPr>
              <w:t>XXX</w:t>
            </w:r>
            <w:r>
              <w:rPr>
                <w:rFonts w:ascii="黑体" w:hAnsi="Times New Roman" w:eastAsia="黑体" w:cs="Times New Roman"/>
                <w:sz w:val="28"/>
                <w:szCs w:val="28"/>
              </w:rPr>
              <w:t>—</w:t>
            </w:r>
            <w:r>
              <w:rPr>
                <w:rFonts w:hint="eastAsia" w:ascii="黑体" w:hAnsi="Times New Roman" w:eastAsia="黑体" w:cs="Times New Roman"/>
                <w:sz w:val="28"/>
                <w:szCs w:val="28"/>
              </w:rPr>
              <w:t>2025</w:t>
            </w:r>
          </w:p>
        </w:tc>
      </w:tr>
    </w:tbl>
    <w:p w14:paraId="463F2058">
      <w:pPr>
        <w:framePr w:w="9140" w:h="1242" w:hRule="exact" w:hSpace="284" w:wrap="around" w:vAnchor="page" w:hAnchor="page" w:x="1382" w:y="3031" w:anchorLock="1"/>
        <w:spacing w:before="357" w:line="280" w:lineRule="exact"/>
        <w:jc w:val="center"/>
        <w:rPr>
          <w:rFonts w:ascii="黑体" w:hAnsi="Times New Roman" w:eastAsia="黑体" w:cs="Times New Roman"/>
          <w:sz w:val="28"/>
          <w:szCs w:val="28"/>
        </w:rPr>
      </w:pPr>
      <w:r>
        <w:rPr>
          <w:rFonts w:hint="eastAsia" w:ascii="黑体" w:hAnsi="Times New Roman" w:eastAsia="黑体" w:cs="Times New Roman"/>
          <w:sz w:val="28"/>
          <w:szCs w:val="28"/>
        </w:rPr>
        <w:t>————————————————————————————————————————</w:t>
      </w:r>
    </w:p>
    <w:p w14:paraId="7EC8AD7A">
      <w:pPr>
        <w:framePr w:w="9140" w:h="1242" w:hRule="exact" w:hSpace="284" w:wrap="around" w:vAnchor="page" w:hAnchor="page" w:x="1382" w:y="3031" w:anchorLock="1"/>
        <w:spacing w:before="357" w:line="280" w:lineRule="exact"/>
        <w:jc w:val="right"/>
        <w:rPr>
          <w:rFonts w:ascii="黑体" w:hAnsi="Times New Roman" w:eastAsia="黑体" w:cs="Times New Roman"/>
          <w:sz w:val="28"/>
          <w:szCs w:val="28"/>
        </w:rPr>
      </w:pPr>
    </w:p>
    <w:p w14:paraId="73B41588">
      <w:pPr>
        <w:framePr w:w="9116" w:h="5160" w:hRule="exact" w:wrap="around" w:vAnchor="page" w:hAnchor="page" w:x="1327" w:y="6897" w:anchorLock="1"/>
        <w:widowControl w:val="0"/>
        <w:spacing w:after="400"/>
        <w:jc w:val="center"/>
        <w:rPr>
          <w:rFonts w:hint="eastAsia" w:ascii="黑体" w:hAnsi="黑体" w:eastAsia="黑体" w:cs="黑体"/>
          <w:sz w:val="52"/>
          <w:szCs w:val="52"/>
        </w:rPr>
      </w:pPr>
      <w:bookmarkStart w:id="1" w:name="_Hlk224117822"/>
      <w:bookmarkStart w:id="2" w:name="StdEnglishName"/>
      <w:r>
        <w:rPr>
          <w:rFonts w:hint="eastAsia" w:ascii="黑体" w:hAnsi="黑体" w:eastAsia="黑体" w:cs="黑体"/>
          <w:spacing w:val="-2"/>
          <w:sz w:val="52"/>
          <w:szCs w:val="52"/>
        </w:rPr>
        <w:t>银屑病光疗</w:t>
      </w:r>
      <w:bookmarkStart w:id="3" w:name="OLE_LINK1"/>
      <w:r>
        <w:rPr>
          <w:rFonts w:hint="eastAsia" w:ascii="黑体" w:hAnsi="黑体" w:eastAsia="黑体" w:cs="黑体"/>
          <w:spacing w:val="-2"/>
          <w:sz w:val="52"/>
          <w:szCs w:val="52"/>
        </w:rPr>
        <w:t>应用</w:t>
      </w:r>
      <w:bookmarkEnd w:id="3"/>
      <w:r>
        <w:rPr>
          <w:rFonts w:hint="eastAsia" w:ascii="黑体" w:hAnsi="黑体" w:eastAsia="黑体" w:cs="黑体"/>
          <w:spacing w:val="-2"/>
          <w:sz w:val="52"/>
          <w:szCs w:val="52"/>
        </w:rPr>
        <w:t>和随访管理规范</w:t>
      </w:r>
    </w:p>
    <w:bookmarkEnd w:id="1"/>
    <w:p w14:paraId="5EAAF81E">
      <w:pPr>
        <w:keepNext/>
        <w:keepLines/>
        <w:framePr w:w="9116" w:h="5160" w:hRule="exact" w:wrap="around" w:vAnchor="page" w:hAnchor="page" w:x="1327" w:y="6897" w:anchorLock="1"/>
        <w:widowControl w:val="0"/>
        <w:spacing w:after="400"/>
        <w:jc w:val="center"/>
        <w:rPr>
          <w:rFonts w:ascii="Times New Roman" w:hAnsi="Times New Roman" w:cs="Times New Roman" w:eastAsiaTheme="minorEastAsia"/>
          <w:sz w:val="28"/>
          <w:szCs w:val="28"/>
        </w:rPr>
      </w:pPr>
      <w:bookmarkStart w:id="4" w:name="_Toc203682669"/>
      <w:r>
        <w:rPr>
          <w:rFonts w:hint="eastAsia" w:ascii="Times New Roman" w:hAnsi="Times New Roman" w:cs="Times New Roman" w:eastAsiaTheme="minorEastAsia"/>
          <w:sz w:val="28"/>
          <w:szCs w:val="28"/>
        </w:rPr>
        <w:t>Standard for the Application and Follow-up Management of Phototherapy in Psoriasis</w:t>
      </w:r>
    </w:p>
    <w:p w14:paraId="5FFD7E86">
      <w:pPr>
        <w:keepNext/>
        <w:keepLines/>
        <w:framePr w:w="9116" w:h="5160" w:hRule="exact" w:wrap="around" w:vAnchor="page" w:hAnchor="page" w:x="1327" w:y="6897" w:anchorLock="1"/>
        <w:widowControl w:val="0"/>
        <w:spacing w:after="400"/>
        <w:jc w:val="center"/>
        <w:rPr>
          <w:rFonts w:hint="eastAsia" w:cs="黑体"/>
          <w:color w:val="000000"/>
          <w:sz w:val="28"/>
          <w:szCs w:val="28"/>
          <w:lang w:bidi="zh-TW"/>
        </w:rPr>
      </w:pPr>
      <w:r>
        <w:rPr>
          <w:rFonts w:hint="eastAsia" w:cs="黑体"/>
          <w:color w:val="000000"/>
          <w:sz w:val="28"/>
          <w:szCs w:val="28"/>
          <w:lang w:bidi="zh-TW"/>
        </w:rPr>
        <w:t>(</w:t>
      </w:r>
      <w:r>
        <w:rPr>
          <w:rFonts w:hint="eastAsia" w:cs="黑体"/>
          <w:color w:val="000000"/>
          <w:sz w:val="28"/>
          <w:szCs w:val="28"/>
          <w:lang w:val="en-US" w:eastAsia="zh-CN" w:bidi="zh-TW"/>
        </w:rPr>
        <w:t>征求意见</w:t>
      </w:r>
      <w:r>
        <w:rPr>
          <w:rFonts w:hint="eastAsia" w:cs="黑体"/>
          <w:color w:val="000000"/>
          <w:sz w:val="28"/>
          <w:szCs w:val="28"/>
          <w:lang w:bidi="zh-TW"/>
        </w:rPr>
        <w:t>稿）</w:t>
      </w:r>
      <w:bookmarkEnd w:id="4"/>
    </w:p>
    <w:p w14:paraId="1AEBBC8A">
      <w:pPr>
        <w:pStyle w:val="37"/>
        <w:framePr w:w="9331" w:wrap="around" w:hAnchor="page" w:x="1524" w:y="14958"/>
      </w:pPr>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r>
        <mc:AlternateContent>
          <mc:Choice Requires="wps">
            <w:drawing>
              <wp:anchor distT="0" distB="0" distL="114300" distR="114300" simplePos="0" relativeHeight="251663360" behindDoc="0" locked="1" layoutInCell="1" allowOverlap="1">
                <wp:simplePos x="0" y="0"/>
                <wp:positionH relativeFrom="margin">
                  <wp:posOffset>-280670</wp:posOffset>
                </wp:positionH>
                <wp:positionV relativeFrom="margin">
                  <wp:posOffset>8956675</wp:posOffset>
                </wp:positionV>
                <wp:extent cx="6120130" cy="0"/>
                <wp:effectExtent l="0" t="0" r="14605" b="19050"/>
                <wp:wrapSquare wrapText="bothSides"/>
                <wp:docPr id="1519898028"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直接连接符 4" o:spid="_x0000_s1026" o:spt="20" style="position:absolute;left:0pt;margin-left:-22.1pt;margin-top:705.25pt;height:0pt;width:481.9pt;mso-position-horizontal-relative:margin;mso-position-vertical-relative:margin;mso-wrap-distance-bottom:0pt;mso-wrap-distance-left:9pt;mso-wrap-distance-right:9pt;mso-wrap-distance-top:0pt;z-index:251663360;mso-width-relative:page;mso-height-relative:page;" filled="f" stroked="t" coordsize="21600,21600" o:gfxdata="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ER4s4vYAAAADQEAAA8AAAAAAAAAAQAgAAAAIgAAAGRycy9kb3ducmV2LnhtbFBLAQIUABQA&#10;AAAIAIdO4kAMIDIt8AEAAMEDAAAOAAAAAAAAAAEAIAAAACcBAABkcnMvZTJvRG9jLnhtbFBLBQYA&#10;AAAABgAGAFkBAACJBQAAAAA=&#10;">
                <v:fill on="f" focussize="0,0"/>
                <v:stroke color="#000000" joinstyle="round"/>
                <v:imagedata o:title=""/>
                <o:lock v:ext="edit" aspectratio="f"/>
                <w10:wrap type="square"/>
                <w10:anchorlock/>
              </v:line>
            </w:pict>
          </mc:Fallback>
        </mc:AlternateContent>
      </w:r>
    </w:p>
    <w:p w14:paraId="60ACB626">
      <w:pPr>
        <w:framePr w:w="9416" w:h="1134" w:hRule="exact" w:hSpace="125" w:vSpace="181" w:wrap="around" w:vAnchor="page" w:hAnchor="page" w:x="1298" w:y="15613" w:anchorLock="1"/>
        <w:pBdr>
          <w:top w:val="single" w:color="auto" w:sz="4" w:space="1"/>
          <w:left w:val="none" w:color="auto" w:sz="0" w:space="4"/>
          <w:bottom w:val="none" w:color="auto" w:sz="0" w:space="1"/>
          <w:right w:val="none" w:color="auto" w:sz="0" w:space="4"/>
        </w:pBdr>
        <w:jc w:val="center"/>
        <w:rPr>
          <w:rFonts w:hint="eastAsia" w:ascii="黑体" w:hAnsi="黑体" w:eastAsia="黑体" w:cs="黑体"/>
          <w:b/>
          <w:bCs/>
          <w:spacing w:val="20"/>
          <w:sz w:val="28"/>
          <w:szCs w:val="28"/>
        </w:rPr>
      </w:pPr>
      <w:r>
        <w:rPr>
          <w:rFonts w:hint="eastAsia" w:ascii="黑体" w:hAnsi="黑体" w:eastAsia="黑体" w:cs="黑体"/>
          <w:bCs/>
          <w:spacing w:val="20"/>
          <w:sz w:val="28"/>
          <w:szCs w:val="28"/>
        </w:rPr>
        <w:t>中国研究型医院学会 发 布</w:t>
      </w:r>
      <w:bookmarkEnd w:id="2"/>
    </w:p>
    <w:p w14:paraId="5CD4BC99">
      <w:pPr>
        <w:widowControl w:val="0"/>
        <w:rPr>
          <w:rFonts w:hint="eastAsia" w:ascii="等线" w:hAnsi="等线" w:cs="Times New Roman"/>
          <w:szCs w:val="22"/>
        </w:rPr>
      </w:pPr>
      <w:r>
        <w:rPr>
          <w:rFonts w:hint="eastAsia" w:ascii="等线" w:hAnsi="等线" w:cs="Times New Roman"/>
          <w:szCs w:val="22"/>
        </w:rPr>
        <w:drawing>
          <wp:anchor distT="0" distB="0" distL="114300" distR="114300" simplePos="0" relativeHeight="251660288" behindDoc="0" locked="0" layoutInCell="1" allowOverlap="1">
            <wp:simplePos x="0" y="0"/>
            <wp:positionH relativeFrom="column">
              <wp:posOffset>4711700</wp:posOffset>
            </wp:positionH>
            <wp:positionV relativeFrom="page">
              <wp:posOffset>127000</wp:posOffset>
            </wp:positionV>
            <wp:extent cx="1076325" cy="1040130"/>
            <wp:effectExtent l="0" t="0" r="9525" b="7620"/>
            <wp:wrapTopAndBottom/>
            <wp:docPr id="1" name="图片 1"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6827f94baeb281ac1150c54aaec17"/>
                    <pic:cNvPicPr>
                      <a:picLocks noChangeAspect="1"/>
                    </pic:cNvPicPr>
                  </pic:nvPicPr>
                  <pic:blipFill>
                    <a:blip r:embed="rId11"/>
                    <a:stretch>
                      <a:fillRect/>
                    </a:stretch>
                  </pic:blipFill>
                  <pic:spPr>
                    <a:xfrm>
                      <a:off x="0" y="0"/>
                      <a:ext cx="1076325" cy="1040130"/>
                    </a:xfrm>
                    <a:prstGeom prst="rect">
                      <a:avLst/>
                    </a:prstGeom>
                  </pic:spPr>
                </pic:pic>
              </a:graphicData>
            </a:graphic>
          </wp:anchor>
        </w:drawing>
      </w:r>
    </w:p>
    <w:p w14:paraId="68542FE4">
      <w:pPr>
        <w:jc w:val="center"/>
        <w:rPr>
          <w:rFonts w:hint="eastAsia" w:ascii="黑体" w:hAnsi="黑体" w:eastAsia="黑体" w:cs="黑体"/>
          <w:sz w:val="32"/>
          <w:szCs w:val="32"/>
        </w:rPr>
      </w:pPr>
    </w:p>
    <w:p w14:paraId="00BE36C4">
      <w:pPr>
        <w:jc w:val="center"/>
        <w:rPr>
          <w:rFonts w:hint="eastAsia" w:ascii="黑体" w:hAnsi="黑体" w:eastAsia="黑体" w:cs="黑体"/>
          <w:sz w:val="32"/>
          <w:szCs w:val="32"/>
        </w:rPr>
      </w:pPr>
    </w:p>
    <w:p w14:paraId="1C47B720">
      <w:pPr>
        <w:jc w:val="center"/>
        <w:rPr>
          <w:rFonts w:hint="eastAsia" w:ascii="黑体" w:hAnsi="黑体" w:eastAsia="黑体" w:cs="黑体"/>
          <w:sz w:val="32"/>
          <w:szCs w:val="32"/>
        </w:rPr>
      </w:pPr>
    </w:p>
    <w:p w14:paraId="064909C4">
      <w:pPr>
        <w:jc w:val="center"/>
        <w:rPr>
          <w:rFonts w:hint="eastAsia" w:ascii="黑体" w:hAnsi="黑体" w:eastAsia="黑体" w:cs="黑体"/>
          <w:sz w:val="32"/>
          <w:szCs w:val="32"/>
        </w:rPr>
      </w:pPr>
    </w:p>
    <w:p w14:paraId="3B085997">
      <w:pPr>
        <w:jc w:val="center"/>
        <w:rPr>
          <w:rFonts w:hint="eastAsia" w:ascii="黑体" w:hAnsi="黑体" w:eastAsia="黑体" w:cs="黑体"/>
          <w:sz w:val="32"/>
          <w:szCs w:val="32"/>
        </w:rPr>
        <w:sectPr>
          <w:footerReference r:id="rId5" w:type="first"/>
          <w:headerReference r:id="rId3" w:type="default"/>
          <w:footerReference r:id="rId4" w:type="default"/>
          <w:pgSz w:w="11906" w:h="16838"/>
          <w:pgMar w:top="1440" w:right="1800" w:bottom="1440" w:left="1800" w:header="851" w:footer="992" w:gutter="0"/>
          <w:pgNumType w:fmt="upperRoman" w:start="1"/>
          <w:cols w:space="425" w:num="1"/>
          <w:titlePg/>
          <w:docGrid w:type="lines" w:linePitch="312" w:charSpace="0"/>
        </w:sectPr>
      </w:pPr>
    </w:p>
    <w:p w14:paraId="4A61CC96">
      <w:pPr>
        <w:jc w:val="center"/>
        <w:rPr>
          <w:rFonts w:hint="eastAsia"/>
        </w:rPr>
      </w:pPr>
      <w:r>
        <w:rPr>
          <w:rFonts w:hint="eastAsia" w:ascii="黑体" w:hAnsi="黑体" w:eastAsia="黑体" w:cs="黑体"/>
          <w:sz w:val="32"/>
          <w:szCs w:val="32"/>
        </w:rPr>
        <w:t>目  次</w:t>
      </w:r>
    </w:p>
    <w:sdt>
      <w:sdtPr>
        <w:rPr>
          <w:rFonts w:asciiTheme="majorHAnsi" w:hAnsiTheme="majorHAnsi" w:eastAsiaTheme="majorEastAsia" w:cstheme="majorBidi"/>
          <w:color w:val="2F5597" w:themeColor="accent1" w:themeShade="BF"/>
          <w:sz w:val="32"/>
          <w:szCs w:val="32"/>
          <w:lang w:val="zh-CN"/>
        </w:rPr>
        <w:id w:val="465477934"/>
        <w:docPartObj>
          <w:docPartGallery w:val="Table of Contents"/>
          <w:docPartUnique/>
        </w:docPartObj>
      </w:sdtPr>
      <w:sdtEndPr>
        <w:rPr>
          <w:rFonts w:asciiTheme="majorHAnsi" w:hAnsiTheme="majorHAnsi" w:eastAsiaTheme="majorEastAsia" w:cstheme="majorBidi"/>
          <w:b/>
          <w:bCs/>
          <w:color w:val="2F5597" w:themeColor="accent1" w:themeShade="BF"/>
          <w:sz w:val="32"/>
          <w:szCs w:val="32"/>
          <w:lang w:val="zh-CN"/>
        </w:rPr>
      </w:sdtEndPr>
      <w:sdtContent>
        <w:p w14:paraId="5799747B">
          <w:pPr>
            <w:pStyle w:val="8"/>
            <w:tabs>
              <w:tab w:val="right" w:leader="dot" w:pos="8296"/>
            </w:tabs>
            <w:rPr>
              <w:rFonts w:hint="default" w:eastAsia="等线" w:asciiTheme="minorHAnsi" w:hAnsiTheme="minorHAnsi" w:cstheme="minorBidi"/>
              <w:kern w:val="2"/>
              <w:sz w:val="21"/>
              <w:lang w:val="en-US" w:eastAsia="zh-CN"/>
              <w14:ligatures w14:val="standardContextual"/>
            </w:rPr>
          </w:pPr>
          <w:r>
            <w:rPr>
              <w:rFonts w:ascii="黑体" w:hAnsi="黑体" w:eastAsia="黑体" w:cs="AdvOTd1f5cc91.B"/>
              <w:kern w:val="2"/>
              <w:sz w:val="21"/>
              <w:szCs w:val="21"/>
            </w:rPr>
            <w:fldChar w:fldCharType="begin"/>
          </w:r>
          <w:r>
            <w:rPr>
              <w:rFonts w:ascii="黑体" w:hAnsi="黑体" w:eastAsia="黑体"/>
              <w:szCs w:val="21"/>
            </w:rPr>
            <w:instrText xml:space="preserve"> TOC \o "1-3" \h \z \u </w:instrText>
          </w:r>
          <w:r>
            <w:rPr>
              <w:rFonts w:ascii="黑体" w:hAnsi="黑体" w:eastAsia="黑体" w:cs="AdvOTd1f5cc91.B"/>
              <w:kern w:val="2"/>
              <w:sz w:val="21"/>
              <w:szCs w:val="21"/>
            </w:rPr>
            <w:fldChar w:fldCharType="separate"/>
          </w:r>
          <w:r>
            <w:fldChar w:fldCharType="begin"/>
          </w:r>
          <w:r>
            <w:instrText xml:space="preserve"> HYPERLINK \l "_Toc226105562" </w:instrText>
          </w:r>
          <w:r>
            <w:fldChar w:fldCharType="separate"/>
          </w:r>
          <w:r>
            <w:rPr>
              <w:rStyle w:val="21"/>
              <w:rFonts w:hint="eastAsia" w:ascii="黑体" w:hAnsi="黑体" w:eastAsia="黑体" w:cs="黑体"/>
            </w:rPr>
            <w:t>前  言</w:t>
          </w:r>
          <w:r>
            <w:rPr>
              <w:rFonts w:hint="eastAsia"/>
            </w:rPr>
            <w:tab/>
          </w:r>
          <w:r>
            <w:rPr>
              <w:rFonts w:hint="eastAsia"/>
            </w:rPr>
            <w:fldChar w:fldCharType="end"/>
          </w:r>
          <w:r>
            <w:rPr>
              <w:rFonts w:hint="eastAsia"/>
              <w:lang w:val="en-US" w:eastAsia="zh-CN"/>
            </w:rPr>
            <w:t>II</w:t>
          </w:r>
        </w:p>
        <w:p w14:paraId="351667CE">
          <w:pPr>
            <w:pStyle w:val="8"/>
            <w:tabs>
              <w:tab w:val="left" w:pos="840"/>
              <w:tab w:val="right" w:leader="dot" w:pos="8296"/>
            </w:tabs>
            <w:rPr>
              <w:rFonts w:hint="eastAsia" w:eastAsia="等线" w:asciiTheme="minorHAnsi" w:hAnsiTheme="minorHAnsi" w:cstheme="minorBidi"/>
              <w:kern w:val="2"/>
              <w:sz w:val="21"/>
              <w:lang w:eastAsia="zh-CN"/>
              <w14:ligatures w14:val="standardContextual"/>
            </w:rPr>
          </w:pPr>
          <w:r>
            <w:fldChar w:fldCharType="begin"/>
          </w:r>
          <w:r>
            <w:instrText xml:space="preserve"> HYPERLINK \l "_Toc226105563" </w:instrText>
          </w:r>
          <w:r>
            <w:fldChar w:fldCharType="separate"/>
          </w:r>
          <w:r>
            <w:rPr>
              <w:rStyle w:val="21"/>
              <w:rFonts w:hint="eastAsia" w:ascii="黑体" w:hAnsi="黑体" w:eastAsia="黑体" w:cs="黑体"/>
            </w:rPr>
            <w:t>1</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范围</w:t>
          </w:r>
          <w:r>
            <w:rPr>
              <w:rFonts w:hint="eastAsia"/>
            </w:rPr>
            <w:tab/>
          </w:r>
          <w:r>
            <w:rPr>
              <w:rFonts w:hint="eastAsia"/>
            </w:rPr>
            <w:fldChar w:fldCharType="end"/>
          </w:r>
          <w:r>
            <w:rPr>
              <w:rFonts w:hint="eastAsia"/>
              <w:lang w:val="en-US" w:eastAsia="zh-CN"/>
            </w:rPr>
            <w:t>1</w:t>
          </w:r>
        </w:p>
        <w:p w14:paraId="37990A80">
          <w:pPr>
            <w:pStyle w:val="8"/>
            <w:tabs>
              <w:tab w:val="left" w:pos="840"/>
              <w:tab w:val="right" w:leader="dot" w:pos="8296"/>
            </w:tabs>
            <w:rPr>
              <w:rFonts w:hint="eastAsia" w:eastAsia="等线" w:asciiTheme="minorHAnsi" w:hAnsiTheme="minorHAnsi" w:cstheme="minorBidi"/>
              <w:kern w:val="2"/>
              <w:sz w:val="21"/>
              <w:lang w:eastAsia="zh-CN"/>
              <w14:ligatures w14:val="standardContextual"/>
            </w:rPr>
          </w:pPr>
          <w:r>
            <w:fldChar w:fldCharType="begin"/>
          </w:r>
          <w:r>
            <w:instrText xml:space="preserve"> HYPERLINK \l "_Toc226105564" </w:instrText>
          </w:r>
          <w:r>
            <w:fldChar w:fldCharType="separate"/>
          </w:r>
          <w:r>
            <w:rPr>
              <w:rStyle w:val="21"/>
              <w:rFonts w:hint="eastAsia" w:ascii="黑体" w:hAnsi="黑体" w:eastAsia="黑体" w:cs="黑体"/>
            </w:rPr>
            <w:t>2</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规范性引用文件</w:t>
          </w:r>
          <w:r>
            <w:rPr>
              <w:rFonts w:hint="eastAsia"/>
            </w:rPr>
            <w:tab/>
          </w:r>
          <w:r>
            <w:rPr>
              <w:rFonts w:hint="eastAsia"/>
            </w:rPr>
            <w:fldChar w:fldCharType="end"/>
          </w:r>
          <w:r>
            <w:rPr>
              <w:rFonts w:hint="eastAsia"/>
              <w:lang w:val="en-US" w:eastAsia="zh-CN"/>
            </w:rPr>
            <w:t>1</w:t>
          </w:r>
        </w:p>
        <w:p w14:paraId="0534A0FA">
          <w:pPr>
            <w:pStyle w:val="8"/>
            <w:tabs>
              <w:tab w:val="left" w:pos="840"/>
              <w:tab w:val="right" w:leader="dot" w:pos="8296"/>
            </w:tabs>
            <w:rPr>
              <w:rFonts w:hint="eastAsia" w:eastAsia="等线" w:asciiTheme="minorHAnsi" w:hAnsiTheme="minorHAnsi" w:cstheme="minorBidi"/>
              <w:kern w:val="2"/>
              <w:sz w:val="21"/>
              <w:lang w:eastAsia="zh-CN"/>
              <w14:ligatures w14:val="standardContextual"/>
            </w:rPr>
          </w:pPr>
          <w:r>
            <w:fldChar w:fldCharType="begin"/>
          </w:r>
          <w:r>
            <w:instrText xml:space="preserve"> HYPERLINK \l "_Toc226105565" </w:instrText>
          </w:r>
          <w:r>
            <w:fldChar w:fldCharType="separate"/>
          </w:r>
          <w:r>
            <w:rPr>
              <w:rStyle w:val="21"/>
              <w:rFonts w:hint="eastAsia" w:ascii="黑体" w:hAnsi="黑体" w:eastAsia="黑体" w:cs="黑体"/>
            </w:rPr>
            <w:t>3</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术语和定义</w:t>
          </w:r>
          <w:r>
            <w:rPr>
              <w:rFonts w:hint="eastAsia"/>
            </w:rPr>
            <w:tab/>
          </w:r>
          <w:r>
            <w:rPr>
              <w:rFonts w:hint="eastAsia"/>
            </w:rPr>
            <w:fldChar w:fldCharType="end"/>
          </w:r>
          <w:r>
            <w:rPr>
              <w:rFonts w:hint="eastAsia"/>
              <w:lang w:val="en-US" w:eastAsia="zh-CN"/>
            </w:rPr>
            <w:t>1</w:t>
          </w:r>
        </w:p>
        <w:p w14:paraId="4F104D71">
          <w:pPr>
            <w:pStyle w:val="8"/>
            <w:tabs>
              <w:tab w:val="left" w:pos="840"/>
              <w:tab w:val="right" w:leader="dot" w:pos="8296"/>
            </w:tabs>
            <w:rPr>
              <w:rFonts w:hint="eastAsia" w:eastAsia="等线" w:asciiTheme="minorHAnsi" w:hAnsiTheme="minorHAnsi" w:cstheme="minorBidi"/>
              <w:kern w:val="2"/>
              <w:sz w:val="21"/>
              <w:lang w:eastAsia="zh-CN"/>
              <w14:ligatures w14:val="standardContextual"/>
            </w:rPr>
          </w:pPr>
          <w:r>
            <w:fldChar w:fldCharType="begin"/>
          </w:r>
          <w:r>
            <w:instrText xml:space="preserve"> HYPERLINK \l "_Toc226105566" </w:instrText>
          </w:r>
          <w:r>
            <w:fldChar w:fldCharType="separate"/>
          </w:r>
          <w:r>
            <w:rPr>
              <w:rStyle w:val="21"/>
              <w:rFonts w:hint="eastAsia" w:ascii="黑体" w:hAnsi="黑体" w:eastAsia="黑体" w:cs="黑体"/>
            </w:rPr>
            <w:t>4</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银屑病病情评估</w:t>
          </w:r>
          <w:r>
            <w:rPr>
              <w:rFonts w:hint="eastAsia"/>
            </w:rPr>
            <w:tab/>
          </w:r>
          <w:r>
            <w:rPr>
              <w:rFonts w:hint="eastAsia"/>
            </w:rPr>
            <w:fldChar w:fldCharType="end"/>
          </w:r>
          <w:r>
            <w:rPr>
              <w:rFonts w:hint="eastAsia"/>
              <w:lang w:val="en-US" w:eastAsia="zh-CN"/>
            </w:rPr>
            <w:t>2</w:t>
          </w:r>
        </w:p>
        <w:p w14:paraId="3F77D1DA">
          <w:pPr>
            <w:pStyle w:val="8"/>
            <w:tabs>
              <w:tab w:val="left" w:pos="840"/>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"_Toc226105567" </w:instrText>
          </w:r>
          <w:r>
            <w:fldChar w:fldCharType="separate"/>
          </w:r>
          <w:r>
            <w:rPr>
              <w:rStyle w:val="21"/>
              <w:rFonts w:hint="eastAsia" w:ascii="黑体" w:hAnsi="黑体" w:eastAsia="黑体" w:cs="黑体"/>
            </w:rPr>
            <w:t>5</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银屑病光疗前患者沟通与教育</w:t>
          </w:r>
          <w:r>
            <w:rPr>
              <w:rFonts w:hint="eastAsia"/>
            </w:rPr>
            <w:tab/>
          </w:r>
          <w:r>
            <w:rPr>
              <w:rFonts w:hint="eastAsia"/>
            </w:rPr>
            <w:fldChar w:fldCharType="begin"/>
          </w:r>
          <w:r>
            <w:rPr>
              <w:rFonts w:hint="eastAsia"/>
            </w:rPr>
            <w:instrText xml:space="preserve"> </w:instrText>
          </w:r>
          <w:r>
            <w:instrText xml:space="preserve">PAGEREF _Toc226105567 \h</w:instrText>
          </w:r>
          <w:r>
            <w:rPr>
              <w:rFonts w:hint="eastAsia"/>
            </w:rPr>
            <w:instrText xml:space="preserve"> </w:instrText>
          </w:r>
          <w:r>
            <w:rPr>
              <w:rFonts w:hint="eastAsia"/>
            </w:rPr>
            <w:fldChar w:fldCharType="separate"/>
          </w:r>
          <w:r>
            <w:rPr>
              <w:rFonts w:hint="eastAsia"/>
            </w:rPr>
            <w:t>4</w:t>
          </w:r>
          <w:r>
            <w:rPr>
              <w:rFonts w:hint="eastAsia"/>
            </w:rPr>
            <w:fldChar w:fldCharType="end"/>
          </w:r>
          <w:r>
            <w:rPr>
              <w:rFonts w:hint="eastAsia"/>
            </w:rPr>
            <w:fldChar w:fldCharType="end"/>
          </w:r>
        </w:p>
        <w:p w14:paraId="72BA5DF3">
          <w:pPr>
            <w:pStyle w:val="8"/>
            <w:tabs>
              <w:tab w:val="left" w:pos="840"/>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"_Toc226105568" </w:instrText>
          </w:r>
          <w:r>
            <w:fldChar w:fldCharType="separate"/>
          </w:r>
          <w:r>
            <w:rPr>
              <w:rStyle w:val="21"/>
              <w:rFonts w:hint="eastAsia" w:ascii="黑体" w:hAnsi="黑体" w:eastAsia="黑体" w:cs="黑体"/>
            </w:rPr>
            <w:t>6</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银屑病光疗方案</w:t>
          </w:r>
          <w:r>
            <w:rPr>
              <w:rFonts w:hint="eastAsia"/>
            </w:rPr>
            <w:tab/>
          </w:r>
          <w:r>
            <w:rPr>
              <w:rFonts w:hint="eastAsia"/>
            </w:rPr>
            <w:fldChar w:fldCharType="begin"/>
          </w:r>
          <w:r>
            <w:rPr>
              <w:rFonts w:hint="eastAsia"/>
            </w:rPr>
            <w:instrText xml:space="preserve"> </w:instrText>
          </w:r>
          <w:r>
            <w:instrText xml:space="preserve">PAGEREF _Toc226105568 \h</w:instrText>
          </w:r>
          <w:r>
            <w:rPr>
              <w:rFonts w:hint="eastAsia"/>
            </w:rPr>
            <w:instrText xml:space="preserve"> </w:instrText>
          </w:r>
          <w:r>
            <w:rPr>
              <w:rFonts w:hint="eastAsia"/>
            </w:rPr>
            <w:fldChar w:fldCharType="separate"/>
          </w:r>
          <w:r>
            <w:rPr>
              <w:rFonts w:hint="eastAsia"/>
            </w:rPr>
            <w:t>4</w:t>
          </w:r>
          <w:r>
            <w:rPr>
              <w:rFonts w:hint="eastAsia"/>
            </w:rPr>
            <w:fldChar w:fldCharType="end"/>
          </w:r>
          <w:r>
            <w:rPr>
              <w:rFonts w:hint="eastAsia"/>
            </w:rPr>
            <w:fldChar w:fldCharType="end"/>
          </w:r>
        </w:p>
        <w:p w14:paraId="72B33799">
          <w:pPr>
            <w:pStyle w:val="8"/>
            <w:tabs>
              <w:tab w:val="left" w:pos="840"/>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"_Toc226105569" </w:instrText>
          </w:r>
          <w:r>
            <w:fldChar w:fldCharType="separate"/>
          </w:r>
          <w:r>
            <w:rPr>
              <w:rStyle w:val="21"/>
              <w:rFonts w:hint="eastAsia" w:ascii="黑体" w:hAnsi="黑体" w:eastAsia="黑体" w:cs="黑体"/>
            </w:rPr>
            <w:t>7</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光疗注意事项与不良反应处理</w:t>
          </w:r>
          <w:r>
            <w:rPr>
              <w:rFonts w:hint="eastAsia"/>
            </w:rPr>
            <w:tab/>
          </w:r>
          <w:r>
            <w:rPr>
              <w:rFonts w:hint="eastAsia"/>
            </w:rPr>
            <w:fldChar w:fldCharType="begin"/>
          </w:r>
          <w:r>
            <w:rPr>
              <w:rFonts w:hint="eastAsia"/>
            </w:rPr>
            <w:instrText xml:space="preserve"> </w:instrText>
          </w:r>
          <w:r>
            <w:instrText xml:space="preserve">PAGEREF _Toc226105569 \h</w:instrText>
          </w:r>
          <w:r>
            <w:rPr>
              <w:rFonts w:hint="eastAsia"/>
            </w:rPr>
            <w:instrText xml:space="preserve"> </w:instrText>
          </w:r>
          <w:r>
            <w:rPr>
              <w:rFonts w:hint="eastAsia"/>
            </w:rPr>
            <w:fldChar w:fldCharType="separate"/>
          </w:r>
          <w:r>
            <w:rPr>
              <w:rFonts w:hint="eastAsia"/>
            </w:rPr>
            <w:t>7</w:t>
          </w:r>
          <w:r>
            <w:rPr>
              <w:rFonts w:hint="eastAsia"/>
            </w:rPr>
            <w:fldChar w:fldCharType="end"/>
          </w:r>
          <w:r>
            <w:rPr>
              <w:rFonts w:hint="eastAsia"/>
            </w:rPr>
            <w:fldChar w:fldCharType="end"/>
          </w:r>
        </w:p>
        <w:p w14:paraId="6068E064">
          <w:pPr>
            <w:pStyle w:val="8"/>
            <w:tabs>
              <w:tab w:val="left" w:pos="840"/>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"_Toc226105570" </w:instrText>
          </w:r>
          <w:r>
            <w:fldChar w:fldCharType="separate"/>
          </w:r>
          <w:r>
            <w:rPr>
              <w:rStyle w:val="21"/>
              <w:rFonts w:hint="eastAsia" w:ascii="黑体" w:hAnsi="黑体" w:eastAsia="黑体" w:cs="黑体"/>
            </w:rPr>
            <w:t>8</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家庭光疗</w:t>
          </w:r>
          <w:r>
            <w:rPr>
              <w:rFonts w:hint="eastAsia"/>
            </w:rPr>
            <w:tab/>
          </w:r>
          <w:r>
            <w:rPr>
              <w:rFonts w:hint="eastAsia"/>
            </w:rPr>
            <w:fldChar w:fldCharType="begin"/>
          </w:r>
          <w:r>
            <w:rPr>
              <w:rFonts w:hint="eastAsia"/>
            </w:rPr>
            <w:instrText xml:space="preserve"> </w:instrText>
          </w:r>
          <w:r>
            <w:instrText xml:space="preserve">PAGEREF _Toc226105570 \h</w:instrText>
          </w:r>
          <w:r>
            <w:rPr>
              <w:rFonts w:hint="eastAsia"/>
            </w:rPr>
            <w:instrText xml:space="preserve"> </w:instrText>
          </w:r>
          <w:r>
            <w:rPr>
              <w:rFonts w:hint="eastAsia"/>
            </w:rPr>
            <w:fldChar w:fldCharType="separate"/>
          </w:r>
          <w:r>
            <w:rPr>
              <w:rFonts w:hint="eastAsia"/>
            </w:rPr>
            <w:t>7</w:t>
          </w:r>
          <w:r>
            <w:rPr>
              <w:rFonts w:hint="eastAsia"/>
            </w:rPr>
            <w:fldChar w:fldCharType="end"/>
          </w:r>
          <w:r>
            <w:rPr>
              <w:rFonts w:hint="eastAsia"/>
            </w:rPr>
            <w:fldChar w:fldCharType="end"/>
          </w:r>
        </w:p>
        <w:p w14:paraId="32754740">
          <w:pPr>
            <w:pStyle w:val="8"/>
            <w:tabs>
              <w:tab w:val="left" w:pos="840"/>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"_Toc226105571" </w:instrText>
          </w:r>
          <w:r>
            <w:fldChar w:fldCharType="separate"/>
          </w:r>
          <w:r>
            <w:rPr>
              <w:rStyle w:val="21"/>
              <w:rFonts w:hint="eastAsia" w:ascii="黑体" w:hAnsi="黑体" w:eastAsia="黑体" w:cs="黑体"/>
            </w:rPr>
            <w:t>9</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随访管理规范</w:t>
          </w:r>
          <w:r>
            <w:rPr>
              <w:rFonts w:hint="eastAsia"/>
            </w:rPr>
            <w:tab/>
          </w:r>
          <w:r>
            <w:rPr>
              <w:rFonts w:hint="eastAsia"/>
            </w:rPr>
            <w:fldChar w:fldCharType="begin"/>
          </w:r>
          <w:r>
            <w:rPr>
              <w:rFonts w:hint="eastAsia"/>
            </w:rPr>
            <w:instrText xml:space="preserve"> </w:instrText>
          </w:r>
          <w:r>
            <w:instrText xml:space="preserve">PAGEREF _Toc226105571 \h</w:instrText>
          </w:r>
          <w:r>
            <w:rPr>
              <w:rFonts w:hint="eastAsia"/>
            </w:rPr>
            <w:instrText xml:space="preserve"> </w:instrText>
          </w:r>
          <w:r>
            <w:rPr>
              <w:rFonts w:hint="eastAsia"/>
            </w:rPr>
            <w:fldChar w:fldCharType="separate"/>
          </w:r>
          <w:r>
            <w:rPr>
              <w:rFonts w:hint="eastAsia"/>
            </w:rPr>
            <w:t>8</w:t>
          </w:r>
          <w:r>
            <w:rPr>
              <w:rFonts w:hint="eastAsia"/>
            </w:rPr>
            <w:fldChar w:fldCharType="end"/>
          </w:r>
          <w:r>
            <w:rPr>
              <w:rFonts w:hint="eastAsia"/>
            </w:rPr>
            <w:fldChar w:fldCharType="end"/>
          </w:r>
        </w:p>
        <w:p w14:paraId="583B43CE">
          <w:pPr>
            <w:pStyle w:val="8"/>
            <w:tabs>
              <w:tab w:val="left" w:pos="1050"/>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"_Toc226105572" </w:instrText>
          </w:r>
          <w:r>
            <w:fldChar w:fldCharType="separate"/>
          </w:r>
          <w:r>
            <w:rPr>
              <w:rStyle w:val="21"/>
              <w:rFonts w:hint="eastAsia" w:ascii="黑体" w:hAnsi="黑体" w:eastAsia="黑体" w:cs="黑体"/>
            </w:rPr>
            <w:t>10</w:t>
          </w:r>
          <w:r>
            <w:rPr>
              <w:rFonts w:hint="eastAsia" w:asciiTheme="minorHAnsi" w:hAnsiTheme="minorHAnsi" w:eastAsiaTheme="minorEastAsia" w:cstheme="minorBidi"/>
              <w:kern w:val="2"/>
              <w:sz w:val="21"/>
              <w14:ligatures w14:val="standardContextual"/>
            </w:rPr>
            <w:tab/>
          </w:r>
          <w:r>
            <w:rPr>
              <w:rStyle w:val="21"/>
              <w:rFonts w:hint="eastAsia" w:ascii="黑体" w:hAnsi="黑体" w:eastAsia="黑体" w:cs="黑体"/>
            </w:rPr>
            <w:t>标准化数据采集</w:t>
          </w:r>
          <w:r>
            <w:rPr>
              <w:rFonts w:hint="eastAsia"/>
            </w:rPr>
            <w:tab/>
          </w:r>
          <w:r>
            <w:rPr>
              <w:rFonts w:hint="eastAsia"/>
            </w:rPr>
            <w:fldChar w:fldCharType="begin"/>
          </w:r>
          <w:r>
            <w:rPr>
              <w:rFonts w:hint="eastAsia"/>
            </w:rPr>
            <w:instrText xml:space="preserve"> </w:instrText>
          </w:r>
          <w:r>
            <w:instrText xml:space="preserve">PAGEREF _Toc226105572 \h</w:instrText>
          </w:r>
          <w:r>
            <w:rPr>
              <w:rFonts w:hint="eastAsia"/>
            </w:rPr>
            <w:instrText xml:space="preserve"> </w:instrText>
          </w:r>
          <w:r>
            <w:rPr>
              <w:rFonts w:hint="eastAsia"/>
            </w:rPr>
            <w:fldChar w:fldCharType="separate"/>
          </w:r>
          <w:r>
            <w:rPr>
              <w:rFonts w:hint="eastAsia"/>
            </w:rPr>
            <w:t>9</w:t>
          </w:r>
          <w:r>
            <w:rPr>
              <w:rFonts w:hint="eastAsia"/>
            </w:rPr>
            <w:fldChar w:fldCharType="end"/>
          </w:r>
          <w:r>
            <w:rPr>
              <w:rFonts w:hint="eastAsia"/>
            </w:rPr>
            <w:fldChar w:fldCharType="end"/>
          </w:r>
        </w:p>
        <w:p w14:paraId="74A522B4">
          <w:pPr>
            <w:pStyle w:val="8"/>
            <w:tabs>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"_Toc226105573" </w:instrText>
          </w:r>
          <w:r>
            <w:fldChar w:fldCharType="separate"/>
          </w:r>
          <w:r>
            <w:rPr>
              <w:rStyle w:val="21"/>
              <w:rFonts w:hint="eastAsia" w:ascii="Times New Roman" w:hAnsi="Times New Roman" w:eastAsia="黑体"/>
            </w:rPr>
            <w:t>附 录 A</w:t>
          </w:r>
          <w:r>
            <w:rPr>
              <w:rStyle w:val="21"/>
              <w:rFonts w:hint="eastAsia" w:ascii="Times New Roman" w:hAnsi="Times New Roman" w:eastAsia="黑体"/>
              <w:lang w:eastAsia="zh-CN"/>
            </w:rPr>
            <w:t>（</w:t>
          </w:r>
          <w:r>
            <w:rPr>
              <w:rStyle w:val="21"/>
              <w:rFonts w:hint="eastAsia" w:ascii="Times New Roman" w:hAnsi="Times New Roman" w:eastAsia="黑体"/>
              <w:lang w:val="en-US" w:eastAsia="zh-CN"/>
            </w:rPr>
            <w:t>资料性</w:t>
          </w:r>
          <w:r>
            <w:rPr>
              <w:rStyle w:val="21"/>
              <w:rFonts w:hint="eastAsia" w:ascii="Times New Roman" w:hAnsi="Times New Roman" w:eastAsia="黑体"/>
              <w:lang w:eastAsia="zh-CN"/>
            </w:rPr>
            <w:t>）</w:t>
          </w:r>
          <w:r>
            <w:rPr>
              <w:rStyle w:val="21"/>
              <w:rFonts w:hint="eastAsia" w:ascii="Times New Roman" w:hAnsi="Times New Roman" w:eastAsia="黑体"/>
              <w:lang w:val="en-US" w:eastAsia="zh-CN"/>
            </w:rPr>
            <w:t>名称</w:t>
          </w:r>
          <w:r>
            <w:rPr>
              <w:rFonts w:hint="eastAsia"/>
            </w:rPr>
            <w:tab/>
          </w:r>
          <w:r>
            <w:rPr>
              <w:rFonts w:hint="eastAsia"/>
            </w:rPr>
            <w:fldChar w:fldCharType="begin"/>
          </w:r>
          <w:r>
            <w:rPr>
              <w:rFonts w:hint="eastAsia"/>
            </w:rPr>
            <w:instrText xml:space="preserve"> </w:instrText>
          </w:r>
          <w:r>
            <w:instrText xml:space="preserve">PAGEREF _Toc226105573 \h</w:instrText>
          </w:r>
          <w:r>
            <w:rPr>
              <w:rFonts w:hint="eastAsia"/>
            </w:rPr>
            <w:instrText xml:space="preserve"> </w:instrText>
          </w:r>
          <w:r>
            <w:rPr>
              <w:rFonts w:hint="eastAsia"/>
            </w:rPr>
            <w:fldChar w:fldCharType="separate"/>
          </w:r>
          <w:r>
            <w:rPr>
              <w:rFonts w:hint="eastAsia"/>
            </w:rPr>
            <w:t>11</w:t>
          </w:r>
          <w:r>
            <w:rPr>
              <w:rFonts w:hint="eastAsia"/>
            </w:rPr>
            <w:fldChar w:fldCharType="end"/>
          </w:r>
          <w:r>
            <w:rPr>
              <w:rFonts w:hint="eastAsia"/>
            </w:rPr>
            <w:fldChar w:fldCharType="end"/>
          </w:r>
        </w:p>
        <w:p w14:paraId="5EF4458E">
          <w:pPr>
            <w:pStyle w:val="8"/>
            <w:tabs>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"_Toc226105576" </w:instrText>
          </w:r>
          <w:r>
            <w:fldChar w:fldCharType="separate"/>
          </w:r>
          <w:r>
            <w:rPr>
              <w:rStyle w:val="21"/>
              <w:rFonts w:hint="eastAsia" w:ascii="Times New Roman" w:hAnsi="Times New Roman" w:eastAsia="黑体"/>
            </w:rPr>
            <w:t>附 录 B</w:t>
          </w:r>
          <w:r>
            <w:rPr>
              <w:rStyle w:val="21"/>
              <w:rFonts w:hint="eastAsia" w:ascii="Times New Roman" w:hAnsi="Times New Roman" w:eastAsia="黑体"/>
              <w:lang w:eastAsia="zh-CN"/>
            </w:rPr>
            <w:t>（</w:t>
          </w:r>
          <w:r>
            <w:rPr>
              <w:rStyle w:val="21"/>
              <w:rFonts w:hint="eastAsia" w:ascii="Times New Roman" w:hAnsi="Times New Roman" w:eastAsia="黑体"/>
              <w:lang w:val="en-US" w:eastAsia="zh-CN"/>
            </w:rPr>
            <w:t>规范性</w:t>
          </w:r>
          <w:r>
            <w:rPr>
              <w:rStyle w:val="21"/>
              <w:rFonts w:hint="eastAsia" w:ascii="Times New Roman" w:hAnsi="Times New Roman" w:eastAsia="黑体"/>
              <w:lang w:eastAsia="zh-CN"/>
            </w:rPr>
            <w:t>）</w:t>
          </w:r>
          <w:r>
            <w:rPr>
              <w:rStyle w:val="21"/>
              <w:rFonts w:hint="eastAsia" w:ascii="Times New Roman" w:hAnsi="Times New Roman" w:eastAsia="黑体"/>
              <w:lang w:val="en-US" w:eastAsia="zh-CN"/>
            </w:rPr>
            <w:t>名称</w:t>
          </w:r>
          <w:r>
            <w:rPr>
              <w:rFonts w:hint="eastAsia"/>
            </w:rPr>
            <w:tab/>
          </w:r>
          <w:r>
            <w:rPr>
              <w:rFonts w:hint="eastAsia"/>
            </w:rPr>
            <w:fldChar w:fldCharType="begin"/>
          </w:r>
          <w:r>
            <w:rPr>
              <w:rFonts w:hint="eastAsia"/>
            </w:rPr>
            <w:instrText xml:space="preserve"> </w:instrText>
          </w:r>
          <w:r>
            <w:instrText xml:space="preserve">PAGEREF _Toc226105576 \h</w:instrText>
          </w:r>
          <w:r>
            <w:rPr>
              <w:rFonts w:hint="eastAsia"/>
            </w:rPr>
            <w:instrText xml:space="preserve"> </w:instrText>
          </w:r>
          <w:r>
            <w:rPr>
              <w:rFonts w:hint="eastAsia"/>
            </w:rPr>
            <w:fldChar w:fldCharType="separate"/>
          </w:r>
          <w:r>
            <w:rPr>
              <w:rFonts w:hint="eastAsia"/>
            </w:rPr>
            <w:t>12</w:t>
          </w:r>
          <w:r>
            <w:rPr>
              <w:rFonts w:hint="eastAsia"/>
            </w:rPr>
            <w:fldChar w:fldCharType="end"/>
          </w:r>
          <w:r>
            <w:rPr>
              <w:rFonts w:hint="eastAsia"/>
            </w:rPr>
            <w:fldChar w:fldCharType="end"/>
          </w:r>
        </w:p>
        <w:p w14:paraId="4F721793">
          <w:pPr>
            <w:pStyle w:val="8"/>
            <w:tabs>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"_Toc226105579" </w:instrText>
          </w:r>
          <w:r>
            <w:fldChar w:fldCharType="separate"/>
          </w:r>
          <w:r>
            <w:rPr>
              <w:rStyle w:val="21"/>
              <w:rFonts w:hint="eastAsia" w:ascii="Times New Roman" w:hAnsi="Times New Roman" w:eastAsia="黑体"/>
            </w:rPr>
            <w:t>附 录 C</w:t>
          </w:r>
          <w:r>
            <w:rPr>
              <w:rStyle w:val="21"/>
              <w:rFonts w:hint="eastAsia" w:ascii="Times New Roman" w:hAnsi="Times New Roman" w:eastAsia="黑体"/>
              <w:lang w:eastAsia="zh-CN"/>
            </w:rPr>
            <w:t>（</w:t>
          </w:r>
          <w:r>
            <w:rPr>
              <w:rStyle w:val="21"/>
              <w:rFonts w:hint="eastAsia" w:ascii="Times New Roman" w:hAnsi="Times New Roman" w:eastAsia="黑体"/>
              <w:lang w:val="en-US" w:eastAsia="zh-CN"/>
            </w:rPr>
            <w:t>规范性</w:t>
          </w:r>
          <w:r>
            <w:rPr>
              <w:rStyle w:val="21"/>
              <w:rFonts w:hint="eastAsia" w:ascii="Times New Roman" w:hAnsi="Times New Roman" w:eastAsia="黑体"/>
              <w:lang w:eastAsia="zh-CN"/>
            </w:rPr>
            <w:t>）</w:t>
          </w:r>
          <w:r>
            <w:rPr>
              <w:rStyle w:val="21"/>
              <w:rFonts w:hint="eastAsia" w:ascii="Times New Roman" w:hAnsi="Times New Roman" w:eastAsia="黑体"/>
              <w:lang w:val="en-US" w:eastAsia="zh-CN"/>
            </w:rPr>
            <w:t>名称</w:t>
          </w:r>
          <w:r>
            <w:rPr>
              <w:rFonts w:hint="eastAsia"/>
            </w:rPr>
            <w:tab/>
          </w:r>
          <w:r>
            <w:rPr>
              <w:rFonts w:hint="eastAsia"/>
            </w:rPr>
            <w:fldChar w:fldCharType="begin"/>
          </w:r>
          <w:r>
            <w:rPr>
              <w:rFonts w:hint="eastAsia"/>
            </w:rPr>
            <w:instrText xml:space="preserve"> </w:instrText>
          </w:r>
          <w:r>
            <w:instrText xml:space="preserve">PAGEREF _Toc226105579 \h</w:instrText>
          </w:r>
          <w:r>
            <w:rPr>
              <w:rFonts w:hint="eastAsia"/>
            </w:rPr>
            <w:instrText xml:space="preserve"> </w:instrText>
          </w:r>
          <w:r>
            <w:rPr>
              <w:rFonts w:hint="eastAsia"/>
            </w:rPr>
            <w:fldChar w:fldCharType="separate"/>
          </w:r>
          <w:r>
            <w:rPr>
              <w:rFonts w:hint="eastAsia"/>
            </w:rPr>
            <w:t>18</w:t>
          </w:r>
          <w:r>
            <w:rPr>
              <w:rFonts w:hint="eastAsia"/>
            </w:rPr>
            <w:fldChar w:fldCharType="end"/>
          </w:r>
          <w:r>
            <w:rPr>
              <w:rFonts w:hint="eastAsia"/>
            </w:rPr>
            <w:fldChar w:fldCharType="end"/>
          </w:r>
        </w:p>
        <w:p w14:paraId="265E550F">
          <w:pPr>
            <w:pStyle w:val="8"/>
            <w:tabs>
              <w:tab w:val="right" w:leader="dot" w:pos="8296"/>
            </w:tabs>
            <w:rPr>
              <w:rFonts w:hint="eastAsia" w:asciiTheme="minorHAnsi" w:hAnsiTheme="minorHAnsi" w:eastAsiaTheme="minorEastAsia" w:cstheme="minorBidi"/>
              <w:kern w:val="2"/>
              <w:sz w:val="21"/>
              <w14:ligatures w14:val="standardContextual"/>
            </w:rPr>
          </w:pPr>
          <w:r>
            <w:fldChar w:fldCharType="begin"/>
          </w:r>
          <w:r>
            <w:instrText xml:space="preserve"> HYPERLINK \l "_Toc226105582" </w:instrText>
          </w:r>
          <w:r>
            <w:fldChar w:fldCharType="separate"/>
          </w:r>
          <w:r>
            <w:rPr>
              <w:rStyle w:val="21"/>
              <w:rFonts w:hint="eastAsia"/>
            </w:rPr>
            <w:t>参考文献</w:t>
          </w:r>
          <w:r>
            <w:rPr>
              <w:rFonts w:hint="eastAsia"/>
            </w:rPr>
            <w:tab/>
          </w:r>
          <w:r>
            <w:rPr>
              <w:rFonts w:hint="eastAsia"/>
            </w:rPr>
            <w:fldChar w:fldCharType="begin"/>
          </w:r>
          <w:r>
            <w:rPr>
              <w:rFonts w:hint="eastAsia"/>
            </w:rPr>
            <w:instrText xml:space="preserve"> </w:instrText>
          </w:r>
          <w:r>
            <w:instrText xml:space="preserve">PAGEREF _Toc226105582 \h</w:instrText>
          </w:r>
          <w:r>
            <w:rPr>
              <w:rFonts w:hint="eastAsia"/>
            </w:rPr>
            <w:instrText xml:space="preserve"> </w:instrText>
          </w:r>
          <w:r>
            <w:rPr>
              <w:rFonts w:hint="eastAsia"/>
            </w:rPr>
            <w:fldChar w:fldCharType="separate"/>
          </w:r>
          <w:r>
            <w:rPr>
              <w:rFonts w:hint="eastAsia"/>
            </w:rPr>
            <w:t>22</w:t>
          </w:r>
          <w:r>
            <w:rPr>
              <w:rFonts w:hint="eastAsia"/>
            </w:rPr>
            <w:fldChar w:fldCharType="end"/>
          </w:r>
          <w:r>
            <w:rPr>
              <w:rFonts w:hint="eastAsia"/>
            </w:rPr>
            <w:fldChar w:fldCharType="end"/>
          </w:r>
        </w:p>
        <w:p w14:paraId="46BE7566">
          <w:pPr>
            <w:pStyle w:val="53"/>
            <w:rPr>
              <w:rFonts w:hint="eastAsia" w:ascii="黑体" w:hAnsi="黑体" w:eastAsia="黑体" w:cs="黑体"/>
            </w:rPr>
            <w:sectPr>
              <w:footerReference r:id="rId7" w:type="first"/>
              <w:footerReference r:id="rId6" w:type="default"/>
              <w:pgSz w:w="11906" w:h="16838"/>
              <w:pgMar w:top="1440" w:right="1800" w:bottom="1440" w:left="1800" w:header="851" w:footer="992" w:gutter="0"/>
              <w:pgNumType w:fmt="upperRoman"/>
              <w:cols w:space="425" w:num="1"/>
              <w:docGrid w:type="lines" w:linePitch="312" w:charSpace="0"/>
            </w:sectPr>
          </w:pPr>
          <w:r>
            <w:rPr>
              <w:rFonts w:ascii="黑体" w:hAnsi="黑体" w:eastAsia="黑体"/>
              <w:bCs/>
              <w:szCs w:val="21"/>
              <w:lang w:val="zh-CN"/>
            </w:rPr>
            <w:fldChar w:fldCharType="end"/>
          </w:r>
        </w:p>
      </w:sdtContent>
    </w:sdt>
    <w:p w14:paraId="13AAAAB7">
      <w:pPr>
        <w:adjustRightInd w:val="0"/>
        <w:snapToGrid w:val="0"/>
        <w:spacing w:before="156" w:beforeLines="50" w:after="156" w:afterLines="50"/>
        <w:jc w:val="center"/>
        <w:outlineLvl w:val="2"/>
        <w:rPr>
          <w:rFonts w:hint="eastAsia" w:ascii="黑体" w:hAnsi="黑体" w:eastAsia="黑体" w:cs="黑体"/>
          <w:sz w:val="32"/>
        </w:rPr>
      </w:pPr>
      <w:bookmarkStart w:id="5" w:name="_Toc226105562"/>
      <w:bookmarkStart w:id="6" w:name="_Toc27728"/>
      <w:r>
        <w:rPr>
          <w:rFonts w:hint="eastAsia" w:ascii="黑体" w:hAnsi="黑体" w:eastAsia="黑体" w:cs="黑体"/>
          <w:sz w:val="32"/>
        </w:rPr>
        <w:t>前  言</w:t>
      </w:r>
      <w:bookmarkEnd w:id="5"/>
    </w:p>
    <w:p w14:paraId="1563EE19">
      <w:pPr>
        <w:keepNext w:val="0"/>
        <w:keepLines w:val="0"/>
        <w:pageBreakBefore w:val="0"/>
        <w:widowControl/>
        <w:kinsoku/>
        <w:wordWrap/>
        <w:overflowPunct/>
        <w:topLinePunct w:val="0"/>
        <w:autoSpaceDE/>
        <w:autoSpaceDN/>
        <w:bidi w:val="0"/>
        <w:adjustRightInd w:val="0"/>
        <w:snapToGrid w:val="0"/>
        <w:ind w:firstLine="420"/>
        <w:textAlignment w:val="auto"/>
        <w:rPr>
          <w:rFonts w:hint="eastAsia"/>
          <w:szCs w:val="21"/>
        </w:rPr>
      </w:pPr>
      <w:bookmarkStart w:id="7" w:name="_Toc217668910"/>
      <w:r>
        <w:rPr>
          <w:rFonts w:hint="eastAsia"/>
          <w:szCs w:val="21"/>
        </w:rPr>
        <w:t xml:space="preserve">本文件按照GB/T 1.1-2020 《标准化工作导则 </w:t>
      </w:r>
      <w:r>
        <w:rPr>
          <w:rFonts w:hint="eastAsia"/>
          <w:szCs w:val="21"/>
          <w:lang w:val="en-US" w:eastAsia="zh-CN"/>
        </w:rPr>
        <w:t xml:space="preserve"> </w:t>
      </w:r>
      <w:r>
        <w:rPr>
          <w:rFonts w:hint="eastAsia"/>
          <w:szCs w:val="21"/>
        </w:rPr>
        <w:t>第1部分：标准化文件的结构和起草规则》的规定起草。</w:t>
      </w:r>
      <w:bookmarkEnd w:id="7"/>
    </w:p>
    <w:p w14:paraId="35B1F0BA">
      <w:pPr>
        <w:keepNext w:val="0"/>
        <w:keepLines w:val="0"/>
        <w:pageBreakBefore w:val="0"/>
        <w:widowControl/>
        <w:kinsoku/>
        <w:wordWrap/>
        <w:overflowPunct/>
        <w:topLinePunct w:val="0"/>
        <w:autoSpaceDE/>
        <w:autoSpaceDN/>
        <w:bidi w:val="0"/>
        <w:adjustRightInd w:val="0"/>
        <w:snapToGrid w:val="0"/>
        <w:ind w:firstLine="420"/>
        <w:textAlignment w:val="auto"/>
        <w:rPr>
          <w:rFonts w:hint="eastAsia"/>
          <w:szCs w:val="21"/>
        </w:rPr>
      </w:pPr>
      <w:bookmarkStart w:id="8" w:name="_Toc217668911"/>
      <w:r>
        <w:rPr>
          <w:rFonts w:hint="eastAsia"/>
          <w:szCs w:val="21"/>
        </w:rPr>
        <w:t>请注意本文件的某些内容可能涉及专利。本文件的发布机构不承担识别专利的责任。</w:t>
      </w:r>
      <w:bookmarkEnd w:id="8"/>
    </w:p>
    <w:p w14:paraId="066CD987">
      <w:pPr>
        <w:keepNext w:val="0"/>
        <w:keepLines w:val="0"/>
        <w:pageBreakBefore w:val="0"/>
        <w:widowControl/>
        <w:kinsoku/>
        <w:wordWrap/>
        <w:overflowPunct/>
        <w:topLinePunct w:val="0"/>
        <w:autoSpaceDE/>
        <w:autoSpaceDN/>
        <w:bidi w:val="0"/>
        <w:adjustRightInd w:val="0"/>
        <w:snapToGrid w:val="0"/>
        <w:ind w:firstLine="420"/>
        <w:textAlignment w:val="auto"/>
        <w:rPr>
          <w:rFonts w:hint="eastAsia"/>
          <w:szCs w:val="21"/>
        </w:rPr>
      </w:pPr>
      <w:bookmarkStart w:id="9" w:name="_Toc217668912"/>
      <w:r>
        <w:rPr>
          <w:rFonts w:hint="eastAsia"/>
          <w:szCs w:val="21"/>
        </w:rPr>
        <w:t>本文件由中国研究型医院学会皮肤科学专业委员会提出。</w:t>
      </w:r>
      <w:bookmarkEnd w:id="9"/>
    </w:p>
    <w:p w14:paraId="18E1CE3C">
      <w:pPr>
        <w:keepNext w:val="0"/>
        <w:keepLines w:val="0"/>
        <w:pageBreakBefore w:val="0"/>
        <w:widowControl/>
        <w:kinsoku/>
        <w:wordWrap/>
        <w:overflowPunct/>
        <w:topLinePunct w:val="0"/>
        <w:autoSpaceDE/>
        <w:autoSpaceDN/>
        <w:bidi w:val="0"/>
        <w:adjustRightInd w:val="0"/>
        <w:snapToGrid w:val="0"/>
        <w:ind w:firstLine="420"/>
        <w:textAlignment w:val="auto"/>
        <w:rPr>
          <w:rFonts w:hint="eastAsia"/>
          <w:szCs w:val="21"/>
        </w:rPr>
      </w:pPr>
      <w:bookmarkStart w:id="10" w:name="_Toc217668913"/>
      <w:r>
        <w:rPr>
          <w:rFonts w:hint="eastAsia"/>
          <w:szCs w:val="21"/>
        </w:rPr>
        <w:t>本文件由中国研究型医院学会归口。</w:t>
      </w:r>
      <w:bookmarkEnd w:id="10"/>
    </w:p>
    <w:p w14:paraId="29B1A47F">
      <w:pPr>
        <w:keepNext w:val="0"/>
        <w:keepLines w:val="0"/>
        <w:pageBreakBefore w:val="0"/>
        <w:widowControl/>
        <w:kinsoku/>
        <w:wordWrap/>
        <w:overflowPunct/>
        <w:topLinePunct w:val="0"/>
        <w:autoSpaceDE/>
        <w:autoSpaceDN/>
        <w:bidi w:val="0"/>
        <w:adjustRightInd w:val="0"/>
        <w:snapToGrid w:val="0"/>
        <w:ind w:firstLine="420"/>
        <w:textAlignment w:val="auto"/>
        <w:rPr>
          <w:rFonts w:hint="eastAsia" w:eastAsia="宋体"/>
          <w:szCs w:val="21"/>
          <w:lang w:eastAsia="zh-CN"/>
        </w:rPr>
      </w:pPr>
      <w:bookmarkStart w:id="11" w:name="_Toc217668914"/>
      <w:r>
        <w:rPr>
          <w:rFonts w:hint="eastAsia"/>
          <w:szCs w:val="21"/>
        </w:rPr>
        <w:t>本文件起草单位：</w:t>
      </w:r>
      <w:bookmarkEnd w:id="11"/>
      <w:r>
        <w:rPr>
          <w:rFonts w:hint="eastAsia"/>
          <w:szCs w:val="21"/>
          <w:lang w:eastAsia="zh-CN"/>
        </w:rPr>
        <w:t>。</w:t>
      </w:r>
    </w:p>
    <w:p w14:paraId="1B9BD9C4">
      <w:pPr>
        <w:keepNext w:val="0"/>
        <w:keepLines w:val="0"/>
        <w:pageBreakBefore w:val="0"/>
        <w:widowControl/>
        <w:kinsoku/>
        <w:wordWrap/>
        <w:overflowPunct/>
        <w:topLinePunct w:val="0"/>
        <w:autoSpaceDE/>
        <w:autoSpaceDN/>
        <w:bidi w:val="0"/>
        <w:adjustRightInd w:val="0"/>
        <w:snapToGrid w:val="0"/>
        <w:ind w:firstLine="420"/>
        <w:textAlignment w:val="auto"/>
        <w:rPr>
          <w:rFonts w:hint="eastAsia" w:eastAsia="宋体"/>
          <w:szCs w:val="21"/>
          <w:lang w:eastAsia="zh-CN"/>
        </w:rPr>
      </w:pPr>
      <w:bookmarkStart w:id="12" w:name="_Toc217668915"/>
      <w:r>
        <w:rPr>
          <w:rFonts w:hint="eastAsia"/>
          <w:szCs w:val="21"/>
        </w:rPr>
        <w:t>本文件主要起草人：</w:t>
      </w:r>
      <w:bookmarkEnd w:id="12"/>
      <w:r>
        <w:rPr>
          <w:rFonts w:hint="eastAsia"/>
          <w:szCs w:val="21"/>
          <w:lang w:eastAsia="zh-CN"/>
        </w:rPr>
        <w:t>。</w:t>
      </w:r>
    </w:p>
    <w:p w14:paraId="5CF86102">
      <w:pPr>
        <w:adjustRightInd w:val="0"/>
        <w:snapToGrid w:val="0"/>
        <w:spacing w:before="156" w:beforeLines="50" w:after="156" w:afterLines="50"/>
        <w:ind w:firstLine="420"/>
        <w:rPr>
          <w:rFonts w:hint="eastAsia"/>
          <w:szCs w:val="21"/>
        </w:rPr>
      </w:pPr>
    </w:p>
    <w:p w14:paraId="23D4B952">
      <w:pPr>
        <w:adjustRightInd w:val="0"/>
        <w:snapToGrid w:val="0"/>
        <w:spacing w:before="156" w:beforeLines="50" w:after="156" w:afterLines="50"/>
        <w:ind w:firstLine="420"/>
        <w:rPr>
          <w:rFonts w:hint="eastAsia"/>
          <w:szCs w:val="21"/>
        </w:rPr>
      </w:pPr>
      <w:bookmarkStart w:id="63" w:name="_GoBack"/>
      <w:bookmarkEnd w:id="63"/>
    </w:p>
    <w:p w14:paraId="5EC34754">
      <w:pPr>
        <w:adjustRightInd w:val="0"/>
        <w:snapToGrid w:val="0"/>
        <w:spacing w:before="156" w:beforeLines="50" w:after="156" w:afterLines="50"/>
        <w:ind w:firstLine="420"/>
        <w:rPr>
          <w:rFonts w:hint="eastAsia"/>
          <w:szCs w:val="21"/>
        </w:rPr>
      </w:pPr>
    </w:p>
    <w:p w14:paraId="6ADA47E2">
      <w:pPr>
        <w:adjustRightInd w:val="0"/>
        <w:snapToGrid w:val="0"/>
        <w:spacing w:before="156" w:beforeLines="50" w:after="156" w:afterLines="50"/>
        <w:rPr>
          <w:rFonts w:hint="eastAsia"/>
          <w:szCs w:val="21"/>
        </w:rPr>
      </w:pPr>
    </w:p>
    <w:p w14:paraId="3741A625">
      <w:pPr>
        <w:rPr>
          <w:rFonts w:hint="eastAsia" w:ascii="黑体" w:hAnsi="黑体" w:eastAsia="黑体" w:cs="黑体"/>
          <w:sz w:val="32"/>
        </w:rPr>
      </w:pPr>
      <w:r>
        <w:rPr>
          <w:rFonts w:hint="eastAsia" w:ascii="黑体" w:hAnsi="黑体" w:eastAsia="黑体" w:cs="黑体"/>
          <w:sz w:val="32"/>
        </w:rPr>
        <w:br w:type="page"/>
      </w:r>
    </w:p>
    <w:p w14:paraId="6D95C231">
      <w:pPr>
        <w:adjustRightInd w:val="0"/>
        <w:snapToGrid w:val="0"/>
        <w:spacing w:before="156" w:beforeLines="50" w:after="156" w:afterLines="50"/>
        <w:jc w:val="center"/>
        <w:rPr>
          <w:rFonts w:hint="eastAsia"/>
          <w:sz w:val="22"/>
          <w:szCs w:val="20"/>
        </w:rPr>
      </w:pPr>
      <w:r>
        <w:rPr>
          <w:rFonts w:hint="eastAsia" w:ascii="黑体" w:hAnsi="黑体" w:eastAsia="黑体" w:cs="黑体"/>
          <w:sz w:val="32"/>
        </w:rPr>
        <w:t>银屑病光疗应用和随访管理规范</w:t>
      </w:r>
      <w:bookmarkEnd w:id="6"/>
    </w:p>
    <w:p w14:paraId="2547BF0C">
      <w:pPr>
        <w:keepNext/>
        <w:keepLines/>
        <w:numPr>
          <w:ilvl w:val="0"/>
          <w:numId w:val="1"/>
        </w:numPr>
        <w:adjustRightInd w:val="0"/>
        <w:snapToGrid w:val="0"/>
        <w:spacing w:before="312" w:beforeLines="100" w:after="312" w:afterLines="100"/>
        <w:outlineLvl w:val="2"/>
        <w:rPr>
          <w:rFonts w:hint="eastAsia"/>
          <w:b/>
          <w:bCs/>
          <w:sz w:val="21"/>
          <w:szCs w:val="21"/>
        </w:rPr>
      </w:pPr>
      <w:bookmarkStart w:id="13" w:name="_Toc226105563"/>
      <w:r>
        <w:rPr>
          <w:rFonts w:hint="eastAsia" w:ascii="黑体" w:hAnsi="黑体" w:eastAsia="黑体" w:cs="黑体"/>
          <w:sz w:val="21"/>
          <w:szCs w:val="21"/>
        </w:rPr>
        <w:t>范围</w:t>
      </w:r>
      <w:bookmarkEnd w:id="13"/>
    </w:p>
    <w:p w14:paraId="4C7902E7">
      <w:pPr>
        <w:adjustRightInd w:val="0"/>
        <w:snapToGrid w:val="0"/>
        <w:ind w:firstLine="420" w:firstLineChars="200"/>
        <w:rPr>
          <w:rFonts w:hint="eastAsia"/>
          <w:sz w:val="21"/>
          <w:szCs w:val="21"/>
        </w:rPr>
      </w:pPr>
      <w:r>
        <w:rPr>
          <w:rFonts w:hint="eastAsia"/>
          <w:sz w:val="21"/>
          <w:szCs w:val="21"/>
        </w:rPr>
        <w:t>本文件规定了银屑病患者接受紫外线光疗的临床操作与管理规范，主要内容包括病情评估、光疗方案制定与实施、不良反应监测及处理、疗效与安全性评估、患者健康教育、长期随访管理以及相关数据采集的基本要求。</w:t>
      </w:r>
    </w:p>
    <w:p w14:paraId="59714610">
      <w:pPr>
        <w:adjustRightInd w:val="0"/>
        <w:snapToGrid w:val="0"/>
        <w:ind w:firstLine="420" w:firstLineChars="200"/>
        <w:rPr>
          <w:rFonts w:hint="eastAsia"/>
          <w:sz w:val="21"/>
          <w:szCs w:val="21"/>
        </w:rPr>
      </w:pPr>
      <w:r>
        <w:rPr>
          <w:rFonts w:hint="eastAsia"/>
          <w:sz w:val="21"/>
          <w:szCs w:val="21"/>
        </w:rPr>
        <w:t>本文件适用于各级医疗机构皮肤科相关医务工作者、银屑病患者及其家属。</w:t>
      </w:r>
    </w:p>
    <w:p w14:paraId="6999AE19">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14" w:name="_Toc226105564"/>
      <w:r>
        <w:rPr>
          <w:rFonts w:hint="eastAsia" w:ascii="黑体" w:hAnsi="黑体" w:eastAsia="黑体" w:cs="黑体"/>
          <w:sz w:val="21"/>
          <w:szCs w:val="21"/>
        </w:rPr>
        <w:t>规范性引用文件</w:t>
      </w:r>
      <w:bookmarkEnd w:id="14"/>
    </w:p>
    <w:p w14:paraId="47B8F090">
      <w:pPr>
        <w:tabs>
          <w:tab w:val="left" w:pos="3510"/>
        </w:tabs>
        <w:adjustRightInd w:val="0"/>
        <w:snapToGrid w:val="0"/>
        <w:ind w:firstLine="420" w:firstLineChars="200"/>
        <w:rPr>
          <w:rFonts w:hint="eastAsia"/>
          <w:sz w:val="21"/>
          <w:szCs w:val="21"/>
        </w:rPr>
      </w:pPr>
      <w:r>
        <w:rPr>
          <w:rFonts w:hint="eastAsia"/>
          <w:sz w:val="21"/>
          <w:szCs w:val="21"/>
        </w:rPr>
        <w:t>下列文件中的内容通过文中的规范性引用而构成本文件必不可少的条款。其中，标注日期的引用文件，仅该日期对应的版本适用于本文件；不标注日期的引用文件，其最新版本(包括所有的修改单)适用于本文件。</w:t>
      </w:r>
    </w:p>
    <w:p w14:paraId="7BC88E2F">
      <w:pPr>
        <w:tabs>
          <w:tab w:val="left" w:pos="3510"/>
        </w:tabs>
        <w:adjustRightInd w:val="0"/>
        <w:snapToGrid w:val="0"/>
        <w:ind w:firstLine="420" w:firstLineChars="200"/>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rPr>
        <w:t>GB</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9706.1</w:t>
      </w:r>
      <w:r>
        <w:rPr>
          <w:rFonts w:hint="eastAsia" w:ascii="Times New Roman" w:hAnsi="Times New Roman" w:cs="Times New Roman"/>
          <w:sz w:val="21"/>
          <w:szCs w:val="21"/>
          <w:lang w:val="en-US" w:eastAsia="zh-CN"/>
        </w:rPr>
        <w:t xml:space="preserve">  医用电气设备  第1部分：基本安全和基本性能的通用要求</w:t>
      </w:r>
    </w:p>
    <w:p w14:paraId="2A20A35F">
      <w:pPr>
        <w:tabs>
          <w:tab w:val="left" w:pos="3510"/>
        </w:tabs>
        <w:adjustRightInd w:val="0"/>
        <w:snapToGrid w:val="0"/>
        <w:ind w:firstLine="420" w:firstLineChars="200"/>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rPr>
        <w:t>GB</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9706.283</w:t>
      </w:r>
      <w:r>
        <w:rPr>
          <w:rFonts w:hint="eastAsia" w:ascii="Times New Roman" w:hAnsi="Times New Roman" w:cs="Times New Roman"/>
          <w:sz w:val="21"/>
          <w:szCs w:val="21"/>
          <w:lang w:val="en-US" w:eastAsia="zh-CN"/>
        </w:rPr>
        <w:t xml:space="preserve">  医用电气设备  第2-83部分：家用光治疗设备的基本安全和基本性能专用要求</w:t>
      </w:r>
    </w:p>
    <w:p w14:paraId="1CF1AB57">
      <w:pPr>
        <w:tabs>
          <w:tab w:val="left" w:pos="3510"/>
        </w:tabs>
        <w:adjustRightInd w:val="0"/>
        <w:snapToGrid w:val="0"/>
        <w:ind w:firstLine="420" w:firstLineChars="200"/>
        <w:rPr>
          <w:rFonts w:ascii="Times New Roman" w:hAnsi="Times New Roman" w:cs="Times New Roman"/>
          <w:sz w:val="21"/>
          <w:szCs w:val="21"/>
        </w:rPr>
      </w:pPr>
      <w:r>
        <w:rPr>
          <w:rFonts w:ascii="Times New Roman" w:hAnsi="Times New Roman" w:cs="Times New Roman"/>
          <w:sz w:val="21"/>
          <w:szCs w:val="21"/>
        </w:rPr>
        <w:t>YY/T 0901</w:t>
      </w:r>
      <w:r>
        <w:rPr>
          <w:rFonts w:hint="eastAsia" w:ascii="Times New Roman" w:hAnsi="Times New Roman" w:cs="Times New Roman"/>
          <w:sz w:val="21"/>
          <w:szCs w:val="21"/>
        </w:rPr>
        <w:t xml:space="preserve"> </w:t>
      </w:r>
      <w:r>
        <w:rPr>
          <w:rFonts w:hint="eastAsia" w:ascii="Times New Roman" w:hAnsi="Times New Roman" w:cs="Times New Roman"/>
          <w:sz w:val="21"/>
          <w:szCs w:val="21"/>
          <w:lang w:val="en-US" w:eastAsia="zh-CN"/>
        </w:rPr>
        <w:t xml:space="preserve"> </w:t>
      </w:r>
      <w:r>
        <w:rPr>
          <w:rFonts w:ascii="Times New Roman" w:hAnsi="Times New Roman" w:cs="Times New Roman"/>
          <w:sz w:val="21"/>
          <w:szCs w:val="21"/>
        </w:rPr>
        <w:t>紫外治疗设备</w:t>
      </w:r>
    </w:p>
    <w:p w14:paraId="6C5B01AF">
      <w:pPr>
        <w:tabs>
          <w:tab w:val="left" w:pos="3510"/>
        </w:tabs>
        <w:adjustRightInd w:val="0"/>
        <w:snapToGrid w:val="0"/>
        <w:ind w:firstLine="420" w:firstLineChars="200"/>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rPr>
        <w:t>YY</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9706.111</w:t>
      </w:r>
      <w:r>
        <w:rPr>
          <w:rFonts w:hint="eastAsia" w:ascii="Times New Roman" w:hAnsi="Times New Roman" w:cs="Times New Roman"/>
          <w:sz w:val="21"/>
          <w:szCs w:val="21"/>
          <w:lang w:val="en-US" w:eastAsia="zh-CN"/>
        </w:rPr>
        <w:t xml:space="preserve">  医用电气设备  第1-11部分：基本安全和基本性能的通用要求  并列标准：在家庭护理环境中使用的医用电气设备和医用电气系统的要求</w:t>
      </w:r>
    </w:p>
    <w:p w14:paraId="7E46F913">
      <w:pPr>
        <w:tabs>
          <w:tab w:val="left" w:pos="3510"/>
        </w:tabs>
        <w:adjustRightInd w:val="0"/>
        <w:snapToGrid w:val="0"/>
        <w:ind w:firstLine="420" w:firstLineChars="200"/>
        <w:rPr>
          <w:rFonts w:ascii="Times New Roman" w:hAnsi="Times New Roman" w:cs="Times New Roman"/>
          <w:sz w:val="21"/>
          <w:szCs w:val="21"/>
        </w:rPr>
      </w:pPr>
      <w:r>
        <w:rPr>
          <w:rFonts w:ascii="Times New Roman" w:hAnsi="Times New Roman" w:cs="Times New Roman"/>
          <w:sz w:val="21"/>
          <w:szCs w:val="21"/>
        </w:rPr>
        <w:t>TCRHA 147</w:t>
      </w:r>
      <w:r>
        <w:rPr>
          <w:rFonts w:hint="eastAsia" w:ascii="Times New Roman" w:hAnsi="Times New Roman" w:cs="Times New Roman"/>
          <w:sz w:val="21"/>
          <w:szCs w:val="21"/>
        </w:rPr>
        <w:t xml:space="preserve"> </w:t>
      </w:r>
      <w:r>
        <w:rPr>
          <w:rFonts w:hint="eastAsia" w:ascii="Times New Roman" w:hAnsi="Times New Roman" w:cs="Times New Roman"/>
          <w:sz w:val="21"/>
          <w:szCs w:val="21"/>
          <w:lang w:val="en-US" w:eastAsia="zh-CN"/>
        </w:rPr>
        <w:t xml:space="preserve"> </w:t>
      </w:r>
      <w:r>
        <w:rPr>
          <w:rFonts w:ascii="Times New Roman" w:hAnsi="Times New Roman" w:cs="Times New Roman"/>
          <w:sz w:val="21"/>
          <w:szCs w:val="21"/>
        </w:rPr>
        <w:t>皮肤病家庭紫外线光疗规范</w:t>
      </w:r>
    </w:p>
    <w:p w14:paraId="03CE5141">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15" w:name="_Toc226105565"/>
      <w:r>
        <w:rPr>
          <w:rFonts w:hint="eastAsia" w:ascii="黑体" w:hAnsi="黑体" w:eastAsia="黑体" w:cs="黑体"/>
          <w:sz w:val="21"/>
          <w:szCs w:val="21"/>
        </w:rPr>
        <w:t>术语和定义</w:t>
      </w:r>
      <w:bookmarkEnd w:id="15"/>
    </w:p>
    <w:p w14:paraId="1D0FEE20">
      <w:pPr>
        <w:tabs>
          <w:tab w:val="left" w:pos="3510"/>
        </w:tabs>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YY/T 0901和TCRHA 147界定的以及下列术语和定义适用于本文件。</w:t>
      </w:r>
    </w:p>
    <w:p w14:paraId="072F0E5B">
      <w:pPr>
        <w:keepNext/>
        <w:keepLines/>
        <w:numPr>
          <w:ilvl w:val="1"/>
          <w:numId w:val="1"/>
        </w:numPr>
        <w:adjustRightInd w:val="0"/>
        <w:snapToGrid w:val="0"/>
        <w:spacing w:before="156" w:beforeLines="50" w:after="156" w:afterLines="50"/>
        <w:ind w:left="0" w:firstLine="0"/>
        <w:rPr>
          <w:rFonts w:hint="eastAsia" w:ascii="黑体" w:hAnsi="黑体" w:eastAsia="黑体" w:cs="黑体"/>
          <w:sz w:val="21"/>
          <w:szCs w:val="21"/>
        </w:rPr>
      </w:pPr>
      <w:bookmarkStart w:id="16" w:name="_Toc200"/>
      <w:bookmarkEnd w:id="16"/>
      <w:bookmarkStart w:id="17" w:name="_Toc217668920"/>
      <w:bookmarkEnd w:id="17"/>
    </w:p>
    <w:p w14:paraId="33466C89">
      <w:pPr>
        <w:tabs>
          <w:tab w:val="left" w:pos="3510"/>
        </w:tabs>
        <w:adjustRightInd w:val="0"/>
        <w:snapToGrid w:val="0"/>
        <w:ind w:firstLine="420" w:firstLineChars="200"/>
        <w:rPr>
          <w:rFonts w:hint="eastAsia" w:ascii="黑体" w:hAnsi="黑体" w:eastAsia="黑体" w:cs="黑体"/>
          <w:b w:val="0"/>
          <w:bCs w:val="0"/>
          <w:sz w:val="21"/>
          <w:szCs w:val="21"/>
        </w:rPr>
      </w:pPr>
      <w:r>
        <w:rPr>
          <w:rFonts w:hint="eastAsia" w:ascii="黑体" w:hAnsi="黑体" w:eastAsia="黑体" w:cs="黑体"/>
          <w:b w:val="0"/>
          <w:bCs w:val="0"/>
          <w:sz w:val="21"/>
          <w:szCs w:val="21"/>
        </w:rPr>
        <w:t xml:space="preserve">窄谱中波紫外线 </w:t>
      </w:r>
      <w:r>
        <w:rPr>
          <w:rFonts w:hint="eastAsia" w:ascii="黑体" w:hAnsi="黑体" w:eastAsia="黑体" w:cs="黑体"/>
          <w:b w:val="0"/>
          <w:bCs w:val="0"/>
          <w:sz w:val="21"/>
          <w:szCs w:val="21"/>
          <w:lang w:val="en-US" w:eastAsia="zh-CN"/>
        </w:rPr>
        <w:t xml:space="preserve"> </w:t>
      </w:r>
      <w:r>
        <w:rPr>
          <w:rFonts w:hint="eastAsia" w:ascii="黑体" w:hAnsi="黑体" w:eastAsia="黑体" w:cs="黑体"/>
          <w:b w:val="0"/>
          <w:bCs w:val="0"/>
          <w:sz w:val="21"/>
          <w:szCs w:val="21"/>
        </w:rPr>
        <w:t>narrow band ultraviolet B; NB-UVB</w:t>
      </w:r>
    </w:p>
    <w:p w14:paraId="1D26C3F5">
      <w:pPr>
        <w:tabs>
          <w:tab w:val="left" w:pos="3510"/>
        </w:tabs>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波长</w:t>
      </w:r>
      <w:r>
        <w:rPr>
          <w:rFonts w:hint="eastAsia" w:ascii="Times New Roman" w:hAnsi="Times New Roman" w:cs="Times New Roman"/>
          <w:sz w:val="21"/>
          <w:szCs w:val="21"/>
          <w:lang w:val="en-US" w:eastAsia="zh-CN"/>
        </w:rPr>
        <w:t>小于</w:t>
      </w:r>
      <w:r>
        <w:rPr>
          <w:rFonts w:hint="eastAsia" w:ascii="Times New Roman" w:hAnsi="Times New Roman" w:cs="Times New Roman"/>
          <w:sz w:val="21"/>
          <w:szCs w:val="21"/>
        </w:rPr>
        <w:t>290 nm的能量不超过总能量的0.1%</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主要能量集中在296 nm～313 nm的中波紫外线。</w:t>
      </w:r>
    </w:p>
    <w:p w14:paraId="2FBE9571">
      <w:pPr>
        <w:tabs>
          <w:tab w:val="left" w:pos="3510"/>
        </w:tabs>
        <w:adjustRightInd w:val="0"/>
        <w:snapToGrid w:val="0"/>
        <w:ind w:firstLine="360" w:firstLineChars="200"/>
        <w:rPr>
          <w:rFonts w:ascii="Times New Roman" w:hAnsi="Times New Roman" w:cs="Times New Roman"/>
          <w:sz w:val="21"/>
          <w:szCs w:val="21"/>
        </w:rPr>
      </w:pPr>
      <w:r>
        <w:rPr>
          <w:rFonts w:hint="eastAsia" w:ascii="黑体" w:hAnsi="黑体" w:eastAsia="黑体" w:cs="黑体"/>
          <w:sz w:val="18"/>
          <w:szCs w:val="18"/>
        </w:rPr>
        <w:t>注：</w:t>
      </w:r>
      <w:r>
        <w:rPr>
          <w:rFonts w:hint="eastAsia" w:ascii="Times New Roman" w:hAnsi="Times New Roman" w:cs="Times New Roman"/>
          <w:sz w:val="18"/>
          <w:szCs w:val="18"/>
        </w:rPr>
        <w:t>临床常用的</w:t>
      </w:r>
      <w:r>
        <w:rPr>
          <w:rFonts w:hint="eastAsia" w:ascii="Times New Roman" w:hAnsi="Times New Roman" w:cs="Times New Roman"/>
          <w:sz w:val="18"/>
          <w:szCs w:val="18"/>
        </w:rPr>
        <w:t>窄谱中波紫外线</w:t>
      </w:r>
      <w:r>
        <w:rPr>
          <w:rFonts w:hint="eastAsia" w:ascii="Times New Roman" w:hAnsi="Times New Roman" w:cs="Times New Roman"/>
          <w:sz w:val="18"/>
          <w:szCs w:val="18"/>
          <w:lang w:val="en-US" w:eastAsia="zh-CN"/>
        </w:rPr>
        <w:t>(</w:t>
      </w:r>
      <w:r>
        <w:rPr>
          <w:rFonts w:hint="eastAsia" w:ascii="Times New Roman" w:hAnsi="Times New Roman" w:cs="Times New Roman"/>
          <w:sz w:val="18"/>
          <w:szCs w:val="18"/>
        </w:rPr>
        <w:t>NB-UVB</w:t>
      </w:r>
      <w:r>
        <w:rPr>
          <w:rFonts w:hint="eastAsia" w:ascii="Times New Roman" w:hAnsi="Times New Roman" w:cs="Times New Roman"/>
          <w:sz w:val="18"/>
          <w:szCs w:val="18"/>
          <w:lang w:val="en-US" w:eastAsia="zh-CN"/>
        </w:rPr>
        <w:t>)</w:t>
      </w:r>
      <w:r>
        <w:rPr>
          <w:rFonts w:hint="eastAsia" w:ascii="Times New Roman" w:hAnsi="Times New Roman" w:cs="Times New Roman"/>
          <w:sz w:val="18"/>
          <w:szCs w:val="18"/>
        </w:rPr>
        <w:t>峰值波长有308 nm和311 nm。</w:t>
      </w:r>
    </w:p>
    <w:p w14:paraId="3D77E971">
      <w:pPr>
        <w:keepNext/>
        <w:keepLines/>
        <w:numPr>
          <w:ilvl w:val="1"/>
          <w:numId w:val="1"/>
        </w:numPr>
        <w:adjustRightInd w:val="0"/>
        <w:snapToGrid w:val="0"/>
        <w:spacing w:before="156" w:beforeLines="50" w:after="156" w:afterLines="50"/>
        <w:ind w:left="0" w:firstLine="0"/>
        <w:rPr>
          <w:rFonts w:hint="eastAsia" w:ascii="黑体" w:hAnsi="黑体" w:eastAsia="黑体" w:cs="黑体"/>
          <w:sz w:val="21"/>
          <w:szCs w:val="21"/>
        </w:rPr>
      </w:pPr>
    </w:p>
    <w:p w14:paraId="3C436247">
      <w:pPr>
        <w:ind w:firstLine="422" w:firstLineChars="200"/>
        <w:rPr>
          <w:rFonts w:ascii="Times New Roman" w:hAnsi="Times New Roman" w:cs="Times New Roman"/>
          <w:b/>
          <w:bCs/>
          <w:sz w:val="21"/>
          <w:szCs w:val="21"/>
        </w:rPr>
      </w:pPr>
      <w:bookmarkStart w:id="18" w:name="OLE_LINK5"/>
      <w:r>
        <w:rPr>
          <w:rFonts w:hint="eastAsia" w:ascii="Times New Roman" w:hAnsi="Times New Roman" w:cs="Times New Roman"/>
          <w:b/>
          <w:bCs/>
          <w:sz w:val="21"/>
          <w:szCs w:val="21"/>
        </w:rPr>
        <w:t xml:space="preserve">长波紫外线1 </w:t>
      </w:r>
      <w:r>
        <w:rPr>
          <w:rFonts w:hint="eastAsia" w:ascii="Times New Roman" w:hAnsi="Times New Roman" w:cs="Times New Roman"/>
          <w:b/>
          <w:bCs/>
          <w:sz w:val="21"/>
          <w:szCs w:val="21"/>
          <w:lang w:val="en-US" w:eastAsia="zh-CN"/>
        </w:rPr>
        <w:t xml:space="preserve"> </w:t>
      </w:r>
      <w:r>
        <w:rPr>
          <w:rFonts w:hint="eastAsia" w:ascii="Times New Roman" w:hAnsi="Times New Roman" w:cs="Times New Roman"/>
          <w:b/>
          <w:bCs/>
          <w:sz w:val="21"/>
          <w:szCs w:val="21"/>
        </w:rPr>
        <w:t>ultraviolet A1；UVA1</w:t>
      </w:r>
    </w:p>
    <w:bookmarkEnd w:id="18"/>
    <w:p w14:paraId="001E098D">
      <w:pPr>
        <w:ind w:firstLine="420" w:firstLineChars="200"/>
        <w:rPr>
          <w:rFonts w:ascii="Times New Roman" w:hAnsi="Times New Roman" w:cs="Times New Roman"/>
          <w:sz w:val="21"/>
          <w:szCs w:val="21"/>
        </w:rPr>
      </w:pPr>
      <w:r>
        <w:rPr>
          <w:rFonts w:hint="eastAsia" w:ascii="Times New Roman" w:hAnsi="Times New Roman" w:cs="Times New Roman"/>
          <w:sz w:val="21"/>
          <w:szCs w:val="21"/>
        </w:rPr>
        <w:t>波长</w:t>
      </w:r>
      <w:r>
        <w:rPr>
          <w:rFonts w:hint="eastAsia" w:ascii="Times New Roman" w:hAnsi="Times New Roman" w:cs="Times New Roman"/>
          <w:sz w:val="21"/>
          <w:szCs w:val="21"/>
          <w:lang w:val="en-US" w:eastAsia="zh-CN"/>
        </w:rPr>
        <w:t>小于</w:t>
      </w:r>
      <w:r>
        <w:rPr>
          <w:rFonts w:hint="eastAsia" w:ascii="Times New Roman" w:hAnsi="Times New Roman" w:cs="Times New Roman"/>
          <w:sz w:val="21"/>
          <w:szCs w:val="21"/>
        </w:rPr>
        <w:t>340 nm的能量不超过总能量的5%</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波长在340 nm～400 nm</w:t>
      </w:r>
      <w:r>
        <w:rPr>
          <w:rFonts w:hint="eastAsia" w:ascii="Times New Roman" w:hAnsi="Times New Roman" w:cs="Times New Roman"/>
          <w:sz w:val="21"/>
          <w:szCs w:val="21"/>
          <w:lang w:val="en-US" w:eastAsia="zh-CN"/>
        </w:rPr>
        <w:t>的</w:t>
      </w:r>
      <w:r>
        <w:rPr>
          <w:rFonts w:hint="eastAsia" w:ascii="Times New Roman" w:hAnsi="Times New Roman" w:cs="Times New Roman"/>
          <w:sz w:val="21"/>
          <w:szCs w:val="21"/>
        </w:rPr>
        <w:t>长波紫外线</w:t>
      </w:r>
      <w:r>
        <w:rPr>
          <w:rFonts w:hint="eastAsia" w:ascii="Times New Roman" w:hAnsi="Times New Roman" w:cs="Times New Roman"/>
          <w:sz w:val="21"/>
          <w:szCs w:val="21"/>
          <w:lang w:eastAsia="zh-CN"/>
        </w:rPr>
        <w:t>。</w:t>
      </w:r>
    </w:p>
    <w:p w14:paraId="1B610BD7">
      <w:pPr>
        <w:ind w:firstLine="360" w:firstLineChars="200"/>
        <w:rPr>
          <w:rFonts w:ascii="Times New Roman" w:hAnsi="Times New Roman" w:cs="Times New Roman"/>
          <w:sz w:val="18"/>
          <w:szCs w:val="18"/>
        </w:rPr>
      </w:pPr>
      <w:r>
        <w:rPr>
          <w:rFonts w:hint="eastAsia" w:ascii="黑体" w:hAnsi="黑体" w:eastAsia="黑体" w:cs="黑体"/>
          <w:sz w:val="18"/>
          <w:szCs w:val="18"/>
        </w:rPr>
        <w:t>注：</w:t>
      </w:r>
      <w:r>
        <w:rPr>
          <w:rFonts w:hint="eastAsia" w:ascii="Times New Roman" w:hAnsi="Times New Roman" w:cs="Times New Roman"/>
          <w:sz w:val="18"/>
          <w:szCs w:val="18"/>
        </w:rPr>
        <w:t>临床使用的</w:t>
      </w:r>
      <w:r>
        <w:rPr>
          <w:rFonts w:hint="eastAsia" w:ascii="Times New Roman" w:hAnsi="Times New Roman" w:cs="Times New Roman"/>
          <w:sz w:val="18"/>
          <w:szCs w:val="18"/>
        </w:rPr>
        <w:t>长波紫外线1</w:t>
      </w:r>
      <w:r>
        <w:rPr>
          <w:rFonts w:hint="eastAsia" w:ascii="Times New Roman" w:hAnsi="Times New Roman" w:cs="Times New Roman"/>
          <w:sz w:val="18"/>
          <w:szCs w:val="18"/>
          <w:lang w:eastAsia="zh-CN"/>
        </w:rPr>
        <w:t>（</w:t>
      </w:r>
      <w:r>
        <w:rPr>
          <w:rFonts w:hint="eastAsia" w:ascii="Times New Roman" w:hAnsi="Times New Roman" w:cs="Times New Roman"/>
          <w:sz w:val="18"/>
          <w:szCs w:val="18"/>
        </w:rPr>
        <w:t>UVA1</w:t>
      </w:r>
      <w:r>
        <w:rPr>
          <w:rFonts w:hint="eastAsia" w:ascii="Times New Roman" w:hAnsi="Times New Roman" w:cs="Times New Roman"/>
          <w:sz w:val="18"/>
          <w:szCs w:val="18"/>
          <w:lang w:eastAsia="zh-CN"/>
        </w:rPr>
        <w:t>）</w:t>
      </w:r>
      <w:r>
        <w:rPr>
          <w:rFonts w:hint="eastAsia" w:ascii="Times New Roman" w:hAnsi="Times New Roman" w:cs="Times New Roman"/>
          <w:sz w:val="18"/>
          <w:szCs w:val="18"/>
        </w:rPr>
        <w:t>光谱峰值约为365nm。</w:t>
      </w:r>
    </w:p>
    <w:p w14:paraId="750FF19F">
      <w:pPr>
        <w:keepNext/>
        <w:keepLines/>
        <w:numPr>
          <w:ilvl w:val="1"/>
          <w:numId w:val="1"/>
        </w:numPr>
        <w:adjustRightInd w:val="0"/>
        <w:snapToGrid w:val="0"/>
        <w:spacing w:before="156" w:beforeLines="50" w:after="156" w:afterLines="50"/>
        <w:ind w:left="0" w:firstLine="0"/>
        <w:rPr>
          <w:rFonts w:hint="eastAsia" w:ascii="黑体" w:hAnsi="黑体" w:eastAsia="黑体" w:cs="黑体"/>
          <w:sz w:val="21"/>
          <w:szCs w:val="21"/>
        </w:rPr>
      </w:pPr>
      <w:bookmarkStart w:id="19" w:name="_Toc217668922"/>
      <w:bookmarkEnd w:id="19"/>
      <w:bookmarkStart w:id="20" w:name="_Toc2790"/>
      <w:bookmarkEnd w:id="20"/>
    </w:p>
    <w:p w14:paraId="7FB56A07">
      <w:pPr>
        <w:tabs>
          <w:tab w:val="left" w:pos="3510"/>
        </w:tabs>
        <w:adjustRightInd w:val="0"/>
        <w:snapToGrid w:val="0"/>
        <w:ind w:firstLine="422" w:firstLineChars="200"/>
        <w:rPr>
          <w:rFonts w:ascii="Times New Roman" w:hAnsi="Times New Roman" w:cs="Times New Roman"/>
          <w:b/>
          <w:bCs/>
          <w:sz w:val="21"/>
          <w:szCs w:val="21"/>
        </w:rPr>
      </w:pPr>
      <w:r>
        <w:rPr>
          <w:rFonts w:hint="eastAsia" w:ascii="Times New Roman" w:hAnsi="Times New Roman" w:cs="Times New Roman"/>
          <w:b/>
          <w:bCs/>
          <w:sz w:val="21"/>
          <w:szCs w:val="21"/>
        </w:rPr>
        <w:t>最小红斑量</w:t>
      </w:r>
      <w:r>
        <w:rPr>
          <w:rFonts w:hint="eastAsia" w:ascii="Times New Roman" w:hAnsi="Times New Roman" w:cs="Times New Roman"/>
          <w:b/>
          <w:bCs/>
          <w:sz w:val="21"/>
          <w:szCs w:val="21"/>
          <w:lang w:val="en-US" w:eastAsia="zh-CN"/>
        </w:rPr>
        <w:t xml:space="preserve"> </w:t>
      </w:r>
      <w:r>
        <w:rPr>
          <w:rFonts w:hint="eastAsia" w:ascii="Times New Roman" w:hAnsi="Times New Roman" w:cs="Times New Roman"/>
          <w:b/>
          <w:bCs/>
          <w:sz w:val="21"/>
          <w:szCs w:val="21"/>
        </w:rPr>
        <w:t xml:space="preserve"> minimal erythema dose；MED</w:t>
      </w:r>
    </w:p>
    <w:p w14:paraId="6DB185C0">
      <w:pPr>
        <w:tabs>
          <w:tab w:val="left" w:pos="3510"/>
        </w:tabs>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在一定的光源、距离下，特定个体、部位接受紫外线照射后24h产生肉眼刚可观察到的红斑所需的剂量。</w:t>
      </w:r>
    </w:p>
    <w:p w14:paraId="4E6516A7">
      <w:pPr>
        <w:keepNext/>
        <w:keepLines/>
        <w:numPr>
          <w:ilvl w:val="1"/>
          <w:numId w:val="1"/>
        </w:numPr>
        <w:adjustRightInd w:val="0"/>
        <w:snapToGrid w:val="0"/>
        <w:spacing w:before="156" w:beforeLines="50" w:after="156" w:afterLines="50"/>
        <w:rPr>
          <w:rFonts w:hint="eastAsia" w:ascii="黑体" w:hAnsi="黑体" w:eastAsia="黑体" w:cs="黑体"/>
          <w:sz w:val="21"/>
          <w:szCs w:val="21"/>
        </w:rPr>
      </w:pPr>
    </w:p>
    <w:p w14:paraId="1722E0E8">
      <w:pPr>
        <w:spacing w:before="156" w:beforeLines="50"/>
        <w:ind w:firstLine="420"/>
        <w:rPr>
          <w:rFonts w:ascii="Times New Roman Bold" w:hAnsi="Times New Roman Bold" w:cs="Times New Roman Bold"/>
          <w:b/>
          <w:sz w:val="21"/>
          <w:szCs w:val="21"/>
        </w:rPr>
      </w:pPr>
      <w:r>
        <w:rPr>
          <w:rFonts w:hint="eastAsia"/>
          <w:b/>
          <w:bCs/>
          <w:sz w:val="21"/>
          <w:szCs w:val="21"/>
        </w:rPr>
        <w:t>银屑病皮损面积与严重程度指数</w:t>
      </w:r>
      <w:r>
        <w:rPr>
          <w:rFonts w:hint="eastAsia"/>
          <w:b/>
          <w:bCs/>
          <w:sz w:val="21"/>
          <w:szCs w:val="21"/>
          <w:lang w:val="en-US" w:eastAsia="zh-CN"/>
        </w:rPr>
        <w:t xml:space="preserve">  </w:t>
      </w:r>
      <w:r>
        <w:rPr>
          <w:rFonts w:hint="eastAsia" w:ascii="Times New Roman" w:hAnsi="Times New Roman" w:cs="Times New Roman"/>
          <w:b/>
          <w:bCs/>
          <w:sz w:val="21"/>
          <w:szCs w:val="21"/>
          <w:lang w:val="en-US" w:eastAsia="zh-CN"/>
        </w:rPr>
        <w:t>p</w:t>
      </w:r>
      <w:r>
        <w:rPr>
          <w:rFonts w:hint="eastAsia" w:ascii="Times New Roman" w:hAnsi="Times New Roman" w:cs="Times New Roman"/>
          <w:b/>
          <w:bCs/>
          <w:sz w:val="21"/>
          <w:szCs w:val="21"/>
        </w:rPr>
        <w:t xml:space="preserve">soriasis </w:t>
      </w:r>
      <w:r>
        <w:rPr>
          <w:rFonts w:hint="eastAsia" w:ascii="Times New Roman" w:hAnsi="Times New Roman" w:cs="Times New Roman"/>
          <w:b/>
          <w:bCs/>
          <w:sz w:val="21"/>
          <w:szCs w:val="21"/>
          <w:lang w:val="en-US" w:eastAsia="zh-CN"/>
        </w:rPr>
        <w:t>a</w:t>
      </w:r>
      <w:r>
        <w:rPr>
          <w:rFonts w:hint="eastAsia" w:ascii="Times New Roman" w:hAnsi="Times New Roman" w:cs="Times New Roman"/>
          <w:b/>
          <w:bCs/>
          <w:sz w:val="21"/>
          <w:szCs w:val="21"/>
        </w:rPr>
        <w:t xml:space="preserve">rea and </w:t>
      </w:r>
      <w:r>
        <w:rPr>
          <w:rFonts w:hint="eastAsia" w:ascii="Times New Roman" w:hAnsi="Times New Roman" w:cs="Times New Roman"/>
          <w:b/>
          <w:bCs/>
          <w:sz w:val="21"/>
          <w:szCs w:val="21"/>
          <w:lang w:val="en-US" w:eastAsia="zh-CN"/>
        </w:rPr>
        <w:t>s</w:t>
      </w:r>
      <w:r>
        <w:rPr>
          <w:rFonts w:hint="eastAsia" w:ascii="Times New Roman" w:hAnsi="Times New Roman" w:cs="Times New Roman"/>
          <w:b/>
          <w:bCs/>
          <w:sz w:val="21"/>
          <w:szCs w:val="21"/>
        </w:rPr>
        <w:t xml:space="preserve">everity </w:t>
      </w:r>
      <w:r>
        <w:rPr>
          <w:rFonts w:hint="eastAsia" w:ascii="Times New Roman" w:hAnsi="Times New Roman" w:cs="Times New Roman"/>
          <w:b/>
          <w:bCs/>
          <w:sz w:val="21"/>
          <w:szCs w:val="21"/>
          <w:lang w:val="en-US" w:eastAsia="zh-CN"/>
        </w:rPr>
        <w:t>i</w:t>
      </w:r>
      <w:r>
        <w:rPr>
          <w:rFonts w:hint="eastAsia" w:ascii="Times New Roman" w:hAnsi="Times New Roman" w:cs="Times New Roman"/>
          <w:b/>
          <w:bCs/>
          <w:sz w:val="21"/>
          <w:szCs w:val="21"/>
        </w:rPr>
        <w:t>ndex；PASI</w:t>
      </w:r>
    </w:p>
    <w:p w14:paraId="301AEEC3">
      <w:pPr>
        <w:ind w:firstLine="420"/>
        <w:rPr>
          <w:rFonts w:hint="eastAsia"/>
          <w:sz w:val="21"/>
          <w:szCs w:val="21"/>
        </w:rPr>
      </w:pPr>
      <w:r>
        <w:rPr>
          <w:rFonts w:hint="eastAsia"/>
          <w:sz w:val="21"/>
          <w:szCs w:val="21"/>
        </w:rPr>
        <w:t>通过对不同身体部位皮损的红斑、浸润和鳞屑进行分级，并结合各部位受累面积及权重进行计算</w:t>
      </w:r>
      <w:r>
        <w:rPr>
          <w:rFonts w:hint="eastAsia"/>
          <w:sz w:val="21"/>
          <w:szCs w:val="21"/>
          <w:lang w:val="en-US" w:eastAsia="zh-CN"/>
        </w:rPr>
        <w:t>的，</w:t>
      </w:r>
      <w:r>
        <w:rPr>
          <w:rFonts w:hint="eastAsia"/>
          <w:sz w:val="21"/>
          <w:szCs w:val="21"/>
        </w:rPr>
        <w:t>评估银屑病皮损受累面积及严重程度的综合评分工具。</w:t>
      </w:r>
    </w:p>
    <w:p w14:paraId="14467773">
      <w:pPr>
        <w:keepNext/>
        <w:keepLines/>
        <w:numPr>
          <w:ilvl w:val="1"/>
          <w:numId w:val="1"/>
        </w:numPr>
        <w:adjustRightInd w:val="0"/>
        <w:snapToGrid w:val="0"/>
        <w:spacing w:before="156" w:beforeLines="50" w:after="156" w:afterLines="50"/>
        <w:rPr>
          <w:rFonts w:hint="eastAsia" w:ascii="黑体" w:hAnsi="黑体" w:eastAsia="黑体" w:cs="黑体"/>
          <w:sz w:val="21"/>
          <w:szCs w:val="21"/>
        </w:rPr>
      </w:pPr>
    </w:p>
    <w:p w14:paraId="6E612AA0">
      <w:pPr>
        <w:spacing w:before="156" w:beforeLines="50"/>
        <w:ind w:firstLine="420"/>
        <w:rPr>
          <w:rFonts w:ascii="Times New Roman Bold" w:hAnsi="Times New Roman Bold" w:cs="Times New Roman Bold"/>
          <w:b/>
          <w:sz w:val="21"/>
          <w:szCs w:val="21"/>
        </w:rPr>
      </w:pPr>
      <w:r>
        <w:rPr>
          <w:rFonts w:hint="eastAsia"/>
          <w:b/>
          <w:bCs/>
          <w:sz w:val="21"/>
          <w:szCs w:val="21"/>
        </w:rPr>
        <w:t xml:space="preserve">医师总体评估 </w:t>
      </w:r>
      <w:r>
        <w:rPr>
          <w:rFonts w:hint="eastAsia"/>
          <w:b/>
          <w:bCs/>
          <w:sz w:val="21"/>
          <w:szCs w:val="21"/>
          <w:lang w:val="en-US" w:eastAsia="zh-CN"/>
        </w:rPr>
        <w:t xml:space="preserve"> </w:t>
      </w:r>
      <w:r>
        <w:rPr>
          <w:rFonts w:hint="eastAsia" w:ascii="Times New Roman" w:hAnsi="Times New Roman" w:cs="Times New Roman"/>
          <w:b/>
          <w:bCs/>
          <w:sz w:val="21"/>
          <w:szCs w:val="21"/>
          <w:lang w:val="en-US" w:eastAsia="zh-CN"/>
        </w:rPr>
        <w:t>p</w:t>
      </w:r>
      <w:r>
        <w:rPr>
          <w:rFonts w:hint="eastAsia" w:ascii="Times New Roman" w:hAnsi="Times New Roman" w:cs="Times New Roman"/>
          <w:b/>
          <w:bCs/>
          <w:sz w:val="21"/>
          <w:szCs w:val="21"/>
        </w:rPr>
        <w:t xml:space="preserve">hysician </w:t>
      </w:r>
      <w:r>
        <w:rPr>
          <w:rFonts w:hint="eastAsia" w:ascii="Times New Roman" w:hAnsi="Times New Roman" w:cs="Times New Roman"/>
          <w:b/>
          <w:bCs/>
          <w:sz w:val="21"/>
          <w:szCs w:val="21"/>
          <w:lang w:val="en-US" w:eastAsia="zh-CN"/>
        </w:rPr>
        <w:t>g</w:t>
      </w:r>
      <w:r>
        <w:rPr>
          <w:rFonts w:hint="eastAsia" w:ascii="Times New Roman" w:hAnsi="Times New Roman" w:cs="Times New Roman"/>
          <w:b/>
          <w:bCs/>
          <w:sz w:val="21"/>
          <w:szCs w:val="21"/>
        </w:rPr>
        <w:t xml:space="preserve">lobal </w:t>
      </w:r>
      <w:r>
        <w:rPr>
          <w:rFonts w:hint="eastAsia" w:ascii="Times New Roman" w:hAnsi="Times New Roman" w:cs="Times New Roman"/>
          <w:b/>
          <w:bCs/>
          <w:sz w:val="21"/>
          <w:szCs w:val="21"/>
          <w:lang w:val="en-US" w:eastAsia="zh-CN"/>
        </w:rPr>
        <w:t>a</w:t>
      </w:r>
      <w:r>
        <w:rPr>
          <w:rFonts w:hint="eastAsia" w:ascii="Times New Roman" w:hAnsi="Times New Roman" w:cs="Times New Roman"/>
          <w:b/>
          <w:bCs/>
          <w:sz w:val="21"/>
          <w:szCs w:val="21"/>
        </w:rPr>
        <w:t>ssessment；PGA</w:t>
      </w:r>
    </w:p>
    <w:p w14:paraId="20AD30A4">
      <w:pPr>
        <w:ind w:firstLine="420"/>
        <w:rPr>
          <w:rFonts w:hint="eastAsia"/>
          <w:sz w:val="21"/>
          <w:szCs w:val="21"/>
        </w:rPr>
      </w:pPr>
      <w:r>
        <w:rPr>
          <w:rFonts w:hint="eastAsia"/>
          <w:sz w:val="21"/>
          <w:szCs w:val="21"/>
        </w:rPr>
        <w:t>基于皮损整体外观，对疾病严重程度进行的综合主观评分工具。</w:t>
      </w:r>
    </w:p>
    <w:p w14:paraId="2F2FC870">
      <w:pPr>
        <w:keepNext/>
        <w:keepLines/>
        <w:numPr>
          <w:ilvl w:val="1"/>
          <w:numId w:val="1"/>
        </w:numPr>
        <w:adjustRightInd w:val="0"/>
        <w:snapToGrid w:val="0"/>
        <w:spacing w:before="156" w:beforeLines="50" w:after="156" w:afterLines="50"/>
        <w:rPr>
          <w:rFonts w:hint="eastAsia" w:ascii="黑体" w:hAnsi="黑体" w:eastAsia="黑体" w:cs="黑体"/>
          <w:sz w:val="21"/>
          <w:szCs w:val="21"/>
        </w:rPr>
      </w:pPr>
    </w:p>
    <w:p w14:paraId="572947C1">
      <w:pPr>
        <w:spacing w:before="156" w:beforeLines="50"/>
        <w:ind w:firstLine="420"/>
        <w:rPr>
          <w:rFonts w:ascii="Times New Roman Bold" w:hAnsi="Times New Roman Bold" w:cs="Times New Roman Bold"/>
          <w:b/>
          <w:sz w:val="21"/>
          <w:szCs w:val="21"/>
        </w:rPr>
      </w:pPr>
      <w:r>
        <w:rPr>
          <w:rFonts w:hint="eastAsia"/>
          <w:b/>
          <w:bCs/>
          <w:sz w:val="21"/>
          <w:szCs w:val="21"/>
        </w:rPr>
        <w:t xml:space="preserve">皮肤病生活质量指数 </w:t>
      </w:r>
      <w:r>
        <w:rPr>
          <w:rFonts w:hint="eastAsia"/>
          <w:b/>
          <w:bCs/>
          <w:sz w:val="21"/>
          <w:szCs w:val="21"/>
          <w:lang w:val="en-US" w:eastAsia="zh-CN"/>
        </w:rPr>
        <w:t xml:space="preserve"> </w:t>
      </w:r>
      <w:r>
        <w:rPr>
          <w:rFonts w:hint="eastAsia" w:ascii="Times New Roman" w:hAnsi="Times New Roman" w:cs="Times New Roman"/>
          <w:b/>
          <w:bCs/>
          <w:sz w:val="21"/>
          <w:szCs w:val="21"/>
          <w:lang w:val="en-US" w:eastAsia="zh-CN"/>
        </w:rPr>
        <w:t>d</w:t>
      </w:r>
      <w:r>
        <w:rPr>
          <w:rFonts w:hint="eastAsia" w:ascii="Times New Roman" w:hAnsi="Times New Roman" w:cs="Times New Roman"/>
          <w:b/>
          <w:bCs/>
          <w:sz w:val="21"/>
          <w:szCs w:val="21"/>
        </w:rPr>
        <w:t xml:space="preserve">ermatology </w:t>
      </w:r>
      <w:r>
        <w:rPr>
          <w:rFonts w:hint="eastAsia" w:ascii="Times New Roman" w:hAnsi="Times New Roman" w:cs="Times New Roman"/>
          <w:b/>
          <w:bCs/>
          <w:sz w:val="21"/>
          <w:szCs w:val="21"/>
          <w:lang w:val="en-US" w:eastAsia="zh-CN"/>
        </w:rPr>
        <w:t>l</w:t>
      </w:r>
      <w:r>
        <w:rPr>
          <w:rFonts w:hint="eastAsia" w:ascii="Times New Roman" w:hAnsi="Times New Roman" w:cs="Times New Roman"/>
          <w:b/>
          <w:bCs/>
          <w:sz w:val="21"/>
          <w:szCs w:val="21"/>
        </w:rPr>
        <w:t xml:space="preserve">ife Quality </w:t>
      </w:r>
      <w:r>
        <w:rPr>
          <w:rFonts w:hint="eastAsia" w:ascii="Times New Roman" w:hAnsi="Times New Roman" w:cs="Times New Roman"/>
          <w:b/>
          <w:bCs/>
          <w:sz w:val="21"/>
          <w:szCs w:val="21"/>
          <w:lang w:val="en-US" w:eastAsia="zh-CN"/>
        </w:rPr>
        <w:t>i</w:t>
      </w:r>
      <w:r>
        <w:rPr>
          <w:rFonts w:hint="eastAsia" w:ascii="Times New Roman" w:hAnsi="Times New Roman" w:cs="Times New Roman"/>
          <w:b/>
          <w:bCs/>
          <w:sz w:val="21"/>
          <w:szCs w:val="21"/>
        </w:rPr>
        <w:t>ndex；DLQI</w:t>
      </w:r>
    </w:p>
    <w:p w14:paraId="65B2937F">
      <w:pPr>
        <w:ind w:firstLine="420"/>
        <w:rPr>
          <w:rFonts w:hint="eastAsia"/>
          <w:sz w:val="21"/>
          <w:szCs w:val="21"/>
        </w:rPr>
      </w:pPr>
      <w:r>
        <w:rPr>
          <w:rFonts w:hint="eastAsia"/>
          <w:sz w:val="21"/>
          <w:szCs w:val="21"/>
        </w:rPr>
        <w:t>由患者自评的生活质量量表，用于评估皮肤病在过去一周内对患者生活质量的影响。</w:t>
      </w:r>
    </w:p>
    <w:p w14:paraId="0ED16DEB">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21" w:name="_Toc226105566"/>
      <w:r>
        <w:rPr>
          <w:rFonts w:hint="eastAsia" w:ascii="黑体" w:hAnsi="黑体" w:eastAsia="黑体" w:cs="黑体"/>
          <w:sz w:val="21"/>
          <w:szCs w:val="21"/>
        </w:rPr>
        <w:t>病情评估</w:t>
      </w:r>
      <w:bookmarkEnd w:id="21"/>
    </w:p>
    <w:p w14:paraId="137290BD">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病史采集</w:t>
      </w:r>
    </w:p>
    <w:p w14:paraId="2D275743">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应详细记录以下信息：</w:t>
      </w:r>
    </w:p>
    <w:p w14:paraId="594B6C72">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a) 发病时间、诱因、病程；</w:t>
      </w:r>
    </w:p>
    <w:p w14:paraId="3D8C39B7">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b) 既往治疗史及疗效；</w:t>
      </w:r>
    </w:p>
    <w:p w14:paraId="478EF553">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c) 家族史；</w:t>
      </w:r>
    </w:p>
    <w:p w14:paraId="526654CE">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d) 合并疾病，尤其是代谢综合征、心血管疾病及精神心理相关疾病；</w:t>
      </w:r>
    </w:p>
    <w:p w14:paraId="3AD05301">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e) 当前用药情况。</w:t>
      </w:r>
    </w:p>
    <w:p w14:paraId="650D23FA">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疾病严重程度评估</w:t>
      </w:r>
    </w:p>
    <w:p w14:paraId="442A2D20">
      <w:pPr>
        <w:numPr>
          <w:ilvl w:val="2"/>
          <w:numId w:val="1"/>
        </w:numPr>
        <w:adjustRightInd w:val="0"/>
        <w:snapToGrid w:val="0"/>
        <w:spacing w:before="157" w:beforeLines="50" w:after="157" w:afterLines="50"/>
        <w:rPr>
          <w:rFonts w:ascii="Times New Roman" w:hAnsi="Times New Roman" w:eastAsia="黑体" w:cs="Times New Roman"/>
          <w:sz w:val="21"/>
          <w:szCs w:val="21"/>
        </w:rPr>
      </w:pPr>
      <w:r>
        <w:rPr>
          <w:rFonts w:hint="eastAsia" w:ascii="Times New Roman" w:hAnsi="Times New Roman" w:eastAsia="黑体" w:cs="Times New Roman"/>
          <w:sz w:val="21"/>
          <w:szCs w:val="21"/>
        </w:rPr>
        <w:t>体表面积评估法（BSA法）</w:t>
      </w:r>
    </w:p>
    <w:p w14:paraId="481A26E6">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采用手掌法快速估算皮损累及范围，患者自体一只手掌连同手指约等于其体表面积的1%，据此累计所有皮损面积并换算为全身百分比。</w:t>
      </w:r>
    </w:p>
    <w:p w14:paraId="2E530F49">
      <w:pPr>
        <w:numPr>
          <w:ilvl w:val="2"/>
          <w:numId w:val="1"/>
        </w:numPr>
        <w:adjustRightInd w:val="0"/>
        <w:snapToGrid w:val="0"/>
        <w:spacing w:before="157" w:beforeLines="50" w:after="157" w:afterLines="50"/>
        <w:rPr>
          <w:rFonts w:ascii="Times New Roman" w:hAnsi="Times New Roman" w:eastAsia="黑体" w:cs="Times New Roman"/>
          <w:sz w:val="21"/>
          <w:szCs w:val="21"/>
        </w:rPr>
      </w:pPr>
      <w:r>
        <w:rPr>
          <w:rFonts w:hint="eastAsia" w:ascii="Times New Roman" w:hAnsi="Times New Roman" w:eastAsia="黑体" w:cs="Times New Roman"/>
          <w:sz w:val="21"/>
          <w:szCs w:val="21"/>
        </w:rPr>
        <w:t>银屑病面积与严重程度指数（PASI）</w:t>
      </w:r>
    </w:p>
    <w:p w14:paraId="16E541C2">
      <w:pPr>
        <w:adjustRightInd w:val="0"/>
        <w:snapToGrid w:val="0"/>
        <w:ind w:firstLine="420" w:firstLineChars="200"/>
        <w:rPr>
          <w:rFonts w:hint="eastAsia" w:ascii="Times New Roman" w:hAnsi="Times New Roman" w:cs="Times New Roman"/>
          <w:sz w:val="21"/>
          <w:szCs w:val="21"/>
          <w:lang w:eastAsia="zh-CN"/>
        </w:rPr>
      </w:pPr>
      <w:r>
        <w:rPr>
          <w:rFonts w:hint="eastAsia" w:ascii="Times New Roman" w:hAnsi="Times New Roman" w:cs="Times New Roman"/>
          <w:sz w:val="21"/>
          <w:szCs w:val="21"/>
        </w:rPr>
        <w:t>将全身分为头（权重0.1）、上肢（权重0.2）、躯干（权重0.3）和下肢（权重0.4）四区</w:t>
      </w:r>
      <w:r>
        <w:rPr>
          <w:rFonts w:hint="eastAsia" w:ascii="Times New Roman" w:hAnsi="Times New Roman" w:cs="Times New Roman"/>
          <w:sz w:val="21"/>
          <w:szCs w:val="21"/>
          <w:lang w:eastAsia="zh-CN"/>
        </w:rPr>
        <w:t>。</w:t>
      </w:r>
    </w:p>
    <w:p w14:paraId="611D27AA">
      <w:pPr>
        <w:adjustRightInd w:val="0"/>
        <w:snapToGrid w:val="0"/>
        <w:ind w:firstLine="420" w:firstLineChars="200"/>
        <w:rPr>
          <w:rFonts w:hint="eastAsia" w:ascii="Times New Roman" w:hAnsi="Times New Roman" w:cs="Times New Roman"/>
          <w:sz w:val="21"/>
          <w:szCs w:val="21"/>
          <w:lang w:val="en-US" w:eastAsia="zh-CN"/>
        </w:rPr>
      </w:pPr>
      <w:r>
        <w:rPr>
          <w:rFonts w:hint="eastAsia" w:ascii="Times New Roman" w:hAnsi="Times New Roman" w:cs="Times New Roman"/>
          <w:sz w:val="21"/>
          <w:szCs w:val="21"/>
        </w:rPr>
        <w:t>在每一区分别按红斑（E）、浸润（I）和鳞屑（S）三项严重度各自0</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～4分评定</w:t>
      </w:r>
      <w:r>
        <w:rPr>
          <w:rFonts w:hint="eastAsia" w:ascii="Times New Roman" w:hAnsi="Times New Roman" w:cs="Times New Roman"/>
          <w:sz w:val="21"/>
          <w:szCs w:val="21"/>
          <w:lang w:val="en-US" w:eastAsia="zh-CN"/>
        </w:rPr>
        <w:t>。</w:t>
      </w:r>
    </w:p>
    <w:p w14:paraId="781890C5">
      <w:pPr>
        <w:adjustRightInd w:val="0"/>
        <w:snapToGrid w:val="0"/>
        <w:ind w:firstLine="420" w:firstLineChars="200"/>
        <w:rPr>
          <w:rFonts w:hint="eastAsia" w:ascii="Times New Roman" w:hAnsi="Times New Roman" w:cs="Times New Roman"/>
          <w:sz w:val="21"/>
          <w:szCs w:val="21"/>
          <w:lang w:eastAsia="zh-CN"/>
        </w:rPr>
      </w:pPr>
      <w:r>
        <w:rPr>
          <w:rFonts w:hint="eastAsia" w:ascii="Times New Roman" w:hAnsi="Times New Roman" w:cs="Times New Roman"/>
          <w:sz w:val="21"/>
          <w:szCs w:val="21"/>
        </w:rPr>
        <w:t>并按该区受累面积比例给出面积分级（0</w:t>
      </w:r>
      <w:r>
        <w:rPr>
          <w:rFonts w:hint="default" w:ascii="Times New Roman" w:hAnsi="Times New Roman" w:cs="Times New Roman"/>
          <w:sz w:val="21"/>
          <w:szCs w:val="21"/>
          <w:lang w:val="en-US"/>
        </w:rPr>
        <w:t>=</w:t>
      </w:r>
      <w:r>
        <w:rPr>
          <w:rFonts w:hint="eastAsia" w:ascii="Times New Roman" w:hAnsi="Times New Roman" w:cs="Times New Roman"/>
          <w:sz w:val="21"/>
          <w:szCs w:val="21"/>
        </w:rPr>
        <w:t>0%，1&lt;10%，2</w:t>
      </w:r>
      <w:r>
        <w:rPr>
          <w:rFonts w:hint="default" w:ascii="Times New Roman" w:hAnsi="Times New Roman" w:cs="Times New Roman"/>
          <w:sz w:val="21"/>
          <w:szCs w:val="21"/>
          <w:lang w:val="en-US"/>
        </w:rPr>
        <w:t>=</w:t>
      </w:r>
      <w:r>
        <w:rPr>
          <w:rFonts w:hint="eastAsia" w:ascii="Times New Roman" w:hAnsi="Times New Roman" w:cs="Times New Roman"/>
          <w:sz w:val="21"/>
          <w:szCs w:val="21"/>
        </w:rPr>
        <w:t>10%</w:t>
      </w:r>
      <w:r>
        <w:rPr>
          <w:rFonts w:hint="eastAsia" w:ascii="宋体" w:hAnsi="宋体" w:eastAsia="宋体" w:cs="宋体"/>
          <w:sz w:val="21"/>
          <w:szCs w:val="21"/>
        </w:rPr>
        <w:t>～</w:t>
      </w:r>
      <w:r>
        <w:rPr>
          <w:rFonts w:hint="eastAsia" w:ascii="Times New Roman" w:hAnsi="Times New Roman" w:cs="Times New Roman"/>
          <w:sz w:val="21"/>
          <w:szCs w:val="21"/>
        </w:rPr>
        <w:t>29%，3</w:t>
      </w:r>
      <w:r>
        <w:rPr>
          <w:rFonts w:hint="default" w:ascii="Times New Roman" w:hAnsi="Times New Roman" w:cs="Times New Roman"/>
          <w:sz w:val="21"/>
          <w:szCs w:val="21"/>
          <w:lang w:val="en-US"/>
        </w:rPr>
        <w:t>=</w:t>
      </w:r>
      <w:r>
        <w:rPr>
          <w:rFonts w:hint="eastAsia" w:ascii="Times New Roman" w:hAnsi="Times New Roman" w:cs="Times New Roman"/>
          <w:sz w:val="21"/>
          <w:szCs w:val="21"/>
        </w:rPr>
        <w:t>30%</w:t>
      </w:r>
      <w:r>
        <w:rPr>
          <w:rFonts w:hint="eastAsia" w:ascii="宋体" w:hAnsi="宋体" w:eastAsia="宋体" w:cs="宋体"/>
          <w:sz w:val="21"/>
          <w:szCs w:val="21"/>
        </w:rPr>
        <w:t>～</w:t>
      </w:r>
      <w:r>
        <w:rPr>
          <w:rFonts w:hint="eastAsia" w:ascii="Times New Roman" w:hAnsi="Times New Roman" w:cs="Times New Roman"/>
          <w:sz w:val="21"/>
          <w:szCs w:val="21"/>
        </w:rPr>
        <w:t>49%，4=50%</w:t>
      </w:r>
      <w:r>
        <w:rPr>
          <w:rFonts w:hint="eastAsia" w:ascii="宋体" w:hAnsi="宋体" w:eastAsia="宋体" w:cs="宋体"/>
          <w:sz w:val="21"/>
          <w:szCs w:val="21"/>
        </w:rPr>
        <w:t>～</w:t>
      </w:r>
      <w:r>
        <w:rPr>
          <w:rFonts w:hint="eastAsia" w:ascii="Times New Roman" w:hAnsi="Times New Roman" w:cs="Times New Roman"/>
          <w:sz w:val="21"/>
          <w:szCs w:val="21"/>
        </w:rPr>
        <w:t>69%，5=70%</w:t>
      </w:r>
      <w:r>
        <w:rPr>
          <w:rFonts w:hint="eastAsia" w:ascii="宋体" w:hAnsi="宋体" w:eastAsia="宋体" w:cs="宋体"/>
          <w:sz w:val="21"/>
          <w:szCs w:val="21"/>
        </w:rPr>
        <w:t>～</w:t>
      </w:r>
      <w:r>
        <w:rPr>
          <w:rFonts w:hint="eastAsia" w:ascii="Times New Roman" w:hAnsi="Times New Roman" w:cs="Times New Roman"/>
          <w:sz w:val="21"/>
          <w:szCs w:val="21"/>
        </w:rPr>
        <w:t>89%，6=90%</w:t>
      </w:r>
      <w:r>
        <w:rPr>
          <w:rFonts w:hint="eastAsia" w:ascii="宋体" w:hAnsi="宋体" w:eastAsia="宋体" w:cs="宋体"/>
          <w:sz w:val="21"/>
          <w:szCs w:val="21"/>
        </w:rPr>
        <w:t>～</w:t>
      </w:r>
      <w:r>
        <w:rPr>
          <w:rFonts w:hint="eastAsia" w:ascii="Times New Roman" w:hAnsi="Times New Roman" w:cs="Times New Roman"/>
          <w:sz w:val="21"/>
          <w:szCs w:val="21"/>
        </w:rPr>
        <w:t>100%）</w:t>
      </w:r>
      <w:r>
        <w:rPr>
          <w:rFonts w:hint="eastAsia" w:ascii="Times New Roman" w:hAnsi="Times New Roman" w:cs="Times New Roman"/>
          <w:sz w:val="21"/>
          <w:szCs w:val="21"/>
          <w:lang w:eastAsia="zh-CN"/>
        </w:rPr>
        <w:t>。</w:t>
      </w:r>
    </w:p>
    <w:p w14:paraId="5B7DD5AE">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每一区的计算为（E+I+S）×面积分值×区域权重，四区求和即为PASI，总分范围0</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～72</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，数值越高表示病情越重。</w:t>
      </w:r>
    </w:p>
    <w:p w14:paraId="057B64FB">
      <w:pPr>
        <w:numPr>
          <w:ilvl w:val="2"/>
          <w:numId w:val="1"/>
        </w:numPr>
        <w:adjustRightInd w:val="0"/>
        <w:snapToGrid w:val="0"/>
        <w:spacing w:before="157" w:beforeLines="50" w:after="157" w:afterLines="50"/>
        <w:rPr>
          <w:rFonts w:ascii="Times New Roman" w:hAnsi="Times New Roman" w:eastAsia="黑体" w:cs="Times New Roman"/>
          <w:sz w:val="21"/>
          <w:szCs w:val="21"/>
        </w:rPr>
      </w:pPr>
      <w:r>
        <w:rPr>
          <w:rFonts w:hint="eastAsia" w:ascii="Times New Roman" w:hAnsi="Times New Roman" w:eastAsia="黑体" w:cs="Times New Roman"/>
          <w:sz w:val="21"/>
          <w:szCs w:val="21"/>
        </w:rPr>
        <w:t>医生总体评估（PGA）</w:t>
      </w:r>
    </w:p>
    <w:p w14:paraId="2643AF40">
      <w:pPr>
        <w:adjustRightInd w:val="0"/>
        <w:snapToGrid w:val="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根据患者红斑、鳞屑和浸润的整体情况进行评分</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将</w:t>
      </w:r>
      <w:r>
        <w:rPr>
          <w:rFonts w:hint="eastAsia" w:ascii="Times New Roman" w:hAnsi="Times New Roman" w:cs="Times New Roman"/>
          <w:sz w:val="21"/>
          <w:szCs w:val="21"/>
          <w:lang w:val="en-US" w:eastAsia="zh-CN"/>
        </w:rPr>
        <w:t>下</w:t>
      </w:r>
      <w:r>
        <w:rPr>
          <w:rFonts w:hint="eastAsia" w:ascii="Times New Roman" w:hAnsi="Times New Roman" w:cs="Times New Roman"/>
          <w:sz w:val="21"/>
          <w:szCs w:val="21"/>
        </w:rPr>
        <w:t>述三项评分之和除以3，即为该患者的PGA评分。</w:t>
      </w:r>
    </w:p>
    <w:p w14:paraId="317D7220">
      <w:pPr>
        <w:adjustRightInd w:val="0"/>
        <w:snapToGrid w:val="0"/>
        <w:ind w:left="954" w:leftChars="200" w:hanging="474" w:hangingChars="226"/>
        <w:rPr>
          <w:rFonts w:hint="eastAsia" w:ascii="Times New Roman" w:hAnsi="Times New Roman" w:eastAsia="宋体" w:cs="Times New Roman"/>
          <w:sz w:val="21"/>
          <w:szCs w:val="21"/>
          <w:lang w:eastAsia="zh-CN"/>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红斑按照无红斑（可有色素沉着）、轻微、淡红、中度红色、亮红色分别记为0</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～4分</w:t>
      </w:r>
      <w:r>
        <w:rPr>
          <w:rFonts w:hint="eastAsia" w:ascii="Times New Roman" w:hAnsi="Times New Roman" w:cs="Times New Roman"/>
          <w:sz w:val="21"/>
          <w:szCs w:val="21"/>
          <w:lang w:eastAsia="zh-CN"/>
        </w:rPr>
        <w:t>。</w:t>
      </w:r>
    </w:p>
    <w:p w14:paraId="595CC0A6">
      <w:pPr>
        <w:adjustRightInd w:val="0"/>
        <w:snapToGrid w:val="0"/>
        <w:ind w:left="954" w:leftChars="200" w:hanging="474" w:hangingChars="226"/>
        <w:rPr>
          <w:rFonts w:hint="eastAsia" w:ascii="Times New Roman" w:hAnsi="Times New Roman" w:eastAsia="宋体" w:cs="Times New Roman"/>
          <w:sz w:val="21"/>
          <w:szCs w:val="21"/>
          <w:lang w:eastAsia="zh-CN"/>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鳞屑按照无鳞屑、极轻微细小鳞屑、轻度细小鳞屑、中度大块鳞屑、重度厚块鳞屑分别记为0</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～4分</w:t>
      </w:r>
      <w:r>
        <w:rPr>
          <w:rFonts w:hint="eastAsia" w:ascii="Times New Roman" w:hAnsi="Times New Roman" w:cs="Times New Roman"/>
          <w:sz w:val="21"/>
          <w:szCs w:val="21"/>
          <w:lang w:eastAsia="zh-CN"/>
        </w:rPr>
        <w:t>。</w:t>
      </w:r>
    </w:p>
    <w:p w14:paraId="7922009F">
      <w:pPr>
        <w:adjustRightInd w:val="0"/>
        <w:snapToGrid w:val="0"/>
        <w:ind w:left="838" w:leftChars="174" w:hanging="420" w:hanging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浸润按照无斑块、极轻度斑块、轻度斑块、中度斑块、严重斑块分别记为0</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～4分。</w:t>
      </w:r>
    </w:p>
    <w:p w14:paraId="287EC7E7">
      <w:pPr>
        <w:numPr>
          <w:ilvl w:val="2"/>
          <w:numId w:val="1"/>
        </w:numPr>
        <w:adjustRightInd w:val="0"/>
        <w:snapToGrid w:val="0"/>
        <w:spacing w:before="157" w:beforeLines="50" w:after="157" w:afterLines="50"/>
        <w:rPr>
          <w:rFonts w:ascii="Times New Roman" w:hAnsi="Times New Roman" w:eastAsia="黑体" w:cs="Times New Roman"/>
          <w:sz w:val="21"/>
          <w:szCs w:val="21"/>
        </w:rPr>
      </w:pPr>
      <w:r>
        <w:rPr>
          <w:rFonts w:hint="eastAsia" w:ascii="Times New Roman" w:hAnsi="Times New Roman" w:eastAsia="黑体" w:cs="Times New Roman"/>
          <w:sz w:val="21"/>
          <w:szCs w:val="21"/>
        </w:rPr>
        <w:t>皮肤病生活质量指数（DLQI）</w:t>
      </w:r>
    </w:p>
    <w:p w14:paraId="2E710FFB">
      <w:pPr>
        <w:adjustRightInd w:val="0"/>
        <w:snapToGrid w:val="0"/>
        <w:ind w:firstLine="420" w:firstLineChars="200"/>
        <w:rPr>
          <w:rFonts w:hint="eastAsia" w:ascii="Times New Roman" w:hAnsi="Times New Roman" w:cs="Times New Roman"/>
          <w:sz w:val="21"/>
          <w:szCs w:val="21"/>
          <w:lang w:eastAsia="zh-CN"/>
        </w:rPr>
      </w:pPr>
      <w:r>
        <w:rPr>
          <w:rFonts w:hint="eastAsia" w:ascii="Times New Roman" w:hAnsi="Times New Roman" w:cs="Times New Roman"/>
          <w:sz w:val="21"/>
          <w:szCs w:val="21"/>
        </w:rPr>
        <w:t>患者自评量表，共10题，每题按0（无）</w:t>
      </w:r>
      <w:r>
        <w:rPr>
          <w:rFonts w:hint="eastAsia" w:ascii="宋体" w:hAnsi="宋体" w:eastAsia="宋体" w:cs="宋体"/>
          <w:sz w:val="21"/>
          <w:szCs w:val="21"/>
        </w:rPr>
        <w:t>～</w:t>
      </w:r>
      <w:r>
        <w:rPr>
          <w:rFonts w:hint="eastAsia" w:ascii="Times New Roman" w:hAnsi="Times New Roman" w:cs="Times New Roman"/>
          <w:sz w:val="21"/>
          <w:szCs w:val="21"/>
        </w:rPr>
        <w:t>3（极重）计分，总分0</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～30分，覆盖症状与体征、日常活动、休闲、工作或学习、人际关系及治疗等维度，用于量化疾病对生活质量的负担</w:t>
      </w:r>
      <w:r>
        <w:rPr>
          <w:rFonts w:hint="eastAsia" w:ascii="Times New Roman" w:hAnsi="Times New Roman" w:cs="Times New Roman"/>
          <w:sz w:val="21"/>
          <w:szCs w:val="21"/>
          <w:lang w:eastAsia="zh-CN"/>
        </w:rPr>
        <w:t>：</w:t>
      </w:r>
    </w:p>
    <w:p w14:paraId="15EDA61A">
      <w:pPr>
        <w:adjustRightInd w:val="0"/>
        <w:snapToGrid w:val="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总分0</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～1</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视为“无影响”，</w:t>
      </w:r>
    </w:p>
    <w:p w14:paraId="461E51E9">
      <w:pPr>
        <w:adjustRightInd w:val="0"/>
        <w:snapToGrid w:val="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2</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～5</w:t>
      </w:r>
      <w:r>
        <w:rPr>
          <w:rFonts w:hint="eastAsia" w:ascii="Times New Roman" w:hAnsi="Times New Roman" w:cs="Times New Roman"/>
          <w:sz w:val="21"/>
          <w:szCs w:val="21"/>
          <w:lang w:val="en-US" w:eastAsia="zh-CN"/>
        </w:rPr>
        <w:t>分视为</w:t>
      </w:r>
      <w:r>
        <w:rPr>
          <w:rFonts w:hint="eastAsia" w:ascii="Times New Roman" w:hAnsi="Times New Roman" w:cs="Times New Roman"/>
          <w:sz w:val="21"/>
          <w:szCs w:val="21"/>
        </w:rPr>
        <w:t>“轻度”，</w:t>
      </w:r>
    </w:p>
    <w:p w14:paraId="13EF56F3">
      <w:pPr>
        <w:adjustRightInd w:val="0"/>
        <w:snapToGrid w:val="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6</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～10</w:t>
      </w:r>
      <w:r>
        <w:rPr>
          <w:rFonts w:hint="eastAsia" w:ascii="Times New Roman" w:hAnsi="Times New Roman" w:cs="Times New Roman"/>
          <w:sz w:val="21"/>
          <w:szCs w:val="21"/>
          <w:lang w:val="en-US" w:eastAsia="zh-CN"/>
        </w:rPr>
        <w:t>分视为</w:t>
      </w:r>
      <w:r>
        <w:rPr>
          <w:rFonts w:hint="eastAsia" w:ascii="Times New Roman" w:hAnsi="Times New Roman" w:cs="Times New Roman"/>
          <w:sz w:val="21"/>
          <w:szCs w:val="21"/>
        </w:rPr>
        <w:t>“中度”，</w:t>
      </w:r>
    </w:p>
    <w:p w14:paraId="6A663821">
      <w:pPr>
        <w:adjustRightInd w:val="0"/>
        <w:snapToGrid w:val="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11</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～20</w:t>
      </w:r>
      <w:r>
        <w:rPr>
          <w:rFonts w:hint="eastAsia" w:ascii="Times New Roman" w:hAnsi="Times New Roman" w:cs="Times New Roman"/>
          <w:sz w:val="21"/>
          <w:szCs w:val="21"/>
          <w:lang w:val="en-US" w:eastAsia="zh-CN"/>
        </w:rPr>
        <w:t>分视为</w:t>
      </w:r>
      <w:r>
        <w:rPr>
          <w:rFonts w:hint="eastAsia" w:ascii="Times New Roman" w:hAnsi="Times New Roman" w:cs="Times New Roman"/>
          <w:sz w:val="21"/>
          <w:szCs w:val="21"/>
        </w:rPr>
        <w:t>“重度”，</w:t>
      </w:r>
    </w:p>
    <w:p w14:paraId="22C7B160">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21</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～30“</w:t>
      </w:r>
      <w:r>
        <w:rPr>
          <w:rFonts w:hint="eastAsia" w:ascii="Times New Roman" w:hAnsi="Times New Roman" w:cs="Times New Roman"/>
          <w:sz w:val="21"/>
          <w:szCs w:val="21"/>
          <w:lang w:val="en-US" w:eastAsia="zh-CN"/>
        </w:rPr>
        <w:t>分视为</w:t>
      </w:r>
      <w:r>
        <w:rPr>
          <w:rFonts w:hint="eastAsia" w:ascii="Times New Roman" w:hAnsi="Times New Roman" w:cs="Times New Roman"/>
          <w:sz w:val="21"/>
          <w:szCs w:val="21"/>
        </w:rPr>
        <w:t>极重度”。</w:t>
      </w:r>
    </w:p>
    <w:p w14:paraId="61EC7C26">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 xml:space="preserve"> 疾病严重程度分级</w:t>
      </w:r>
    </w:p>
    <w:p w14:paraId="6E443D66">
      <w:pPr>
        <w:tabs>
          <w:tab w:val="left" w:pos="3510"/>
        </w:tabs>
        <w:ind w:firstLine="420" w:firstLineChars="200"/>
        <w:rPr>
          <w:rFonts w:hint="eastAsia" w:ascii="Times New Roman" w:hAnsi="Times New Roman" w:eastAsia="宋体" w:cs="Times New Roman"/>
          <w:sz w:val="21"/>
          <w:szCs w:val="21"/>
          <w:lang w:eastAsia="zh-CN"/>
        </w:rPr>
      </w:pPr>
      <w:r>
        <w:rPr>
          <w:rFonts w:hint="eastAsia" w:ascii="Times New Roman" w:hAnsi="Times New Roman" w:cs="Times New Roman"/>
          <w:sz w:val="21"/>
          <w:szCs w:val="21"/>
        </w:rPr>
        <w:t>银屑病的严重程度通常依据BSA、PASI及DLQI综合判定</w:t>
      </w:r>
      <w:r>
        <w:rPr>
          <w:rFonts w:hint="eastAsia" w:ascii="Times New Roman" w:hAnsi="Times New Roman" w:cs="Times New Roman"/>
          <w:sz w:val="21"/>
          <w:szCs w:val="21"/>
          <w:lang w:eastAsia="zh-CN"/>
        </w:rPr>
        <w:t>：</w:t>
      </w:r>
    </w:p>
    <w:p w14:paraId="7927951F">
      <w:pPr>
        <w:tabs>
          <w:tab w:val="left" w:pos="3510"/>
        </w:tabs>
        <w:ind w:left="958" w:leftChars="200" w:hanging="478" w:hangingChars="228"/>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轻度银屑病其量化指标通常为BSA&lt;3%，PASI&lt;3分，DLQI&lt; 6分；</w:t>
      </w:r>
    </w:p>
    <w:p w14:paraId="27C72375">
      <w:pPr>
        <w:tabs>
          <w:tab w:val="left" w:pos="3510"/>
        </w:tabs>
        <w:ind w:left="958" w:leftChars="200" w:hanging="478" w:hangingChars="228"/>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中度银屑病其量化指标通常为 BSA 3%～&lt;10%，PASI 3</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～&lt;10 分，DLQI 6</w:t>
      </w:r>
      <w:r>
        <w:rPr>
          <w:rFonts w:hint="eastAsia" w:ascii="Times New Roman" w:hAnsi="Times New Roman" w:cs="Times New Roman"/>
          <w:sz w:val="21"/>
          <w:szCs w:val="21"/>
          <w:lang w:val="en-US" w:eastAsia="zh-CN"/>
        </w:rPr>
        <w:t>分</w:t>
      </w:r>
      <w:r>
        <w:rPr>
          <w:rFonts w:hint="eastAsia" w:ascii="Times New Roman" w:hAnsi="Times New Roman" w:cs="Times New Roman"/>
          <w:sz w:val="21"/>
          <w:szCs w:val="21"/>
        </w:rPr>
        <w:t>～&lt;10 分；</w:t>
      </w:r>
    </w:p>
    <w:p w14:paraId="4863BA8F">
      <w:pPr>
        <w:tabs>
          <w:tab w:val="left" w:pos="3510"/>
        </w:tabs>
        <w:ind w:left="958" w:leftChars="200" w:hanging="478" w:hangingChars="228"/>
        <w:rPr>
          <w:rFonts w:ascii="Times New Roman" w:hAnsi="Times New Roman" w:cs="Times New Roman"/>
          <w:strike/>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重度银屑病其量化指标通常为 BSA ≥10%，PASI ≥10 分，DLQI ≥10 分，或皮损累及特殊部位（如头皮、面部、手足、甲或生殖器），或合并关节病型银屑病（</w:t>
      </w:r>
      <w:r>
        <w:rPr>
          <w:rFonts w:ascii="Times New Roman" w:hAnsi="Times New Roman" w:cs="Times New Roman"/>
          <w:sz w:val="21"/>
          <w:szCs w:val="21"/>
        </w:rPr>
        <w:t>PsA</w:t>
      </w:r>
      <w:r>
        <w:rPr>
          <w:rFonts w:hint="eastAsia" w:ascii="Times New Roman" w:hAnsi="Times New Roman" w:cs="Times New Roman"/>
          <w:sz w:val="21"/>
          <w:szCs w:val="21"/>
        </w:rPr>
        <w:t>）。</w:t>
      </w:r>
    </w:p>
    <w:p w14:paraId="34F8EA59">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22" w:name="_Toc226105567"/>
      <w:r>
        <w:rPr>
          <w:rFonts w:hint="eastAsia" w:ascii="黑体" w:hAnsi="黑体" w:eastAsia="黑体" w:cs="黑体"/>
          <w:sz w:val="21"/>
          <w:szCs w:val="21"/>
        </w:rPr>
        <w:t>银屑病光疗前患者沟通与教育</w:t>
      </w:r>
      <w:bookmarkEnd w:id="22"/>
    </w:p>
    <w:p w14:paraId="4C432F79">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适应症、禁忌症和预期效果</w:t>
      </w:r>
    </w:p>
    <w:p w14:paraId="017E65E1">
      <w:pPr>
        <w:adjustRightInd w:val="0"/>
        <w:snapToGrid w:val="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紫外线光疗适用于点滴状和斑块状银屑病，红皮病型银屑病和脓疱型银屑病慎用。</w:t>
      </w:r>
      <w:bookmarkStart w:id="23" w:name="OLE_LINK2"/>
    </w:p>
    <w:p w14:paraId="364891A9">
      <w:pPr>
        <w:adjustRightInd w:val="0"/>
        <w:snapToGrid w:val="0"/>
        <w:ind w:firstLine="420" w:firstLineChars="200"/>
        <w:rPr>
          <w:rFonts w:hint="eastAsia" w:ascii="Times New Roman" w:hAnsi="Times New Roman" w:cs="Times New Roman"/>
          <w:sz w:val="21"/>
          <w:szCs w:val="21"/>
          <w:lang w:eastAsia="zh-CN"/>
        </w:rPr>
      </w:pPr>
      <w:r>
        <w:rPr>
          <w:rFonts w:hint="eastAsia" w:ascii="Times New Roman" w:hAnsi="Times New Roman" w:cs="Times New Roman"/>
          <w:sz w:val="21"/>
          <w:szCs w:val="21"/>
        </w:rPr>
        <w:t>绝对禁忌证包括着色性干皮病、先天性红细胞生成性原卟啉症、Cockayne综合征、Bloom综合征、白化病、有恶性黑色素瘤病史及系统性红斑狼疮等，特别提示患有幽闭恐惧症及无法配合治疗的精神疾患者不</w:t>
      </w:r>
      <w:r>
        <w:rPr>
          <w:rFonts w:hint="eastAsia" w:ascii="Times New Roman" w:hAnsi="Times New Roman" w:cs="Times New Roman"/>
          <w:sz w:val="21"/>
          <w:szCs w:val="21"/>
          <w:lang w:val="en-US" w:eastAsia="zh-CN"/>
        </w:rPr>
        <w:t>宜</w:t>
      </w:r>
      <w:r>
        <w:rPr>
          <w:rFonts w:hint="eastAsia" w:ascii="Times New Roman" w:hAnsi="Times New Roman" w:cs="Times New Roman"/>
          <w:sz w:val="21"/>
          <w:szCs w:val="21"/>
        </w:rPr>
        <w:t>全舱</w:t>
      </w:r>
      <w:r>
        <w:rPr>
          <w:rFonts w:hint="eastAsia" w:ascii="宋体" w:hAnsi="宋体" w:eastAsia="宋体" w:cs="宋体"/>
          <w:b w:val="0"/>
          <w:bCs w:val="0"/>
          <w:sz w:val="21"/>
          <w:szCs w:val="21"/>
        </w:rPr>
        <w:t>窄谱中波紫外线</w:t>
      </w:r>
      <w:r>
        <w:rPr>
          <w:rFonts w:hint="eastAsia" w:ascii="黑体" w:hAnsi="黑体" w:eastAsia="黑体" w:cs="黑体"/>
          <w:b w:val="0"/>
          <w:bCs w:val="0"/>
          <w:sz w:val="21"/>
          <w:szCs w:val="21"/>
          <w:lang w:eastAsia="zh-CN"/>
        </w:rPr>
        <w:t>（</w:t>
      </w:r>
      <w:r>
        <w:rPr>
          <w:rFonts w:hint="eastAsia" w:ascii="Times New Roman" w:hAnsi="Times New Roman" w:cs="Times New Roman"/>
          <w:sz w:val="21"/>
          <w:szCs w:val="21"/>
        </w:rPr>
        <w:t>NB-UVB</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光疗</w:t>
      </w:r>
      <w:r>
        <w:rPr>
          <w:rFonts w:hint="eastAsia" w:ascii="Times New Roman" w:hAnsi="Times New Roman" w:cs="Times New Roman"/>
          <w:sz w:val="21"/>
          <w:szCs w:val="21"/>
          <w:lang w:eastAsia="zh-CN"/>
        </w:rPr>
        <w:t>。</w:t>
      </w:r>
    </w:p>
    <w:p w14:paraId="2CEB9D76">
      <w:pPr>
        <w:adjustRightInd w:val="0"/>
        <w:snapToGrid w:val="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相对禁忌证包括白内障、非黑素瘤性皮肤肿瘤患者、皮肤癌前病变、黑素瘤家族史、拟治疗部位有放射治疗史、砷剂暴露史、口服环孢素等。</w:t>
      </w:r>
    </w:p>
    <w:p w14:paraId="48811850">
      <w:pPr>
        <w:adjustRightInd w:val="0"/>
        <w:snapToGrid w:val="0"/>
        <w:ind w:firstLine="420" w:firstLineChars="200"/>
        <w:rPr>
          <w:rFonts w:ascii="Times New Roman" w:hAnsi="Times New Roman" w:cs="Times New Roman"/>
          <w:sz w:val="21"/>
          <w:szCs w:val="21"/>
        </w:rPr>
      </w:pPr>
      <w:r>
        <w:rPr>
          <w:rFonts w:hint="eastAsia" w:ascii="Times New Roman" w:hAnsi="Times New Roman" w:cs="Times New Roman"/>
          <w:sz w:val="21"/>
          <w:szCs w:val="21"/>
        </w:rPr>
        <w:t>一般在规律治疗15</w:t>
      </w:r>
      <w:r>
        <w:rPr>
          <w:rFonts w:hint="eastAsia" w:ascii="Times New Roman" w:hAnsi="Times New Roman" w:cs="Times New Roman"/>
          <w:sz w:val="21"/>
          <w:szCs w:val="21"/>
          <w:lang w:val="en-US" w:eastAsia="zh-CN"/>
        </w:rPr>
        <w:t>次</w:t>
      </w:r>
      <w:r>
        <w:rPr>
          <w:rFonts w:hint="eastAsia" w:ascii="Times New Roman" w:hAnsi="Times New Roman" w:cs="Times New Roman"/>
          <w:sz w:val="21"/>
          <w:szCs w:val="21"/>
        </w:rPr>
        <w:t>~20次后可出现显著疗效。</w:t>
      </w:r>
      <w:bookmarkEnd w:id="23"/>
      <w:r>
        <w:rPr>
          <w:rFonts w:ascii="Times New Roman" w:hAnsi="Times New Roman" w:cs="Times New Roman"/>
          <w:sz w:val="21"/>
          <w:szCs w:val="21"/>
        </w:rPr>
        <w:t>规律治疗是保证疗效的关键，无故中断或随意更改治疗频率会影响最终效果。</w:t>
      </w:r>
      <w:r>
        <w:rPr>
          <w:rFonts w:hint="eastAsia" w:ascii="Times New Roman" w:hAnsi="Times New Roman" w:cs="Times New Roman"/>
          <w:sz w:val="21"/>
          <w:szCs w:val="21"/>
        </w:rPr>
        <w:t>患者应充分了解光疗属于逐步起效的治疗方式，疗效因个体差异、病程和依从性不同而存在差别。</w:t>
      </w:r>
    </w:p>
    <w:p w14:paraId="1B8E895C">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优势与局限性</w:t>
      </w:r>
    </w:p>
    <w:p w14:paraId="61867BCE">
      <w:pPr>
        <w:adjustRightInd w:val="0"/>
        <w:snapToGrid w:val="0"/>
        <w:spacing w:before="0" w:beforeLines="0" w:after="0" w:afterLines="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光疗具有安全性较高、耐受性良好、费用相对可控的优势，尤其适用于儿童、孕妇及不能耐受系统治疗的患者。光疗不良反应少且可控，长期应用的风险相对较低。</w:t>
      </w:r>
    </w:p>
    <w:p w14:paraId="1B4AE5A5">
      <w:pPr>
        <w:adjustRightInd w:val="0"/>
        <w:snapToGrid w:val="0"/>
        <w:spacing w:before="0" w:beforeLines="0" w:after="0" w:afterLines="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同时，光疗也存在一定局限性：</w:t>
      </w:r>
    </w:p>
    <w:p w14:paraId="714393B4">
      <w:pPr>
        <w:adjustRightInd w:val="0"/>
        <w:snapToGrid w:val="0"/>
        <w:spacing w:before="0" w:beforeLines="0" w:after="0" w:afterLines="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需规律照射、依从性要求高，部分患者需频繁往返医疗机构；</w:t>
      </w:r>
    </w:p>
    <w:p w14:paraId="46384F29">
      <w:pPr>
        <w:adjustRightInd w:val="0"/>
        <w:snapToGrid w:val="0"/>
        <w:spacing w:before="0" w:beforeLines="0" w:after="0" w:afterLines="0"/>
        <w:ind w:firstLine="420" w:firstLine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疗程较长，起效较慢。</w:t>
      </w:r>
    </w:p>
    <w:p w14:paraId="7941AF55">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风险提示与健康教育</w:t>
      </w:r>
    </w:p>
    <w:p w14:paraId="12181124">
      <w:pPr>
        <w:pStyle w:val="55"/>
        <w:ind w:firstLine="420" w:firstLineChars="200"/>
        <w:rPr>
          <w:rFonts w:hint="eastAsia"/>
          <w:sz w:val="21"/>
          <w:szCs w:val="21"/>
          <w:lang w:eastAsia="zh-CN"/>
        </w:rPr>
      </w:pPr>
      <w:r>
        <w:rPr>
          <w:rFonts w:hint="eastAsia"/>
          <w:sz w:val="21"/>
          <w:szCs w:val="21"/>
        </w:rPr>
        <w:t>医务人员应向患者说明光疗的潜在风险</w:t>
      </w:r>
      <w:r>
        <w:rPr>
          <w:rFonts w:hint="eastAsia"/>
          <w:sz w:val="21"/>
          <w:szCs w:val="21"/>
          <w:lang w:eastAsia="zh-CN"/>
        </w:rPr>
        <w:t>：</w:t>
      </w:r>
    </w:p>
    <w:p w14:paraId="3DAE71E4">
      <w:pPr>
        <w:pStyle w:val="55"/>
        <w:ind w:left="956" w:leftChars="200" w:hanging="476" w:hangingChars="227"/>
        <w:rPr>
          <w:sz w:val="21"/>
          <w:szCs w:val="21"/>
        </w:rPr>
      </w:pPr>
      <w:r>
        <w:rPr>
          <w:rFonts w:hint="eastAsia"/>
          <w:sz w:val="21"/>
          <w:szCs w:val="21"/>
          <w:lang w:eastAsia="zh-CN"/>
        </w:rPr>
        <w:t>——</w:t>
      </w:r>
      <w:r>
        <w:rPr>
          <w:rFonts w:hint="eastAsia"/>
          <w:sz w:val="21"/>
          <w:szCs w:val="21"/>
        </w:rPr>
        <w:t>近期风险包括常见的红斑、瘙痒、皮肤干燥及偶发的水疱、灼痛等急性反应。</w:t>
      </w:r>
      <w:r>
        <w:rPr>
          <w:sz w:val="21"/>
          <w:szCs w:val="21"/>
        </w:rPr>
        <w:t>每次照射后外用润肤剂可预防皮肤干燥及瘙痒发生，如已出现干燥或瘙痒，及时涂抹润肤剂可缓解症状。</w:t>
      </w:r>
    </w:p>
    <w:p w14:paraId="7F7FDFAC">
      <w:pPr>
        <w:pStyle w:val="55"/>
        <w:ind w:left="956" w:leftChars="200" w:hanging="476" w:hangingChars="227"/>
        <w:rPr>
          <w:rFonts w:hint="eastAsia"/>
          <w:sz w:val="21"/>
          <w:szCs w:val="21"/>
        </w:rPr>
      </w:pPr>
      <w:r>
        <w:rPr>
          <w:rFonts w:hint="eastAsia"/>
          <w:sz w:val="21"/>
          <w:szCs w:val="21"/>
          <w:lang w:eastAsia="zh-CN"/>
        </w:rPr>
        <w:t>——</w:t>
      </w:r>
      <w:r>
        <w:rPr>
          <w:sz w:val="21"/>
          <w:szCs w:val="21"/>
        </w:rPr>
        <w:t>长期不良反应主要为光老化，至今尚无足够证据表明NB⁃UVB增加皮肤肿瘤的发生风险</w:t>
      </w:r>
      <w:r>
        <w:rPr>
          <w:rFonts w:hint="eastAsia"/>
          <w:sz w:val="21"/>
          <w:szCs w:val="21"/>
        </w:rPr>
        <w:t>。治疗过程中必须佩戴护目镜，避免眼部损伤；应保护生殖器和乳晕等敏感部位，避免照射。</w:t>
      </w:r>
    </w:p>
    <w:p w14:paraId="67F04F1B">
      <w:pPr>
        <w:pStyle w:val="55"/>
        <w:ind w:firstLine="420" w:firstLineChars="200"/>
        <w:rPr>
          <w:sz w:val="21"/>
          <w:szCs w:val="21"/>
        </w:rPr>
      </w:pPr>
      <w:r>
        <w:rPr>
          <w:rFonts w:hint="eastAsia"/>
          <w:sz w:val="21"/>
          <w:szCs w:val="21"/>
        </w:rPr>
        <w:t>鉴于儿童患者在光疗过程中可能存在配合难度和不适反应，因此治疗期间应确保家长或监护人陪同。患者应了解避免在治疗期间使用光敏性药物（如某些抗生素、降压药等）或摄入大量光敏性食物（如芹菜、莴苣等），并注意光疗期间的日常防晒与保湿。教育患者正确认识光疗过程中的起效规律，强调规范随访和依从性的重要性。</w:t>
      </w:r>
    </w:p>
    <w:p w14:paraId="0917A923">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知情同意制定和知情同意模版</w:t>
      </w:r>
    </w:p>
    <w:p w14:paraId="6BC04D86">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在光疗开始前，</w:t>
      </w:r>
      <w:r>
        <w:rPr>
          <w:rFonts w:hint="eastAsia" w:ascii="Times New Roman" w:hAnsi="Times New Roman" w:cs="Times New Roman"/>
          <w:sz w:val="21"/>
          <w:szCs w:val="21"/>
          <w:lang w:val="en-US" w:eastAsia="zh-CN"/>
        </w:rPr>
        <w:t>应</w:t>
      </w:r>
      <w:r>
        <w:rPr>
          <w:rFonts w:hint="eastAsia" w:ascii="Times New Roman" w:hAnsi="Times New Roman" w:cs="Times New Roman"/>
          <w:sz w:val="21"/>
          <w:szCs w:val="21"/>
        </w:rPr>
        <w:t>与患者或监护人进行充分沟通，告知治疗目的、预期效果、可能的不良反应及替代方案，确保患者对治疗有清晰认知。</w:t>
      </w:r>
      <w:r>
        <w:rPr>
          <w:rFonts w:hint="eastAsia" w:ascii="Times New Roman" w:hAnsi="Times New Roman" w:cs="Times New Roman"/>
          <w:sz w:val="21"/>
          <w:szCs w:val="21"/>
          <w:lang w:val="en-US" w:eastAsia="zh-CN"/>
        </w:rPr>
        <w:t>应</w:t>
      </w:r>
      <w:r>
        <w:rPr>
          <w:rFonts w:hint="eastAsia" w:ascii="Times New Roman" w:hAnsi="Times New Roman" w:cs="Times New Roman"/>
          <w:sz w:val="21"/>
          <w:szCs w:val="21"/>
        </w:rPr>
        <w:t>签署标准化的光疗知情同意书，并由医师详细记录沟通内容</w:t>
      </w:r>
      <w:r>
        <w:rPr>
          <w:rFonts w:hint="eastAsia" w:ascii="Times New Roman" w:hAnsi="Times New Roman" w:cs="Times New Roman"/>
          <w:sz w:val="21"/>
          <w:szCs w:val="21"/>
          <w:lang w:eastAsia="zh-CN"/>
        </w:rPr>
        <w:t>，</w:t>
      </w:r>
      <w:r>
        <w:rPr>
          <w:rFonts w:hint="eastAsia" w:ascii="Times New Roman" w:hAnsi="Times New Roman" w:cs="Times New Roman"/>
          <w:sz w:val="21"/>
          <w:szCs w:val="21"/>
          <w:lang w:val="en-US" w:eastAsia="zh-CN"/>
        </w:rPr>
        <w:t>紫外线治疗患者告知书</w:t>
      </w:r>
      <w:r>
        <w:rPr>
          <w:rFonts w:hint="eastAsia" w:ascii="Times New Roman" w:hAnsi="Times New Roman" w:cs="Times New Roman"/>
          <w:sz w:val="21"/>
          <w:szCs w:val="21"/>
        </w:rPr>
        <w:t>见附录A。</w:t>
      </w:r>
    </w:p>
    <w:p w14:paraId="4B6AF528">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24" w:name="_Toc226105568"/>
      <w:r>
        <w:rPr>
          <w:rFonts w:hint="eastAsia" w:ascii="黑体" w:hAnsi="黑体" w:eastAsia="黑体" w:cs="黑体"/>
          <w:sz w:val="21"/>
          <w:szCs w:val="21"/>
        </w:rPr>
        <w:t>银屑病光疗方案</w:t>
      </w:r>
      <w:bookmarkEnd w:id="24"/>
    </w:p>
    <w:p w14:paraId="614BD386">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起始剂量设定</w:t>
      </w:r>
    </w:p>
    <w:p w14:paraId="34FEAD46">
      <w:pPr>
        <w:adjustRightInd w:val="0"/>
        <w:snapToGrid w:val="0"/>
        <w:spacing w:beforeLines="0" w:afterLines="0"/>
        <w:ind w:firstLine="420" w:firstLineChars="200"/>
        <w:rPr>
          <w:rFonts w:ascii="Times New Roman" w:hAnsi="Times New Roman" w:cs="Times New Roman"/>
          <w:sz w:val="21"/>
          <w:szCs w:val="21"/>
        </w:rPr>
      </w:pPr>
      <w:r>
        <w:rPr>
          <w:rFonts w:hint="eastAsia" w:ascii="Times New Roman" w:hAnsi="Times New Roman" w:cs="Times New Roman"/>
          <w:sz w:val="21"/>
          <w:szCs w:val="21"/>
        </w:rPr>
        <w:t>光疗起始剂量的选择应基于患者的Fitzpatrick皮肤光型、最小红斑量</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MED</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测试结果或固定剂量方案。</w:t>
      </w:r>
    </w:p>
    <w:p w14:paraId="294A17FE">
      <w:pPr>
        <w:adjustRightInd w:val="0"/>
        <w:snapToGrid w:val="0"/>
        <w:spacing w:before="0" w:beforeLines="0" w:after="0" w:afterLines="0"/>
        <w:ind w:left="958" w:leftChars="199" w:hanging="480" w:hangingChars="229"/>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311nm NB-UVB：按MED的50%</w:t>
      </w:r>
      <w:r>
        <w:rPr>
          <w:rFonts w:hint="eastAsia" w:ascii="宋体" w:hAnsi="宋体" w:eastAsia="宋体" w:cs="宋体"/>
          <w:sz w:val="21"/>
          <w:szCs w:val="21"/>
        </w:rPr>
        <w:t>～</w:t>
      </w:r>
      <w:r>
        <w:rPr>
          <w:rFonts w:hint="eastAsia" w:ascii="Times New Roman" w:hAnsi="Times New Roman" w:cs="Times New Roman"/>
          <w:sz w:val="21"/>
          <w:szCs w:val="21"/>
        </w:rPr>
        <w:t>70%作为起始剂量；如未进行MED测试，也可根据患者皮肤光型、治疗经验确定初始剂量，如Ⅲ型、Ⅳ型皮肤的初始剂量为300mJ/cm</w:t>
      </w:r>
      <w:r>
        <w:rPr>
          <w:rFonts w:hint="eastAsia" w:ascii="Times New Roman" w:hAnsi="Times New Roman" w:cs="Times New Roman"/>
          <w:sz w:val="21"/>
          <w:szCs w:val="21"/>
          <w:vertAlign w:val="superscript"/>
        </w:rPr>
        <w:t>2</w:t>
      </w:r>
      <w:r>
        <w:rPr>
          <w:rFonts w:hint="eastAsia" w:ascii="宋体" w:hAnsi="宋体" w:eastAsia="宋体" w:cs="宋体"/>
          <w:sz w:val="21"/>
          <w:szCs w:val="21"/>
        </w:rPr>
        <w:t>～</w:t>
      </w:r>
      <w:r>
        <w:rPr>
          <w:rFonts w:hint="eastAsia" w:ascii="Times New Roman" w:hAnsi="Times New Roman" w:cs="Times New Roman"/>
          <w:sz w:val="21"/>
          <w:szCs w:val="21"/>
        </w:rPr>
        <w:t>500 mJ/cm</w:t>
      </w:r>
      <w:r>
        <w:rPr>
          <w:rFonts w:hint="eastAsia" w:ascii="Times New Roman" w:hAnsi="Times New Roman" w:cs="Times New Roman"/>
          <w:sz w:val="21"/>
          <w:szCs w:val="21"/>
          <w:vertAlign w:val="superscript"/>
        </w:rPr>
        <w:t>2</w:t>
      </w:r>
      <w:r>
        <w:rPr>
          <w:rFonts w:hint="eastAsia" w:ascii="Times New Roman" w:hAnsi="Times New Roman" w:cs="Times New Roman"/>
          <w:sz w:val="21"/>
          <w:szCs w:val="21"/>
        </w:rPr>
        <w:t>。每周治疗3次，隔日1次。</w:t>
      </w:r>
    </w:p>
    <w:p w14:paraId="1A8742A4">
      <w:pPr>
        <w:adjustRightInd w:val="0"/>
        <w:snapToGrid w:val="0"/>
        <w:spacing w:before="0" w:beforeLines="0" w:after="0" w:afterLines="0"/>
        <w:ind w:left="958" w:leftChars="199" w:hanging="480" w:hangingChars="229"/>
        <w:rPr>
          <w:rFonts w:ascii="Times New Roman" w:hAnsi="Times New Roman" w:cs="Times New Roman"/>
          <w:sz w:val="21"/>
          <w:szCs w:val="21"/>
        </w:rPr>
      </w:pPr>
      <w:bookmarkStart w:id="25" w:name="_Hlk220003363"/>
      <w:r>
        <w:rPr>
          <w:rFonts w:hint="eastAsia" w:ascii="Times New Roman" w:hAnsi="Times New Roman" w:cs="Times New Roman"/>
          <w:sz w:val="21"/>
          <w:szCs w:val="21"/>
          <w:lang w:eastAsia="zh-CN"/>
        </w:rPr>
        <w:t>——</w:t>
      </w:r>
      <w:r>
        <w:rPr>
          <w:rFonts w:hint="eastAsia" w:ascii="Times New Roman" w:hAnsi="Times New Roman" w:cs="Times New Roman"/>
          <w:sz w:val="21"/>
          <w:szCs w:val="21"/>
        </w:rPr>
        <w:t>308 nm光</w:t>
      </w:r>
      <w:bookmarkEnd w:id="25"/>
      <w:r>
        <w:rPr>
          <w:rFonts w:hint="eastAsia" w:ascii="Times New Roman" w:hAnsi="Times New Roman" w:cs="Times New Roman"/>
          <w:sz w:val="21"/>
          <w:szCs w:val="21"/>
        </w:rPr>
        <w:t>：包括 308nm准分子激光、308nm准分子光、308nm窄谱发光二极管（LED）光。根据皮损厚度情况以300mJ/cm</w:t>
      </w:r>
      <w:r>
        <w:rPr>
          <w:rFonts w:hint="eastAsia" w:ascii="Times New Roman" w:hAnsi="Times New Roman" w:cs="Times New Roman"/>
          <w:sz w:val="21"/>
          <w:szCs w:val="21"/>
          <w:vertAlign w:val="superscript"/>
        </w:rPr>
        <w:t>2</w:t>
      </w:r>
      <w:r>
        <w:rPr>
          <w:rFonts w:hint="eastAsia" w:ascii="宋体" w:hAnsi="宋体" w:eastAsia="宋体" w:cs="宋体"/>
          <w:sz w:val="21"/>
          <w:szCs w:val="21"/>
        </w:rPr>
        <w:t>～</w:t>
      </w:r>
      <w:r>
        <w:rPr>
          <w:rFonts w:hint="eastAsia" w:ascii="Times New Roman" w:hAnsi="Times New Roman" w:cs="Times New Roman"/>
          <w:sz w:val="21"/>
          <w:szCs w:val="21"/>
        </w:rPr>
        <w:t>500 mJ/cm²起始，反向型银屑病初始剂量酌情降低。每周治疗2</w:t>
      </w:r>
      <w:r>
        <w:rPr>
          <w:rFonts w:hint="eastAsia" w:ascii="Times New Roman" w:hAnsi="Times New Roman" w:cs="Times New Roman"/>
          <w:sz w:val="21"/>
          <w:szCs w:val="21"/>
          <w:lang w:val="en-US" w:eastAsia="zh-CN"/>
        </w:rPr>
        <w:t>次</w:t>
      </w:r>
      <w:r>
        <w:rPr>
          <w:rFonts w:hint="eastAsia" w:ascii="宋体" w:hAnsi="宋体" w:eastAsia="宋体" w:cs="宋体"/>
          <w:sz w:val="21"/>
          <w:szCs w:val="21"/>
        </w:rPr>
        <w:t>～</w:t>
      </w:r>
      <w:r>
        <w:rPr>
          <w:rFonts w:hint="eastAsia" w:ascii="Times New Roman" w:hAnsi="Times New Roman" w:cs="Times New Roman"/>
          <w:sz w:val="21"/>
          <w:szCs w:val="21"/>
        </w:rPr>
        <w:t>-3次，隔日1次。</w:t>
      </w:r>
    </w:p>
    <w:p w14:paraId="52145F79">
      <w:pPr>
        <w:adjustRightInd w:val="0"/>
        <w:snapToGrid w:val="0"/>
        <w:spacing w:before="0" w:beforeLines="0" w:after="0" w:afterLines="0"/>
        <w:ind w:left="958" w:leftChars="199" w:hanging="480" w:hangingChars="229"/>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长波紫外线1</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UVA1</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 起始剂量为30mJ/cm</w:t>
      </w:r>
      <w:r>
        <w:rPr>
          <w:rFonts w:hint="eastAsia" w:ascii="Times New Roman" w:hAnsi="Times New Roman" w:cs="Times New Roman"/>
          <w:sz w:val="21"/>
          <w:szCs w:val="21"/>
          <w:vertAlign w:val="superscript"/>
        </w:rPr>
        <w:t>2</w:t>
      </w:r>
      <w:r>
        <w:rPr>
          <w:rFonts w:hint="eastAsia" w:ascii="Times New Roman" w:hAnsi="Times New Roman" w:cs="Times New Roman"/>
          <w:sz w:val="21"/>
          <w:szCs w:val="21"/>
        </w:rPr>
        <w:t xml:space="preserve"> ~ 40 J/cm</w:t>
      </w:r>
      <w:r>
        <w:rPr>
          <w:rFonts w:hint="eastAsia" w:ascii="Times New Roman" w:hAnsi="Times New Roman" w:cs="Times New Roman"/>
          <w:sz w:val="21"/>
          <w:szCs w:val="21"/>
          <w:vertAlign w:val="superscript"/>
        </w:rPr>
        <w:t>2</w:t>
      </w:r>
      <w:r>
        <w:rPr>
          <w:rFonts w:hint="eastAsia" w:ascii="Times New Roman" w:hAnsi="Times New Roman" w:cs="Times New Roman"/>
          <w:sz w:val="21"/>
          <w:szCs w:val="21"/>
        </w:rPr>
        <w:t>，如治疗部位为皮肤较厚的掌跖部位或皮损肥厚明显，可选用起始剂量40mJ/cm</w:t>
      </w:r>
      <w:r>
        <w:rPr>
          <w:rFonts w:hint="eastAsia" w:ascii="Times New Roman" w:hAnsi="Times New Roman" w:cs="Times New Roman"/>
          <w:sz w:val="21"/>
          <w:szCs w:val="21"/>
          <w:vertAlign w:val="superscript"/>
        </w:rPr>
        <w:t>2</w:t>
      </w:r>
      <w:r>
        <w:rPr>
          <w:rFonts w:hint="eastAsia" w:ascii="Times New Roman" w:hAnsi="Times New Roman" w:cs="Times New Roman"/>
          <w:sz w:val="21"/>
          <w:szCs w:val="21"/>
        </w:rPr>
        <w:t xml:space="preserve"> ~ 50 J/cm</w:t>
      </w:r>
      <w:r>
        <w:rPr>
          <w:rFonts w:hint="eastAsia" w:ascii="Times New Roman" w:hAnsi="Times New Roman" w:cs="Times New Roman"/>
          <w:sz w:val="21"/>
          <w:szCs w:val="21"/>
          <w:vertAlign w:val="superscript"/>
        </w:rPr>
        <w:t>2</w:t>
      </w:r>
      <w:r>
        <w:rPr>
          <w:rFonts w:hint="eastAsia" w:ascii="Times New Roman" w:hAnsi="Times New Roman" w:cs="Times New Roman"/>
          <w:sz w:val="21"/>
          <w:szCs w:val="21"/>
        </w:rPr>
        <w:t>。每周治疗3次，隔日1次。</w:t>
      </w:r>
    </w:p>
    <w:p w14:paraId="44E27CE3">
      <w:pPr>
        <w:adjustRightInd w:val="0"/>
        <w:snapToGrid w:val="0"/>
        <w:spacing w:before="156" w:beforeLines="50" w:after="156" w:afterLines="50"/>
        <w:ind w:firstLine="420" w:firstLineChars="200"/>
        <w:jc w:val="center"/>
        <w:rPr>
          <w:rFonts w:ascii="Times New Roman" w:hAnsi="Times New Roman" w:cs="Times New Roman"/>
          <w:sz w:val="21"/>
          <w:szCs w:val="21"/>
        </w:rPr>
      </w:pPr>
      <w:r>
        <w:rPr>
          <w:rFonts w:ascii="Times New Roman" w:hAnsi="Times New Roman" w:cs="Times New Roman"/>
          <w:sz w:val="21"/>
          <w:szCs w:val="21"/>
        </w:rPr>
        <w:drawing>
          <wp:inline distT="0" distB="0" distL="0" distR="0">
            <wp:extent cx="5060950" cy="7073265"/>
            <wp:effectExtent l="0" t="0" r="635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63751" cy="7076815"/>
                    </a:xfrm>
                    <a:prstGeom prst="rect">
                      <a:avLst/>
                    </a:prstGeom>
                  </pic:spPr>
                </pic:pic>
              </a:graphicData>
            </a:graphic>
          </wp:inline>
        </w:drawing>
      </w:r>
    </w:p>
    <w:p w14:paraId="00AE76CB">
      <w:pPr>
        <w:adjustRightInd/>
        <w:snapToGrid/>
        <w:spacing w:before="157" w:beforeLines="50" w:after="157" w:afterLines="50"/>
        <w:ind w:firstLine="0" w:firstLineChars="0"/>
        <w:jc w:val="center"/>
        <w:rPr>
          <w:rFonts w:ascii="Times New Roman" w:hAnsi="Times New Roman" w:cs="Times New Roman"/>
          <w:sz w:val="21"/>
          <w:szCs w:val="21"/>
        </w:rPr>
      </w:pPr>
      <w:r>
        <w:rPr>
          <w:rFonts w:hint="eastAsia" w:ascii="黑体" w:hAnsi="黑体" w:eastAsia="黑体" w:cs="黑体"/>
          <w:sz w:val="21"/>
          <w:szCs w:val="21"/>
        </w:rPr>
        <w:t xml:space="preserve">图1 </w:t>
      </w:r>
      <w:r>
        <w:rPr>
          <w:rFonts w:hint="eastAsia" w:ascii="黑体" w:hAnsi="黑体" w:eastAsia="黑体" w:cs="黑体"/>
          <w:sz w:val="21"/>
          <w:szCs w:val="21"/>
          <w:lang w:val="en-US" w:eastAsia="zh-CN"/>
        </w:rPr>
        <w:t xml:space="preserve"> </w:t>
      </w:r>
      <w:r>
        <w:rPr>
          <w:rFonts w:hint="eastAsia" w:ascii="黑体" w:hAnsi="黑体" w:eastAsia="黑体" w:cs="黑体"/>
          <w:sz w:val="21"/>
          <w:szCs w:val="21"/>
        </w:rPr>
        <w:t>银屑病患者NB-UVB治疗剂量设定和调整流程图</w:t>
      </w:r>
    </w:p>
    <w:p w14:paraId="3FDDDCBE">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剂量调整策略</w:t>
      </w:r>
    </w:p>
    <w:p w14:paraId="00C09F12">
      <w:pPr>
        <w:numPr>
          <w:ilvl w:val="2"/>
          <w:numId w:val="1"/>
        </w:numPr>
        <w:adjustRightInd w:val="0"/>
        <w:snapToGrid w:val="0"/>
        <w:spacing w:before="0" w:beforeLines="0" w:after="0" w:afterLines="0"/>
        <w:ind w:left="957" w:leftChars="0" w:hanging="957" w:hangingChars="456"/>
        <w:rPr>
          <w:rFonts w:hint="eastAsia" w:ascii="Times New Roman" w:hAnsi="Times New Roman" w:cs="Times New Roman"/>
          <w:sz w:val="21"/>
          <w:szCs w:val="21"/>
        </w:rPr>
      </w:pPr>
      <w:r>
        <w:rPr>
          <w:rFonts w:hint="eastAsia" w:ascii="Times New Roman" w:hAnsi="Times New Roman" w:cs="Times New Roman"/>
          <w:sz w:val="21"/>
          <w:szCs w:val="21"/>
        </w:rPr>
        <w:t>311nm NB-UVB</w:t>
      </w:r>
      <w:r>
        <w:rPr>
          <w:rFonts w:hint="eastAsia" w:ascii="Times New Roman" w:hAnsi="Times New Roman" w:cs="Times New Roman"/>
          <w:sz w:val="21"/>
          <w:szCs w:val="21"/>
          <w:lang w:val="en-US" w:eastAsia="zh-CN"/>
        </w:rPr>
        <w:t>剂量调整策略如下</w:t>
      </w:r>
      <w:r>
        <w:rPr>
          <w:rFonts w:hint="eastAsia" w:ascii="Times New Roman" w:hAnsi="Times New Roman" w:cs="Times New Roman"/>
          <w:sz w:val="21"/>
          <w:szCs w:val="21"/>
        </w:rPr>
        <w:t>：</w:t>
      </w:r>
    </w:p>
    <w:p w14:paraId="10889B04">
      <w:pPr>
        <w:numPr>
          <w:ilvl w:val="-1"/>
          <w:numId w:val="0"/>
        </w:numPr>
        <w:adjustRightInd w:val="0"/>
        <w:snapToGrid w:val="0"/>
        <w:spacing w:before="0" w:beforeLines="0" w:after="0" w:afterLines="0"/>
        <w:ind w:left="958" w:leftChars="200" w:hanging="478" w:hangingChars="228"/>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a） </w:t>
      </w:r>
      <w:r>
        <w:rPr>
          <w:rFonts w:hint="eastAsia" w:ascii="Times New Roman" w:hAnsi="Times New Roman" w:cs="Times New Roman"/>
          <w:sz w:val="21"/>
          <w:szCs w:val="21"/>
        </w:rPr>
        <w:t>剂量递增：</w:t>
      </w:r>
    </w:p>
    <w:p w14:paraId="374E1C19">
      <w:pPr>
        <w:numPr>
          <w:ilvl w:val="0"/>
          <w:numId w:val="2"/>
        </w:numPr>
        <w:adjustRightInd w:val="0"/>
        <w:snapToGrid w:val="0"/>
        <w:spacing w:before="0" w:beforeLines="0" w:after="0" w:afterLines="0"/>
        <w:ind w:left="410" w:leftChars="171"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 xml:space="preserve">红斑持续时间&lt; 24 </w:t>
      </w:r>
      <w:r>
        <w:rPr>
          <w:rFonts w:hint="eastAsia" w:ascii="Times New Roman" w:hAnsi="Times New Roman" w:cs="Times New Roman"/>
          <w:sz w:val="21"/>
          <w:szCs w:val="21"/>
          <w:lang w:val="en-US" w:eastAsia="zh-CN"/>
        </w:rPr>
        <w:t>h</w:t>
      </w:r>
      <w:r>
        <w:rPr>
          <w:rFonts w:hint="eastAsia" w:ascii="Times New Roman" w:hAnsi="Times New Roman" w:cs="Times New Roman"/>
          <w:sz w:val="21"/>
          <w:szCs w:val="21"/>
        </w:rPr>
        <w:t>，剂量递增 20%；</w:t>
      </w:r>
    </w:p>
    <w:p w14:paraId="695C9AB5">
      <w:pPr>
        <w:numPr>
          <w:ilvl w:val="0"/>
          <w:numId w:val="2"/>
        </w:numPr>
        <w:adjustRightInd w:val="0"/>
        <w:snapToGrid w:val="0"/>
        <w:spacing w:before="0" w:beforeLines="0" w:after="0" w:afterLines="0"/>
        <w:ind w:left="410" w:leftChars="171"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红斑持续 24</w:t>
      </w:r>
      <w:r>
        <w:rPr>
          <w:rFonts w:hint="eastAsia" w:ascii="Times New Roman" w:hAnsi="Times New Roman" w:cs="Times New Roman"/>
          <w:sz w:val="21"/>
          <w:szCs w:val="21"/>
          <w:lang w:val="en-US" w:eastAsia="zh-CN"/>
        </w:rPr>
        <w:t>h</w:t>
      </w:r>
      <w:r>
        <w:rPr>
          <w:rFonts w:hint="eastAsia" w:ascii="Times New Roman" w:hAnsi="Times New Roman" w:cs="Times New Roman"/>
          <w:sz w:val="21"/>
          <w:szCs w:val="21"/>
        </w:rPr>
        <w:t>~48</w:t>
      </w:r>
      <w:r>
        <w:rPr>
          <w:rFonts w:hint="eastAsia" w:ascii="Times New Roman" w:hAnsi="Times New Roman" w:cs="Times New Roman"/>
          <w:sz w:val="21"/>
          <w:szCs w:val="21"/>
          <w:lang w:val="en-US" w:eastAsia="zh-CN"/>
        </w:rPr>
        <w:t>h</w:t>
      </w:r>
      <w:r>
        <w:rPr>
          <w:rFonts w:hint="eastAsia" w:ascii="Times New Roman" w:hAnsi="Times New Roman" w:cs="Times New Roman"/>
          <w:sz w:val="21"/>
          <w:szCs w:val="21"/>
        </w:rPr>
        <w:t>，维持原剂量；</w:t>
      </w:r>
    </w:p>
    <w:p w14:paraId="5AC01EE5">
      <w:pPr>
        <w:numPr>
          <w:ilvl w:val="-1"/>
          <w:numId w:val="0"/>
        </w:numPr>
        <w:adjustRightInd w:val="0"/>
        <w:snapToGrid w:val="0"/>
        <w:spacing w:before="0" w:beforeLines="0" w:after="0" w:afterLines="0"/>
        <w:ind w:left="1255" w:leftChars="348" w:hanging="420" w:hangingChars="2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3） </w:t>
      </w:r>
      <w:r>
        <w:rPr>
          <w:rFonts w:hint="eastAsia" w:ascii="Times New Roman" w:hAnsi="Times New Roman" w:cs="Times New Roman"/>
          <w:sz w:val="21"/>
          <w:szCs w:val="21"/>
        </w:rPr>
        <w:t xml:space="preserve">红斑持续时间 &gt; 48 </w:t>
      </w:r>
      <w:r>
        <w:rPr>
          <w:rFonts w:hint="eastAsia" w:ascii="Times New Roman" w:hAnsi="Times New Roman" w:cs="Times New Roman"/>
          <w:sz w:val="21"/>
          <w:szCs w:val="21"/>
          <w:lang w:val="en-US" w:eastAsia="zh-CN"/>
        </w:rPr>
        <w:t>h</w:t>
      </w:r>
      <w:r>
        <w:rPr>
          <w:rFonts w:hint="eastAsia" w:ascii="Times New Roman" w:hAnsi="Times New Roman" w:cs="Times New Roman"/>
          <w:sz w:val="21"/>
          <w:szCs w:val="21"/>
        </w:rPr>
        <w:t>，下次治疗推迟至症状消失，剂量降低至前次未引起</w:t>
      </w:r>
      <w:r>
        <w:rPr>
          <w:rFonts w:hint="eastAsia" w:ascii="Times New Roman" w:hAnsi="Times New Roman" w:cs="Times New Roman"/>
          <w:color w:val="000000" w:themeColor="text1"/>
          <w:sz w:val="21"/>
          <w:szCs w:val="21"/>
          <w14:textFill>
            <w14:solidFill>
              <w14:schemeClr w14:val="tx1"/>
            </w14:solidFill>
          </w14:textFill>
        </w:rPr>
        <w:t>红斑的剂量</w:t>
      </w:r>
      <w:r>
        <w:rPr>
          <w:rFonts w:hint="eastAsia" w:ascii="Times New Roman" w:hAnsi="Times New Roman" w:cs="Times New Roman"/>
          <w:sz w:val="21"/>
          <w:szCs w:val="21"/>
        </w:rPr>
        <w:t>；</w:t>
      </w:r>
    </w:p>
    <w:p w14:paraId="50DD7A34">
      <w:pPr>
        <w:numPr>
          <w:ilvl w:val="-1"/>
          <w:numId w:val="0"/>
        </w:numPr>
        <w:adjustRightInd w:val="0"/>
        <w:snapToGrid w:val="0"/>
        <w:spacing w:before="0" w:beforeLines="0" w:after="0" w:afterLines="0"/>
        <w:ind w:left="0"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b） </w:t>
      </w:r>
      <w:r>
        <w:rPr>
          <w:rFonts w:hint="eastAsia" w:ascii="Times New Roman" w:hAnsi="Times New Roman" w:cs="Times New Roman"/>
          <w:sz w:val="21"/>
          <w:szCs w:val="21"/>
        </w:rPr>
        <w:t>中断后治疗调整：</w:t>
      </w:r>
    </w:p>
    <w:p w14:paraId="08825632">
      <w:pPr>
        <w:numPr>
          <w:ilvl w:val="-1"/>
          <w:numId w:val="0"/>
        </w:numPr>
        <w:adjustRightInd w:val="0"/>
        <w:snapToGrid w:val="0"/>
        <w:spacing w:before="0" w:beforeLines="0" w:after="0" w:afterLines="0"/>
        <w:ind w:left="0" w:firstLine="840" w:firstLineChars="4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1） </w:t>
      </w:r>
      <w:r>
        <w:rPr>
          <w:rFonts w:hint="eastAsia" w:ascii="Times New Roman" w:hAnsi="Times New Roman" w:cs="Times New Roman"/>
          <w:sz w:val="21"/>
          <w:szCs w:val="21"/>
        </w:rPr>
        <w:t>间隔7</w:t>
      </w:r>
      <w:r>
        <w:rPr>
          <w:rFonts w:hint="eastAsia" w:ascii="Times New Roman" w:hAnsi="Times New Roman" w:cs="Times New Roman"/>
          <w:sz w:val="21"/>
          <w:szCs w:val="21"/>
          <w:lang w:val="en-US" w:eastAsia="zh-CN"/>
        </w:rPr>
        <w:t>d</w:t>
      </w:r>
      <w:r>
        <w:rPr>
          <w:rFonts w:hint="eastAsia" w:ascii="Times New Roman" w:hAnsi="Times New Roman" w:cs="Times New Roman"/>
          <w:sz w:val="21"/>
          <w:szCs w:val="21"/>
        </w:rPr>
        <w:t>以内，维持原治疗剂量；</w:t>
      </w:r>
    </w:p>
    <w:p w14:paraId="5293D66E">
      <w:pPr>
        <w:numPr>
          <w:ilvl w:val="-1"/>
          <w:numId w:val="0"/>
        </w:numPr>
        <w:adjustRightInd w:val="0"/>
        <w:snapToGrid w:val="0"/>
        <w:spacing w:before="0" w:beforeLines="0" w:after="0" w:afterLines="0"/>
        <w:ind w:left="0" w:firstLine="840" w:firstLineChars="4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2） </w:t>
      </w:r>
      <w:r>
        <w:rPr>
          <w:rFonts w:hint="eastAsia" w:ascii="Times New Roman" w:hAnsi="Times New Roman" w:cs="Times New Roman"/>
          <w:sz w:val="21"/>
          <w:szCs w:val="21"/>
        </w:rPr>
        <w:t>间隔8</w:t>
      </w:r>
      <w:r>
        <w:rPr>
          <w:rFonts w:hint="eastAsia" w:ascii="Times New Roman" w:hAnsi="Times New Roman" w:cs="Times New Roman"/>
          <w:sz w:val="21"/>
          <w:szCs w:val="21"/>
          <w:lang w:val="en-US" w:eastAsia="zh-CN"/>
        </w:rPr>
        <w:t>d</w:t>
      </w:r>
      <w:r>
        <w:rPr>
          <w:rFonts w:hint="eastAsia" w:ascii="Times New Roman" w:hAnsi="Times New Roman" w:cs="Times New Roman"/>
          <w:sz w:val="21"/>
          <w:szCs w:val="21"/>
        </w:rPr>
        <w:t>~14</w:t>
      </w:r>
      <w:r>
        <w:rPr>
          <w:rFonts w:hint="eastAsia" w:ascii="Times New Roman" w:hAnsi="Times New Roman" w:cs="Times New Roman"/>
          <w:sz w:val="21"/>
          <w:szCs w:val="21"/>
          <w:lang w:val="en-US" w:eastAsia="zh-CN"/>
        </w:rPr>
        <w:t>d</w:t>
      </w:r>
      <w:r>
        <w:rPr>
          <w:rFonts w:hint="eastAsia" w:ascii="Times New Roman" w:hAnsi="Times New Roman" w:cs="Times New Roman"/>
          <w:sz w:val="21"/>
          <w:szCs w:val="21"/>
        </w:rPr>
        <w:t>，剂量减少25%；</w:t>
      </w:r>
    </w:p>
    <w:p w14:paraId="7F8DE387">
      <w:pPr>
        <w:numPr>
          <w:ilvl w:val="-1"/>
          <w:numId w:val="0"/>
        </w:numPr>
        <w:adjustRightInd w:val="0"/>
        <w:snapToGrid w:val="0"/>
        <w:spacing w:before="0" w:beforeLines="0" w:after="0" w:afterLines="0"/>
        <w:ind w:left="0" w:firstLine="840" w:firstLineChars="4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3）</w:t>
      </w:r>
      <w:r>
        <w:rPr>
          <w:rFonts w:hint="eastAsia" w:ascii="Times New Roman" w:hAnsi="Times New Roman" w:cs="Times New Roman"/>
          <w:sz w:val="21"/>
          <w:szCs w:val="21"/>
        </w:rPr>
        <w:t>间隔15</w:t>
      </w:r>
      <w:r>
        <w:rPr>
          <w:rFonts w:hint="eastAsia" w:ascii="Times New Roman" w:hAnsi="Times New Roman" w:cs="Times New Roman"/>
          <w:sz w:val="21"/>
          <w:szCs w:val="21"/>
          <w:lang w:val="en-US" w:eastAsia="zh-CN"/>
        </w:rPr>
        <w:t>d</w:t>
      </w:r>
      <w:r>
        <w:rPr>
          <w:rFonts w:hint="eastAsia" w:ascii="Times New Roman" w:hAnsi="Times New Roman" w:cs="Times New Roman"/>
          <w:sz w:val="21"/>
          <w:szCs w:val="21"/>
        </w:rPr>
        <w:t>~28</w:t>
      </w:r>
      <w:r>
        <w:rPr>
          <w:rFonts w:hint="eastAsia" w:ascii="Times New Roman" w:hAnsi="Times New Roman" w:cs="Times New Roman"/>
          <w:sz w:val="21"/>
          <w:szCs w:val="21"/>
          <w:lang w:val="en-US" w:eastAsia="zh-CN"/>
        </w:rPr>
        <w:t>d</w:t>
      </w:r>
      <w:r>
        <w:rPr>
          <w:rFonts w:hint="eastAsia" w:ascii="Times New Roman" w:hAnsi="Times New Roman" w:cs="Times New Roman"/>
          <w:sz w:val="21"/>
          <w:szCs w:val="21"/>
        </w:rPr>
        <w:t>，剂量减少50%；</w:t>
      </w:r>
    </w:p>
    <w:p w14:paraId="228B6929">
      <w:pPr>
        <w:numPr>
          <w:ilvl w:val="-1"/>
          <w:numId w:val="0"/>
        </w:numPr>
        <w:adjustRightInd w:val="0"/>
        <w:snapToGrid w:val="0"/>
        <w:spacing w:before="0" w:beforeLines="0" w:after="0" w:afterLines="0"/>
        <w:ind w:left="0" w:firstLine="840" w:firstLineChars="4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4） </w:t>
      </w:r>
      <w:r>
        <w:rPr>
          <w:rFonts w:hint="eastAsia" w:ascii="Times New Roman" w:hAnsi="Times New Roman" w:cs="Times New Roman"/>
          <w:sz w:val="21"/>
          <w:szCs w:val="21"/>
        </w:rPr>
        <w:t>超过4周，重新开始治疗；</w:t>
      </w:r>
    </w:p>
    <w:p w14:paraId="4D22C471">
      <w:pPr>
        <w:numPr>
          <w:ilvl w:val="-1"/>
          <w:numId w:val="0"/>
        </w:numPr>
        <w:adjustRightInd w:val="0"/>
        <w:snapToGrid w:val="0"/>
        <w:spacing w:before="0" w:beforeLines="0" w:after="0" w:afterLines="0"/>
        <w:ind w:left="0"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c） </w:t>
      </w:r>
      <w:r>
        <w:rPr>
          <w:rFonts w:hint="eastAsia" w:ascii="Times New Roman" w:hAnsi="Times New Roman" w:cs="Times New Roman"/>
          <w:sz w:val="21"/>
          <w:szCs w:val="21"/>
        </w:rPr>
        <w:t>维持治疗：皮损基本消退时，进入维持阶段：</w:t>
      </w:r>
    </w:p>
    <w:p w14:paraId="17AEEE63">
      <w:pPr>
        <w:numPr>
          <w:ilvl w:val="-1"/>
          <w:numId w:val="0"/>
        </w:numPr>
        <w:adjustRightInd w:val="0"/>
        <w:snapToGrid w:val="0"/>
        <w:spacing w:before="0" w:beforeLines="0" w:after="0" w:afterLines="0"/>
        <w:ind w:left="0" w:firstLine="840" w:firstLineChars="4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1） </w:t>
      </w:r>
      <w:r>
        <w:rPr>
          <w:rFonts w:hint="eastAsia" w:ascii="Times New Roman" w:hAnsi="Times New Roman" w:cs="Times New Roman"/>
          <w:sz w:val="21"/>
          <w:szCs w:val="21"/>
        </w:rPr>
        <w:t>第1个月，每周2次，保持末次剂量；</w:t>
      </w:r>
    </w:p>
    <w:p w14:paraId="6EDBA426">
      <w:pPr>
        <w:numPr>
          <w:ilvl w:val="-1"/>
          <w:numId w:val="0"/>
        </w:numPr>
        <w:adjustRightInd w:val="0"/>
        <w:snapToGrid w:val="0"/>
        <w:spacing w:before="0" w:beforeLines="0" w:after="0" w:afterLines="0"/>
        <w:ind w:left="0" w:firstLine="840" w:firstLineChars="4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 xml:space="preserve">2） </w:t>
      </w:r>
      <w:r>
        <w:rPr>
          <w:rFonts w:hint="eastAsia" w:ascii="Times New Roman" w:hAnsi="Times New Roman" w:cs="Times New Roman"/>
          <w:sz w:val="21"/>
          <w:szCs w:val="21"/>
        </w:rPr>
        <w:t>第2个月，每周1次，保持末次剂量；</w:t>
      </w:r>
    </w:p>
    <w:p w14:paraId="3D6A3B6B">
      <w:pPr>
        <w:numPr>
          <w:ilvl w:val="-1"/>
          <w:numId w:val="0"/>
        </w:numPr>
        <w:adjustRightInd w:val="0"/>
        <w:snapToGrid w:val="0"/>
        <w:spacing w:before="0" w:beforeLines="0" w:after="0" w:afterLines="0"/>
        <w:ind w:left="0" w:firstLine="840" w:firstLineChars="400"/>
        <w:rPr>
          <w:rFonts w:ascii="Times New Roman" w:hAnsi="Times New Roman" w:cs="Times New Roman"/>
          <w:sz w:val="21"/>
          <w:szCs w:val="21"/>
        </w:rPr>
      </w:pPr>
      <w:r>
        <w:rPr>
          <w:rFonts w:hint="eastAsia" w:ascii="Times New Roman" w:hAnsi="Times New Roman" w:cs="Times New Roman"/>
          <w:sz w:val="21"/>
          <w:szCs w:val="21"/>
          <w:lang w:val="en-US" w:eastAsia="zh-CN"/>
        </w:rPr>
        <w:t xml:space="preserve">3） </w:t>
      </w:r>
      <w:r>
        <w:rPr>
          <w:rFonts w:hint="eastAsia" w:ascii="Times New Roman" w:hAnsi="Times New Roman" w:cs="Times New Roman"/>
          <w:sz w:val="21"/>
          <w:szCs w:val="21"/>
        </w:rPr>
        <w:t>第3个月，每1-2周1次，减量为75%的末次剂量。</w:t>
      </w:r>
    </w:p>
    <w:p w14:paraId="5F3F2987">
      <w:pPr>
        <w:adjustRightInd w:val="0"/>
        <w:snapToGrid w:val="0"/>
        <w:spacing w:before="0" w:beforeLines="0" w:after="0" w:afterLines="0"/>
        <w:ind w:firstLine="0" w:firstLineChars="0"/>
        <w:rPr>
          <w:rFonts w:hint="eastAsia" w:ascii="Times New Roman" w:hAnsi="Times New Roman" w:cs="Times New Roman"/>
          <w:sz w:val="21"/>
          <w:szCs w:val="21"/>
          <w:lang w:val="en-US" w:eastAsia="zh-CN"/>
        </w:rPr>
      </w:pPr>
      <w:r>
        <w:rPr>
          <w:rFonts w:hint="eastAsia" w:ascii="黑体" w:hAnsi="黑体" w:eastAsia="黑体" w:cs="黑体"/>
          <w:sz w:val="21"/>
          <w:szCs w:val="21"/>
          <w:lang w:val="en-US" w:eastAsia="zh-CN"/>
        </w:rPr>
        <w:t xml:space="preserve">6.2.2  </w:t>
      </w:r>
      <w:r>
        <w:rPr>
          <w:rFonts w:hint="eastAsia" w:ascii="Times New Roman" w:hAnsi="Times New Roman" w:cs="Times New Roman"/>
          <w:sz w:val="21"/>
          <w:szCs w:val="21"/>
        </w:rPr>
        <w:t>308 nm光疗治疗后12</w:t>
      </w:r>
      <w:r>
        <w:rPr>
          <w:rFonts w:hint="eastAsia" w:ascii="Times New Roman" w:hAnsi="Times New Roman" w:cs="Times New Roman"/>
          <w:sz w:val="21"/>
          <w:szCs w:val="21"/>
          <w:lang w:val="en-US" w:eastAsia="zh-CN"/>
        </w:rPr>
        <w:t>h</w:t>
      </w:r>
      <w:r>
        <w:rPr>
          <w:rFonts w:hint="eastAsia" w:ascii="宋体" w:hAnsi="宋体" w:eastAsia="宋体" w:cs="宋体"/>
          <w:sz w:val="21"/>
          <w:szCs w:val="21"/>
          <w:lang w:val="en-US" w:eastAsia="zh-CN"/>
        </w:rPr>
        <w:t>～</w:t>
      </w:r>
      <w:r>
        <w:rPr>
          <w:rFonts w:hint="eastAsia" w:ascii="Times New Roman" w:hAnsi="Times New Roman" w:cs="Times New Roman"/>
          <w:sz w:val="21"/>
          <w:szCs w:val="21"/>
        </w:rPr>
        <w:t>24</w:t>
      </w:r>
      <w:r>
        <w:rPr>
          <w:rFonts w:hint="eastAsia" w:ascii="Times New Roman" w:hAnsi="Times New Roman" w:cs="Times New Roman"/>
          <w:sz w:val="21"/>
          <w:szCs w:val="21"/>
          <w:lang w:val="en-US" w:eastAsia="zh-CN"/>
        </w:rPr>
        <w:t>h进行</w:t>
      </w:r>
      <w:r>
        <w:rPr>
          <w:rFonts w:hint="eastAsia" w:ascii="Times New Roman" w:hAnsi="Times New Roman" w:cs="Times New Roman"/>
          <w:sz w:val="21"/>
          <w:szCs w:val="21"/>
        </w:rPr>
        <w:t>评估，</w:t>
      </w:r>
      <w:r>
        <w:rPr>
          <w:rFonts w:hint="eastAsia" w:ascii="Times New Roman" w:hAnsi="Times New Roman" w:cs="Times New Roman"/>
          <w:sz w:val="21"/>
          <w:szCs w:val="21"/>
          <w:lang w:val="en-US" w:eastAsia="zh-CN"/>
        </w:rPr>
        <w:t>根据评估结果进行剂量调整：</w:t>
      </w:r>
    </w:p>
    <w:p w14:paraId="28B72297">
      <w:pPr>
        <w:adjustRightInd w:val="0"/>
        <w:snapToGrid w:val="0"/>
        <w:spacing w:before="0" w:beforeLines="0" w:after="0" w:afterLines="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val="en-US" w:eastAsia="zh-CN"/>
        </w:rPr>
        <w:t>——</w:t>
      </w:r>
      <w:r>
        <w:rPr>
          <w:rFonts w:hint="eastAsia" w:ascii="Times New Roman" w:hAnsi="Times New Roman" w:cs="Times New Roman"/>
          <w:sz w:val="21"/>
          <w:szCs w:val="21"/>
        </w:rPr>
        <w:t>若无红斑，剂量递增 25%；</w:t>
      </w:r>
    </w:p>
    <w:p w14:paraId="564FD06E">
      <w:pPr>
        <w:adjustRightInd w:val="0"/>
        <w:snapToGrid w:val="0"/>
        <w:spacing w:before="0" w:beforeLines="0" w:after="0" w:afterLines="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微弱红斑，剂量递增 15%；</w:t>
      </w:r>
    </w:p>
    <w:p w14:paraId="166ABBC0">
      <w:pPr>
        <w:adjustRightInd w:val="0"/>
        <w:snapToGrid w:val="0"/>
        <w:spacing w:before="0" w:beforeLines="0" w:after="0" w:afterLines="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轻中度红斑，维持原剂量；</w:t>
      </w:r>
    </w:p>
    <w:p w14:paraId="20FBA8F5">
      <w:pPr>
        <w:adjustRightInd w:val="0"/>
        <w:snapToGrid w:val="0"/>
        <w:spacing w:before="0" w:beforeLines="0" w:after="0" w:afterLines="0"/>
        <w:ind w:firstLine="420" w:firstLine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中重度红斑或水疱，剂量降低25%并推迟治疗至症状消失。</w:t>
      </w:r>
    </w:p>
    <w:p w14:paraId="65E50A6C">
      <w:pPr>
        <w:adjustRightInd w:val="0"/>
        <w:snapToGrid w:val="0"/>
        <w:spacing w:before="0" w:beforeLines="0" w:after="0" w:afterLines="0"/>
        <w:ind w:firstLine="0" w:firstLineChars="0"/>
        <w:rPr>
          <w:rFonts w:ascii="Times New Roman" w:hAnsi="Times New Roman" w:cs="Times New Roman"/>
          <w:sz w:val="21"/>
          <w:szCs w:val="21"/>
        </w:rPr>
      </w:pPr>
      <w:r>
        <w:rPr>
          <w:rFonts w:hint="eastAsia" w:ascii="黑体" w:hAnsi="黑体" w:eastAsia="黑体" w:cs="黑体"/>
          <w:sz w:val="21"/>
          <w:szCs w:val="21"/>
          <w:lang w:val="en-US" w:eastAsia="zh-CN"/>
        </w:rPr>
        <w:t xml:space="preserve">6.2.3  </w:t>
      </w:r>
      <w:r>
        <w:rPr>
          <w:rFonts w:hint="eastAsia" w:ascii="Times New Roman" w:hAnsi="Times New Roman" w:cs="Times New Roman"/>
          <w:sz w:val="21"/>
          <w:szCs w:val="21"/>
        </w:rPr>
        <w:t>UVA1</w:t>
      </w:r>
      <w:r>
        <w:rPr>
          <w:rFonts w:hint="eastAsia" w:ascii="Times New Roman" w:hAnsi="Times New Roman" w:cs="Times New Roman"/>
          <w:sz w:val="21"/>
          <w:szCs w:val="21"/>
          <w:lang w:val="en-US" w:eastAsia="zh-CN"/>
        </w:rPr>
        <w:t>剂量</w:t>
      </w:r>
      <w:r>
        <w:rPr>
          <w:rFonts w:hint="eastAsia" w:ascii="Times New Roman" w:hAnsi="Times New Roman" w:cs="Times New Roman"/>
          <w:sz w:val="21"/>
          <w:szCs w:val="21"/>
        </w:rPr>
        <w:t>根据红斑反应逐步递增，每次递增5J/cm²</w:t>
      </w:r>
      <w:r>
        <w:rPr>
          <w:rFonts w:hint="eastAsia" w:ascii="宋体" w:hAnsi="宋体" w:eastAsia="宋体" w:cs="宋体"/>
          <w:sz w:val="21"/>
          <w:szCs w:val="21"/>
          <w:lang w:val="en-US" w:eastAsia="zh-CN"/>
        </w:rPr>
        <w:t>～</w:t>
      </w:r>
      <w:r>
        <w:rPr>
          <w:rFonts w:hint="eastAsia" w:ascii="Times New Roman" w:hAnsi="Times New Roman" w:cs="Times New Roman"/>
          <w:sz w:val="21"/>
          <w:szCs w:val="21"/>
        </w:rPr>
        <w:t>20 J/cm²，单次最大耐受剂量</w:t>
      </w:r>
      <w:r>
        <w:rPr>
          <w:rFonts w:hint="eastAsia" w:ascii="Times New Roman" w:hAnsi="Times New Roman" w:cs="Times New Roman"/>
          <w:sz w:val="21"/>
          <w:szCs w:val="21"/>
          <w:lang w:val="en-US" w:eastAsia="zh-CN"/>
        </w:rPr>
        <w:t>宜</w:t>
      </w:r>
      <w:r>
        <w:rPr>
          <w:rFonts w:hint="eastAsia" w:ascii="Times New Roman" w:hAnsi="Times New Roman" w:cs="Times New Roman"/>
          <w:sz w:val="21"/>
          <w:szCs w:val="21"/>
        </w:rPr>
        <w:t>不超过140 J/cm²。</w:t>
      </w:r>
    </w:p>
    <w:p w14:paraId="1ECDB497">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不同光疗方式的适用</w:t>
      </w:r>
    </w:p>
    <w:p w14:paraId="5495D926">
      <w:pPr>
        <w:adjustRightInd w:val="0"/>
        <w:snapToGrid w:val="0"/>
        <w:spacing w:before="0" w:beforeLines="0" w:after="0" w:afterLines="0"/>
        <w:ind w:firstLine="0" w:firstLineChars="0"/>
        <w:rPr>
          <w:rFonts w:ascii="Times New Roman" w:hAnsi="Times New Roman" w:cs="Times New Roman"/>
          <w:sz w:val="21"/>
          <w:szCs w:val="21"/>
        </w:rPr>
      </w:pPr>
      <w:r>
        <w:rPr>
          <w:rFonts w:hint="eastAsia" w:ascii="黑体" w:hAnsi="黑体" w:eastAsia="黑体" w:cs="黑体"/>
          <w:sz w:val="21"/>
          <w:szCs w:val="21"/>
          <w:lang w:val="en-US" w:eastAsia="zh-CN"/>
        </w:rPr>
        <w:t xml:space="preserve">6.3.1  </w:t>
      </w:r>
      <w:r>
        <w:rPr>
          <w:rFonts w:hint="eastAsia" w:ascii="Times New Roman" w:hAnsi="Times New Roman" w:cs="Times New Roman"/>
          <w:sz w:val="21"/>
          <w:szCs w:val="21"/>
        </w:rPr>
        <w:t>311nm NB-UVB</w:t>
      </w:r>
      <w:r>
        <w:rPr>
          <w:rFonts w:hint="eastAsia" w:ascii="Times New Roman" w:hAnsi="Times New Roman" w:cs="Times New Roman"/>
          <w:sz w:val="21"/>
          <w:szCs w:val="21"/>
          <w:lang w:val="en-US" w:eastAsia="zh-CN"/>
        </w:rPr>
        <w:t>是</w:t>
      </w:r>
      <w:r>
        <w:rPr>
          <w:rFonts w:hint="eastAsia" w:ascii="Times New Roman" w:hAnsi="Times New Roman" w:cs="Times New Roman"/>
          <w:sz w:val="21"/>
          <w:szCs w:val="21"/>
        </w:rPr>
        <w:t>点滴状和斑块状银屑病的首选光疗方式，安全性好，可用于儿童和孕妇。</w:t>
      </w:r>
    </w:p>
    <w:p w14:paraId="13B86DE9">
      <w:pPr>
        <w:adjustRightInd w:val="0"/>
        <w:snapToGrid w:val="0"/>
        <w:spacing w:before="0" w:beforeLines="0" w:after="0" w:afterLines="0"/>
        <w:ind w:firstLine="0" w:firstLineChars="0"/>
        <w:rPr>
          <w:rFonts w:ascii="Times New Roman" w:hAnsi="Times New Roman" w:cs="Times New Roman"/>
          <w:sz w:val="21"/>
          <w:szCs w:val="21"/>
        </w:rPr>
      </w:pPr>
      <w:r>
        <w:rPr>
          <w:rFonts w:hint="eastAsia" w:ascii="黑体" w:hAnsi="黑体" w:eastAsia="黑体" w:cs="黑体"/>
          <w:sz w:val="21"/>
          <w:szCs w:val="21"/>
          <w:lang w:val="en-US" w:eastAsia="zh-CN"/>
        </w:rPr>
        <w:t xml:space="preserve">6.3.2  </w:t>
      </w:r>
      <w:r>
        <w:rPr>
          <w:rFonts w:hint="eastAsia" w:ascii="Times New Roman" w:hAnsi="Times New Roman" w:cs="Times New Roman"/>
          <w:sz w:val="21"/>
          <w:szCs w:val="21"/>
        </w:rPr>
        <w:t>308 nm光适合皮损面积&lt;10%体表面积的局限性斑块状银屑病。对其他治疗方法不适合的皱褶部位,如腋窝、乳房下、腹股沟、会阴部等,掌跖和头部皮损均可考虑用此法治疗。</w:t>
      </w:r>
    </w:p>
    <w:p w14:paraId="255D34B9">
      <w:pPr>
        <w:adjustRightInd w:val="0"/>
        <w:snapToGrid w:val="0"/>
        <w:spacing w:before="0" w:beforeLines="0" w:after="0" w:afterLines="0"/>
        <w:ind w:firstLine="0" w:firstLineChars="0"/>
        <w:rPr>
          <w:rFonts w:ascii="Times New Roman" w:hAnsi="Times New Roman" w:cs="Times New Roman"/>
          <w:sz w:val="21"/>
          <w:szCs w:val="21"/>
        </w:rPr>
      </w:pPr>
      <w:r>
        <w:rPr>
          <w:rFonts w:hint="eastAsia" w:ascii="黑体" w:hAnsi="黑体" w:eastAsia="黑体" w:cs="黑体"/>
          <w:sz w:val="21"/>
          <w:szCs w:val="21"/>
          <w:lang w:val="en-US" w:eastAsia="zh-CN"/>
        </w:rPr>
        <w:t xml:space="preserve">6.3.3  </w:t>
      </w:r>
      <w:r>
        <w:rPr>
          <w:rFonts w:ascii="Times New Roman" w:hAnsi="Times New Roman" w:cs="Times New Roman"/>
          <w:sz w:val="21"/>
          <w:szCs w:val="21"/>
        </w:rPr>
        <w:t>UVA1</w:t>
      </w:r>
      <w:r>
        <w:rPr>
          <w:rFonts w:hint="eastAsia" w:ascii="Times New Roman" w:hAnsi="Times New Roman" w:cs="Times New Roman"/>
          <w:sz w:val="21"/>
          <w:szCs w:val="21"/>
        </w:rPr>
        <w:t>对于特殊类型以及特殊部位的顽固局限性银屑病，如掌跖脓疱病、头皮银屑病、小腿胫前肥厚型斑块状银屑病，均有较好的疗效。</w:t>
      </w:r>
    </w:p>
    <w:p w14:paraId="03BC7613">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 xml:space="preserve">联合治疗策略 </w:t>
      </w:r>
    </w:p>
    <w:p w14:paraId="700A7AB6">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光疗可与外用药或系统药物联合，以增强疗效、缩短疗程。光疗前可进行洗浴，以减少鳞屑；在干燥、角质增厚的皮损处如肘部、膝部使用矿物油，可增加光线的穿透性。</w:t>
      </w:r>
    </w:p>
    <w:p w14:paraId="5D1280B7">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外用药物</w:t>
      </w:r>
      <w:r>
        <w:rPr>
          <w:rFonts w:hint="eastAsia" w:ascii="Times New Roman" w:hAnsi="Times New Roman" w:cs="Times New Roman"/>
          <w:sz w:val="21"/>
          <w:szCs w:val="21"/>
          <w:lang w:val="en-US" w:eastAsia="zh-CN"/>
        </w:rPr>
        <w:t>包括</w:t>
      </w:r>
      <w:r>
        <w:rPr>
          <w:rFonts w:hint="eastAsia" w:ascii="Times New Roman" w:hAnsi="Times New Roman" w:cs="Times New Roman"/>
          <w:sz w:val="21"/>
          <w:szCs w:val="21"/>
        </w:rPr>
        <w:t>糖皮质激素、维生素</w:t>
      </w:r>
      <w:r>
        <w:rPr>
          <w:rFonts w:ascii="Times New Roman" w:hAnsi="Times New Roman" w:cs="Times New Roman"/>
          <w:sz w:val="21"/>
          <w:szCs w:val="21"/>
        </w:rPr>
        <w:t>D₃衍生物、</w:t>
      </w:r>
      <w:r>
        <w:rPr>
          <w:rFonts w:hint="eastAsia" w:ascii="Times New Roman" w:hAnsi="Times New Roman" w:cs="Times New Roman"/>
          <w:sz w:val="21"/>
          <w:szCs w:val="21"/>
        </w:rPr>
        <w:t>维A酸类药物</w:t>
      </w:r>
      <w:r>
        <w:rPr>
          <w:rFonts w:ascii="Times New Roman" w:hAnsi="Times New Roman" w:cs="Times New Roman"/>
          <w:sz w:val="21"/>
          <w:szCs w:val="21"/>
        </w:rPr>
        <w:t>等，可在光疗后配合使用以提高疗效</w:t>
      </w:r>
      <w:r>
        <w:rPr>
          <w:rFonts w:hint="eastAsia" w:ascii="Times New Roman" w:hAnsi="Times New Roman" w:cs="Times New Roman"/>
          <w:sz w:val="21"/>
          <w:szCs w:val="21"/>
        </w:rPr>
        <w:t>。</w:t>
      </w:r>
    </w:p>
    <w:p w14:paraId="1EA3FF7B">
      <w:pPr>
        <w:adjustRightInd w:val="0"/>
        <w:snapToGrid w:val="0"/>
        <w:spacing w:before="156" w:beforeLines="50" w:after="156" w:afterLines="5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传统系统口服药物</w:t>
      </w:r>
      <w:r>
        <w:rPr>
          <w:rFonts w:hint="eastAsia" w:ascii="Times New Roman" w:hAnsi="Times New Roman" w:cs="Times New Roman"/>
          <w:sz w:val="21"/>
          <w:szCs w:val="21"/>
          <w:lang w:val="en-US" w:eastAsia="zh-CN"/>
        </w:rPr>
        <w:t>包括</w:t>
      </w:r>
      <w:r>
        <w:rPr>
          <w:rFonts w:hint="eastAsia" w:ascii="Times New Roman" w:hAnsi="Times New Roman" w:cs="Times New Roman"/>
          <w:sz w:val="21"/>
          <w:szCs w:val="21"/>
        </w:rPr>
        <w:t>维A酸类药物通过改善角化异常、减轻角质层增厚，可增强311nm NB-UVB疗效。常用方法：</w:t>
      </w:r>
    </w:p>
    <w:p w14:paraId="63CB5625">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先口服维</w:t>
      </w:r>
      <w:r>
        <w:rPr>
          <w:rFonts w:ascii="Times New Roman" w:hAnsi="Times New Roman" w:cs="Times New Roman"/>
          <w:sz w:val="21"/>
          <w:szCs w:val="21"/>
        </w:rPr>
        <w:t>A酸类药物（0.5mg·kg⁻¹·d⁻¹</w:t>
      </w:r>
      <w:r>
        <w:rPr>
          <w:rFonts w:hint="eastAsia" w:ascii="宋体" w:hAnsi="宋体" w:eastAsia="宋体" w:cs="宋体"/>
          <w:sz w:val="21"/>
          <w:szCs w:val="21"/>
        </w:rPr>
        <w:t>～</w:t>
      </w:r>
      <w:r>
        <w:rPr>
          <w:rFonts w:ascii="Times New Roman" w:hAnsi="Times New Roman" w:cs="Times New Roman"/>
          <w:sz w:val="21"/>
          <w:szCs w:val="21"/>
        </w:rPr>
        <w:t>1 mg·kg⁻¹·d⁻¹）1</w:t>
      </w:r>
      <w:r>
        <w:rPr>
          <w:rFonts w:hint="eastAsia" w:ascii="Times New Roman" w:hAnsi="Times New Roman" w:cs="Times New Roman"/>
          <w:sz w:val="21"/>
          <w:szCs w:val="21"/>
          <w:lang w:val="en-US" w:eastAsia="zh-CN"/>
        </w:rPr>
        <w:t>周</w:t>
      </w:r>
      <w:r>
        <w:rPr>
          <w:rFonts w:hint="eastAsia" w:ascii="宋体" w:hAnsi="宋体" w:eastAsia="宋体" w:cs="宋体"/>
          <w:sz w:val="21"/>
          <w:szCs w:val="21"/>
        </w:rPr>
        <w:t>～</w:t>
      </w:r>
      <w:r>
        <w:rPr>
          <w:rFonts w:ascii="Times New Roman" w:hAnsi="Times New Roman" w:cs="Times New Roman"/>
          <w:sz w:val="21"/>
          <w:szCs w:val="21"/>
        </w:rPr>
        <w:t>2周，随后以标准起始剂量的50%</w:t>
      </w:r>
      <w:r>
        <w:rPr>
          <w:rFonts w:hint="eastAsia" w:ascii="宋体" w:hAnsi="宋体" w:eastAsia="宋体" w:cs="宋体"/>
          <w:sz w:val="21"/>
          <w:szCs w:val="21"/>
        </w:rPr>
        <w:t>～</w:t>
      </w:r>
      <w:r>
        <w:rPr>
          <w:rFonts w:ascii="Times New Roman" w:hAnsi="Times New Roman" w:cs="Times New Roman"/>
          <w:sz w:val="21"/>
          <w:szCs w:val="21"/>
        </w:rPr>
        <w:t>70%开始NB-UVB光疗；</w:t>
      </w:r>
    </w:p>
    <w:p w14:paraId="7CF495EB">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sz w:val="21"/>
          <w:szCs w:val="21"/>
          <w:lang w:eastAsia="zh-CN"/>
        </w:rPr>
        <w:t>——</w:t>
      </w:r>
      <w:r>
        <w:rPr>
          <w:rFonts w:ascii="Times New Roman" w:hAnsi="Times New Roman" w:cs="Times New Roman"/>
          <w:sz w:val="21"/>
          <w:szCs w:val="21"/>
        </w:rPr>
        <w:t>口服小剂量维A酸类药物（10mg/d</w:t>
      </w:r>
      <w:r>
        <w:rPr>
          <w:rFonts w:hint="eastAsia" w:ascii="宋体" w:hAnsi="宋体" w:eastAsia="宋体" w:cs="宋体"/>
          <w:sz w:val="21"/>
          <w:szCs w:val="21"/>
        </w:rPr>
        <w:t>～</w:t>
      </w:r>
      <w:r>
        <w:rPr>
          <w:rFonts w:ascii="Times New Roman" w:hAnsi="Times New Roman" w:cs="Times New Roman"/>
          <w:sz w:val="21"/>
          <w:szCs w:val="21"/>
        </w:rPr>
        <w:t>25 mg/d），同时联合NB-UVB照射。</w:t>
      </w:r>
    </w:p>
    <w:p w14:paraId="29E0DC33">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甲氨蝶呤与 NB-UVB 联合使用总体耐受性良好，该联合方案既可提高治疗反应，又有助于减少紫外线的暴露剂量。由于甲氨蝶呤可能增加皮肤对光的敏感性，给药后 48</w:t>
      </w:r>
      <w:r>
        <w:rPr>
          <w:rFonts w:hint="eastAsia" w:ascii="Times New Roman" w:hAnsi="Times New Roman" w:cs="Times New Roman"/>
          <w:sz w:val="21"/>
          <w:szCs w:val="21"/>
          <w:lang w:val="en-US" w:eastAsia="zh-CN"/>
        </w:rPr>
        <w:t>h</w:t>
      </w:r>
      <w:r>
        <w:rPr>
          <w:rFonts w:hint="eastAsia" w:ascii="Times New Roman" w:hAnsi="Times New Roman" w:cs="Times New Roman"/>
          <w:sz w:val="21"/>
          <w:szCs w:val="21"/>
        </w:rPr>
        <w:t>～72 h 内应避免进行光疗，临床实践中可将 NB-UVB 照射安排于周一、周三和周五，并在周五完成甲氨蝶呤口服。当达到理想疗效后，应优先停用MTX，单用NB-UVB维持治疗，以控制药物累积风险。</w:t>
      </w:r>
    </w:p>
    <w:p w14:paraId="326C63B3">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生物制剂和小分子药物：对于接受生物制剂或小分子药物单药治疗后应答不佳（原发/继发性无应答、部分应答或进入平台期）的中重度银屑病患者，联合NB-UVB治疗以增强疗效，但长期安全性尚未充分研究。现有证据支持NB-UVB可与TNF-α抑制剂（依那西普、阿达木单抗）、IL-12/23抑制剂（乌司奴单抗）以及PDE4抑制剂（阿普米司特）安全有效地联合使用，联合治疗能够显著提高达到PASI 75、PASI 90乃至PASI 100的患者比例，加速皮损清除，并改善患者的生活质量。</w:t>
      </w:r>
    </w:p>
    <w:p w14:paraId="03399556">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停止治疗指征</w:t>
      </w:r>
    </w:p>
    <w:p w14:paraId="5434E1BB">
      <w:pPr>
        <w:adjustRightInd w:val="0"/>
        <w:snapToGrid w:val="0"/>
        <w:spacing w:before="156" w:beforeLines="50" w:after="156" w:afterLines="5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在以下情况下</w:t>
      </w:r>
      <w:r>
        <w:rPr>
          <w:rFonts w:hint="eastAsia" w:ascii="Times New Roman" w:hAnsi="Times New Roman" w:cs="Times New Roman"/>
          <w:sz w:val="21"/>
          <w:szCs w:val="21"/>
          <w:lang w:val="en-US" w:eastAsia="zh-CN"/>
        </w:rPr>
        <w:t>宜</w:t>
      </w:r>
      <w:r>
        <w:rPr>
          <w:rFonts w:hint="eastAsia" w:ascii="Times New Roman" w:hAnsi="Times New Roman" w:cs="Times New Roman"/>
          <w:sz w:val="21"/>
          <w:szCs w:val="21"/>
        </w:rPr>
        <w:t>考虑停疗或调整方案：</w:t>
      </w:r>
    </w:p>
    <w:p w14:paraId="0CD517F8">
      <w:pPr>
        <w:adjustRightInd w:val="0"/>
        <w:snapToGrid w:val="0"/>
        <w:spacing w:before="156" w:beforeLines="50" w:after="156" w:afterLines="5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累计疗程≥30次没有达到PASI50应答；</w:t>
      </w:r>
    </w:p>
    <w:p w14:paraId="194BC7DE">
      <w:pPr>
        <w:adjustRightInd w:val="0"/>
        <w:snapToGrid w:val="0"/>
        <w:spacing w:before="156" w:beforeLines="50" w:after="156" w:afterLines="5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出现严重光毒反应（水疱、大面积红斑、剧烈疼痛）；</w:t>
      </w:r>
    </w:p>
    <w:p w14:paraId="6917A3B2">
      <w:pPr>
        <w:adjustRightInd w:val="0"/>
        <w:snapToGrid w:val="0"/>
        <w:spacing w:before="156" w:beforeLines="50" w:after="156" w:afterLines="5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光疗疗效达平台期，无明显进一步改善；</w:t>
      </w:r>
    </w:p>
    <w:p w14:paraId="5322A669">
      <w:pPr>
        <w:adjustRightInd w:val="0"/>
        <w:snapToGrid w:val="0"/>
        <w:spacing w:before="156" w:beforeLines="50" w:after="156" w:afterLines="50"/>
        <w:ind w:left="838" w:leftChars="174" w:hanging="420" w:hanging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NB-UVB单次照射剂量达到最大限制（I、II型最大剂量为2000mJ/cm</w:t>
      </w:r>
      <w:r>
        <w:rPr>
          <w:rFonts w:ascii="Times New Roman" w:hAnsi="Times New Roman" w:cs="Times New Roman"/>
          <w:sz w:val="21"/>
          <w:szCs w:val="21"/>
          <w:vertAlign w:val="superscript"/>
        </w:rPr>
        <w:t>2</w:t>
      </w:r>
      <w:r>
        <w:rPr>
          <w:rFonts w:hint="eastAsia" w:ascii="Times New Roman" w:hAnsi="Times New Roman" w:cs="Times New Roman"/>
          <w:sz w:val="21"/>
          <w:szCs w:val="21"/>
        </w:rPr>
        <w:t>, III、IV型最大剂量为3000 mJ/cm</w:t>
      </w:r>
      <w:r>
        <w:rPr>
          <w:rFonts w:ascii="Times New Roman" w:hAnsi="Times New Roman" w:cs="Times New Roman"/>
          <w:sz w:val="21"/>
          <w:szCs w:val="21"/>
          <w:vertAlign w:val="superscript"/>
        </w:rPr>
        <w:t>2</w:t>
      </w:r>
      <w:r>
        <w:rPr>
          <w:rFonts w:hint="eastAsia" w:ascii="Times New Roman" w:hAnsi="Times New Roman" w:cs="Times New Roman"/>
          <w:sz w:val="21"/>
          <w:szCs w:val="21"/>
        </w:rPr>
        <w:t>，V、VI型最大剂量为5000 mJ/cm</w:t>
      </w:r>
      <w:r>
        <w:rPr>
          <w:rFonts w:ascii="Times New Roman" w:hAnsi="Times New Roman" w:cs="Times New Roman"/>
          <w:sz w:val="21"/>
          <w:szCs w:val="21"/>
          <w:vertAlign w:val="superscript"/>
        </w:rPr>
        <w:t>2</w:t>
      </w:r>
      <w:r>
        <w:rPr>
          <w:rFonts w:hint="eastAsia" w:ascii="Times New Roman" w:hAnsi="Times New Roman" w:cs="Times New Roman"/>
          <w:sz w:val="21"/>
          <w:szCs w:val="21"/>
        </w:rPr>
        <w:t>）。</w:t>
      </w:r>
    </w:p>
    <w:p w14:paraId="7356DD64">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26" w:name="_Toc226105569"/>
      <w:r>
        <w:rPr>
          <w:rFonts w:hint="eastAsia" w:ascii="黑体" w:hAnsi="黑体" w:eastAsia="黑体" w:cs="黑体"/>
          <w:sz w:val="21"/>
          <w:szCs w:val="21"/>
        </w:rPr>
        <w:t>光疗注意事项与不良反应处理</w:t>
      </w:r>
      <w:bookmarkEnd w:id="26"/>
    </w:p>
    <w:p w14:paraId="66782E9A">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常见短期不良反应与处理</w:t>
      </w:r>
    </w:p>
    <w:p w14:paraId="0ECE0B25">
      <w:pPr>
        <w:adjustRightInd w:val="0"/>
        <w:snapToGrid w:val="0"/>
        <w:spacing w:before="156" w:beforeLines="50" w:after="156" w:afterLines="50"/>
        <w:ind w:firstLine="420" w:firstLineChars="200"/>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rPr>
        <w:t>光疗过程中最常见的短期不良反应包括照射部位红斑、瘙痒、皮肤干燥及灼热感，少数患者可出现轻度水疱。</w:t>
      </w:r>
      <w:r>
        <w:rPr>
          <w:rFonts w:hint="eastAsia" w:ascii="Times New Roman" w:hAnsi="Times New Roman" w:cs="Times New Roman"/>
          <w:sz w:val="21"/>
          <w:szCs w:val="21"/>
          <w:lang w:val="en-US" w:eastAsia="zh-CN"/>
        </w:rPr>
        <w:t>处理如下：</w:t>
      </w:r>
    </w:p>
    <w:p w14:paraId="4DCE07F5">
      <w:pPr>
        <w:adjustRightInd w:val="0"/>
        <w:snapToGrid w:val="0"/>
        <w:spacing w:before="156" w:beforeLines="50" w:after="156" w:afterLines="5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多数情况下无需特殊处理，仅需暂停或减量照射并加强皮肤保湿；</w:t>
      </w:r>
    </w:p>
    <w:p w14:paraId="3AE70AE2">
      <w:pPr>
        <w:adjustRightInd w:val="0"/>
        <w:snapToGrid w:val="0"/>
        <w:spacing w:before="156" w:beforeLines="50" w:after="156" w:afterLines="50"/>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瘙痒明显者可口服抗组胺药缓解症状。</w:t>
      </w:r>
    </w:p>
    <w:p w14:paraId="1206774F">
      <w:pPr>
        <w:adjustRightInd w:val="0"/>
        <w:snapToGrid w:val="0"/>
        <w:spacing w:before="156" w:beforeLines="50" w:after="156" w:afterLines="50"/>
        <w:ind w:left="838" w:leftChars="174" w:hanging="420" w:hanging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若红斑明显或伴有疼痛，可局部应用低效糖皮质激素软膏或采取冷敷等对症处理，</w:t>
      </w:r>
      <w:r>
        <w:rPr>
          <w:rFonts w:hint="eastAsia"/>
          <w:sz w:val="21"/>
          <w:szCs w:val="21"/>
          <w14:ligatures w14:val="standardContextual"/>
        </w:rPr>
        <w:t>并适当降低治疗剂量</w:t>
      </w:r>
      <w:r>
        <w:rPr>
          <w:rFonts w:hint="eastAsia" w:ascii="Times New Roman" w:hAnsi="Times New Roman" w:cs="Times New Roman"/>
          <w:sz w:val="21"/>
          <w:szCs w:val="21"/>
        </w:rPr>
        <w:t>。</w:t>
      </w:r>
    </w:p>
    <w:p w14:paraId="065CBC57">
      <w:pPr>
        <w:adjustRightInd w:val="0"/>
        <w:snapToGrid w:val="0"/>
        <w:spacing w:before="156" w:beforeLines="50" w:after="156" w:afterLines="50"/>
        <w:ind w:left="838" w:leftChars="174" w:hanging="420" w:hangingChars="200"/>
        <w:rPr>
          <w:rFonts w:hint="eastAsia"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如出现中至重度光毒反应（大面积红肿、多发水疱大疱），应立即停疗，并根据严重程度给予创面保护，合并感染风险时可考虑抗感染治疗，必要时可酌情口服糖皮质激素。</w:t>
      </w:r>
    </w:p>
    <w:p w14:paraId="2BA0ABBA">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如出现持续或明显的眼部不适，应确认防护措施是否到位，并及时行眼科会诊。</w:t>
      </w:r>
    </w:p>
    <w:p w14:paraId="4DE8D9FB">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长期风险监测与防控</w:t>
      </w:r>
    </w:p>
    <w:p w14:paraId="33A35B4B">
      <w:pPr>
        <w:ind w:firstLine="420" w:firstLineChars="200"/>
        <w:rPr>
          <w:rFonts w:hint="eastAsia"/>
          <w:sz w:val="21"/>
          <w:szCs w:val="21"/>
          <w14:ligatures w14:val="standardContextual"/>
        </w:rPr>
      </w:pPr>
      <w:r>
        <w:rPr>
          <w:rFonts w:hint="eastAsia" w:ascii="Times New Roman" w:hAnsi="Times New Roman" w:cs="Times New Roman"/>
          <w:sz w:val="21"/>
          <w:szCs w:val="21"/>
        </w:rPr>
        <w:t>长期或高累计剂量光疗可能导致皮肤光老化、色素沉着、毛细血管扩张风险。</w:t>
      </w:r>
      <w:r>
        <w:rPr>
          <w:rFonts w:hint="eastAsia"/>
          <w:sz w:val="21"/>
          <w:szCs w:val="21"/>
          <w14:ligatures w14:val="standardContextual"/>
        </w:rPr>
        <w:t>而基于现有中长期随访研究数据，规范应用3</w:t>
      </w:r>
      <w:r>
        <w:rPr>
          <w:sz w:val="21"/>
          <w:szCs w:val="21"/>
          <w14:ligatures w14:val="standardContextual"/>
        </w:rPr>
        <w:t xml:space="preserve">11nm </w:t>
      </w:r>
      <w:r>
        <w:rPr>
          <w:rFonts w:hint="eastAsia"/>
          <w:sz w:val="21"/>
          <w:szCs w:val="21"/>
          <w14:ligatures w14:val="standardContextual"/>
        </w:rPr>
        <w:t>NB-UVB/308nm光疗并未显著增加非黑素瘤皮肤癌的风险，其与黑素瘤风险的关联性尚未明确，总体认为风险极低或可忽略。</w:t>
      </w:r>
    </w:p>
    <w:p w14:paraId="15B98A1C">
      <w:pPr>
        <w:ind w:firstLine="420" w:firstLineChars="200"/>
        <w:rPr>
          <w:rFonts w:hint="eastAsia"/>
          <w:sz w:val="21"/>
          <w:szCs w:val="21"/>
          <w14:ligatures w14:val="standardContextual"/>
        </w:rPr>
      </w:pPr>
      <w:r>
        <w:rPr>
          <w:rFonts w:hint="eastAsia"/>
          <w:sz w:val="21"/>
          <w:szCs w:val="21"/>
          <w14:ligatures w14:val="standardContextual"/>
        </w:rPr>
        <w:t>建议临床治疗前严格评估有皮肤肿瘤史、免疫抑制、砷剂接触史及高龄等高危患者的利弊，治疗期间加强眼部防护、保湿润肤并避免额外紫外线暴露，对长期光疗者尤其是老年患者，应制定个体化方案，</w:t>
      </w:r>
      <w:r>
        <w:rPr>
          <w:rFonts w:hint="eastAsia" w:ascii="Times New Roman" w:hAnsi="Times New Roman" w:cs="Times New Roman"/>
          <w:sz w:val="21"/>
          <w:szCs w:val="21"/>
        </w:rPr>
        <w:t>建立光疗剂量档案，动态监测累计照射次数和能量</w:t>
      </w:r>
      <w:r>
        <w:rPr>
          <w:rFonts w:hint="eastAsia"/>
          <w:sz w:val="21"/>
          <w:szCs w:val="21"/>
          <w14:ligatures w14:val="standardContextual"/>
        </w:rPr>
        <w:t>，并每半年随访监测，以防范皮肤不良反应。</w:t>
      </w:r>
    </w:p>
    <w:p w14:paraId="78FF6319">
      <w:pPr>
        <w:ind w:firstLine="420" w:firstLineChars="200"/>
        <w:rPr>
          <w:rFonts w:hint="eastAsia"/>
          <w:sz w:val="21"/>
          <w:szCs w:val="21"/>
        </w:rPr>
      </w:pPr>
      <w:r>
        <w:rPr>
          <w:rFonts w:hint="eastAsia" w:ascii="Times New Roman" w:hAnsi="Times New Roman" w:cs="Times New Roman"/>
          <w:sz w:val="21"/>
          <w:szCs w:val="21"/>
        </w:rPr>
        <w:t>光疗期间和疗程后</w:t>
      </w:r>
      <w:r>
        <w:rPr>
          <w:rFonts w:hint="eastAsia" w:ascii="Times New Roman" w:hAnsi="Times New Roman" w:cs="Times New Roman"/>
          <w:sz w:val="21"/>
          <w:szCs w:val="21"/>
          <w:lang w:val="en-US" w:eastAsia="zh-CN"/>
        </w:rPr>
        <w:t>宜</w:t>
      </w:r>
      <w:r>
        <w:rPr>
          <w:rFonts w:hint="eastAsia" w:ascii="Times New Roman" w:hAnsi="Times New Roman" w:cs="Times New Roman"/>
          <w:sz w:val="21"/>
          <w:szCs w:val="21"/>
        </w:rPr>
        <w:t>避免自然光过度暴露，使用广谱防晒剂及物理遮挡；如合并系统药物治疗，应综合评估系统药物与光疗叠加可能带来的长期安全风险。</w:t>
      </w:r>
    </w:p>
    <w:p w14:paraId="7889AC04">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特殊部位照射的注意事项</w:t>
      </w:r>
    </w:p>
    <w:p w14:paraId="5F2A06E4">
      <w:pPr>
        <w:numPr>
          <w:ilvl w:val="2"/>
          <w:numId w:val="1"/>
        </w:numPr>
        <w:spacing w:line="360" w:lineRule="auto"/>
        <w:ind w:left="720" w:hanging="720"/>
        <w:rPr>
          <w:rFonts w:hint="eastAsia"/>
          <w:b/>
          <w:bCs/>
          <w:sz w:val="21"/>
          <w:szCs w:val="21"/>
          <w14:ligatures w14:val="standardContextual"/>
        </w:rPr>
      </w:pPr>
      <w:r>
        <w:rPr>
          <w:rFonts w:hint="eastAsia"/>
          <w:b/>
          <w:bCs/>
          <w:sz w:val="21"/>
          <w:szCs w:val="21"/>
          <w:lang w:val="en-US" w:eastAsia="zh-CN"/>
          <w14:ligatures w14:val="standardContextual"/>
        </w:rPr>
        <w:t xml:space="preserve"> </w:t>
      </w:r>
      <w:r>
        <w:rPr>
          <w:rFonts w:hint="eastAsia" w:ascii="黑体" w:hAnsi="黑体" w:eastAsia="黑体" w:cs="黑体"/>
          <w:b w:val="0"/>
          <w:bCs w:val="0"/>
          <w:sz w:val="21"/>
          <w:szCs w:val="21"/>
          <w14:ligatures w14:val="standardContextual"/>
        </w:rPr>
        <w:t>眼部</w:t>
      </w:r>
    </w:p>
    <w:p w14:paraId="5499120F">
      <w:pPr>
        <w:numPr>
          <w:ilvl w:val="-1"/>
          <w:numId w:val="0"/>
        </w:numPr>
        <w:spacing w:line="240" w:lineRule="auto"/>
        <w:ind w:left="0" w:firstLine="420" w:firstLineChars="200"/>
        <w:rPr>
          <w:rFonts w:hint="eastAsia"/>
          <w:sz w:val="21"/>
          <w:szCs w:val="21"/>
          <w14:ligatures w14:val="standardContextual"/>
        </w:rPr>
      </w:pPr>
      <w:r>
        <w:rPr>
          <w:rFonts w:hint="eastAsia"/>
          <w:sz w:val="21"/>
          <w:szCs w:val="21"/>
          <w14:ligatures w14:val="standardContextual"/>
        </w:rPr>
        <w:t>治疗全程</w:t>
      </w:r>
      <w:r>
        <w:rPr>
          <w:rFonts w:hint="eastAsia"/>
          <w:sz w:val="21"/>
          <w:szCs w:val="21"/>
          <w:lang w:val="en-US" w:eastAsia="zh-CN"/>
          <w14:ligatures w14:val="standardContextual"/>
        </w:rPr>
        <w:t>应</w:t>
      </w:r>
      <w:r>
        <w:rPr>
          <w:rFonts w:hint="eastAsia"/>
          <w:sz w:val="21"/>
          <w:szCs w:val="21"/>
          <w14:ligatures w14:val="standardContextual"/>
        </w:rPr>
        <w:t>佩戴不透光的专用护目镜，对于靠近睑缘的皮损，可在医生指导下佩戴</w:t>
      </w:r>
      <w:r>
        <w:rPr>
          <w:sz w:val="21"/>
          <w:szCs w:val="21"/>
          <w14:ligatures w14:val="standardContextual"/>
        </w:rPr>
        <w:t>I</w:t>
      </w:r>
      <w:r>
        <w:rPr>
          <w:rFonts w:hint="eastAsia"/>
          <w:sz w:val="21"/>
          <w:szCs w:val="21"/>
          <w14:ligatures w14:val="standardContextual"/>
        </w:rPr>
        <w:t>类防紫外线软性隐形眼镜作为额外防护。</w:t>
      </w:r>
    </w:p>
    <w:p w14:paraId="43FCCDD0">
      <w:pPr>
        <w:numPr>
          <w:ilvl w:val="2"/>
          <w:numId w:val="1"/>
        </w:numPr>
        <w:spacing w:line="360" w:lineRule="auto"/>
        <w:ind w:left="720" w:hanging="720"/>
        <w:rPr>
          <w:rFonts w:hint="eastAsia"/>
          <w:b/>
          <w:bCs/>
          <w:sz w:val="21"/>
          <w:szCs w:val="21"/>
          <w14:ligatures w14:val="standardContextual"/>
        </w:rPr>
      </w:pPr>
      <w:r>
        <w:rPr>
          <w:rFonts w:hint="eastAsia"/>
          <w:b/>
          <w:bCs/>
          <w:sz w:val="21"/>
          <w:szCs w:val="21"/>
          <w:lang w:val="en-US" w:eastAsia="zh-CN"/>
          <w14:ligatures w14:val="standardContextual"/>
        </w:rPr>
        <w:t xml:space="preserve"> </w:t>
      </w:r>
      <w:r>
        <w:rPr>
          <w:rFonts w:hint="eastAsia" w:ascii="黑体" w:hAnsi="黑体" w:eastAsia="黑体" w:cs="黑体"/>
          <w:b w:val="0"/>
          <w:bCs w:val="0"/>
          <w:sz w:val="21"/>
          <w:szCs w:val="21"/>
          <w14:ligatures w14:val="standardContextual"/>
        </w:rPr>
        <w:t>男性生殖器</w:t>
      </w:r>
    </w:p>
    <w:p w14:paraId="0F56A5FD">
      <w:pPr>
        <w:numPr>
          <w:ilvl w:val="-1"/>
          <w:numId w:val="0"/>
        </w:numPr>
        <w:spacing w:line="240" w:lineRule="auto"/>
        <w:ind w:left="0" w:firstLine="420" w:firstLineChars="200"/>
        <w:rPr>
          <w:rFonts w:hint="eastAsia"/>
          <w:sz w:val="21"/>
          <w:szCs w:val="21"/>
          <w14:ligatures w14:val="standardContextual"/>
        </w:rPr>
      </w:pPr>
      <w:r>
        <w:rPr>
          <w:rFonts w:hint="eastAsia"/>
          <w:sz w:val="21"/>
          <w:szCs w:val="21"/>
          <w14:ligatures w14:val="standardContextual"/>
        </w:rPr>
        <w:t>尽管尚无证据表明NB-UVB会增加该部位的肿瘤风险，</w:t>
      </w:r>
      <w:r>
        <w:rPr>
          <w:rFonts w:hint="eastAsia"/>
          <w:sz w:val="21"/>
          <w:szCs w:val="21"/>
          <w:lang w:val="en-US" w:eastAsia="zh-CN"/>
          <w14:ligatures w14:val="standardContextual"/>
        </w:rPr>
        <w:t>宜</w:t>
      </w:r>
      <w:r>
        <w:rPr>
          <w:rFonts w:hint="eastAsia"/>
          <w:sz w:val="21"/>
          <w:szCs w:val="21"/>
          <w14:ligatures w14:val="standardContextual"/>
        </w:rPr>
        <w:t>使用不透光的衣物或专用遮蔽物保护男性生殖器。</w:t>
      </w:r>
    </w:p>
    <w:p w14:paraId="374B589F">
      <w:pPr>
        <w:numPr>
          <w:ilvl w:val="2"/>
          <w:numId w:val="1"/>
        </w:numPr>
        <w:spacing w:line="360" w:lineRule="auto"/>
        <w:ind w:left="720" w:hanging="720"/>
        <w:rPr>
          <w:rFonts w:hint="eastAsia"/>
          <w:b/>
          <w:bCs/>
          <w:sz w:val="21"/>
          <w:szCs w:val="21"/>
          <w14:ligatures w14:val="standardContextual"/>
        </w:rPr>
      </w:pPr>
      <w:r>
        <w:rPr>
          <w:rFonts w:hint="eastAsia"/>
          <w:b/>
          <w:bCs/>
          <w:sz w:val="21"/>
          <w:szCs w:val="21"/>
          <w:lang w:val="en-US" w:eastAsia="zh-CN"/>
          <w14:ligatures w14:val="standardContextual"/>
        </w:rPr>
        <w:t xml:space="preserve"> </w:t>
      </w:r>
      <w:r>
        <w:rPr>
          <w:rFonts w:hint="eastAsia" w:ascii="黑体" w:hAnsi="黑体" w:eastAsia="黑体" w:cs="黑体"/>
          <w:b w:val="0"/>
          <w:bCs w:val="0"/>
          <w:sz w:val="21"/>
          <w:szCs w:val="21"/>
          <w14:ligatures w14:val="standardContextual"/>
        </w:rPr>
        <w:t>乳晕</w:t>
      </w:r>
    </w:p>
    <w:p w14:paraId="0A2A9AE7">
      <w:pPr>
        <w:numPr>
          <w:ilvl w:val="-1"/>
          <w:numId w:val="0"/>
        </w:numPr>
        <w:spacing w:line="240" w:lineRule="auto"/>
        <w:ind w:left="0" w:firstLine="420" w:firstLineChars="200"/>
        <w:rPr>
          <w:rFonts w:hint="eastAsia"/>
          <w:sz w:val="21"/>
          <w:szCs w:val="21"/>
          <w14:ligatures w14:val="standardContextual"/>
        </w:rPr>
      </w:pPr>
      <w:r>
        <w:rPr>
          <w:rFonts w:hint="eastAsia"/>
          <w:sz w:val="21"/>
          <w:szCs w:val="21"/>
          <w14:ligatures w14:val="standardContextual"/>
        </w:rPr>
        <w:t>该部位皮肤较薄，尤其在浅肤色患者中对紫外线更敏感，易发生灼伤或色素沉着。治疗前</w:t>
      </w:r>
      <w:r>
        <w:rPr>
          <w:rFonts w:hint="eastAsia"/>
          <w:sz w:val="21"/>
          <w:szCs w:val="21"/>
          <w:lang w:val="en-US" w:eastAsia="zh-CN"/>
          <w14:ligatures w14:val="standardContextual"/>
        </w:rPr>
        <w:t>宜</w:t>
      </w:r>
      <w:r>
        <w:rPr>
          <w:rFonts w:hint="eastAsia"/>
          <w:sz w:val="21"/>
          <w:szCs w:val="21"/>
          <w14:ligatures w14:val="standardContextual"/>
        </w:rPr>
        <w:t>对乳晕涂抹广谱防晒霜或用衣物遮挡。</w:t>
      </w:r>
    </w:p>
    <w:p w14:paraId="3A0A398A">
      <w:pPr>
        <w:numPr>
          <w:ilvl w:val="2"/>
          <w:numId w:val="1"/>
        </w:numPr>
        <w:spacing w:line="360" w:lineRule="auto"/>
        <w:ind w:left="720" w:hanging="720"/>
        <w:rPr>
          <w:rFonts w:hint="eastAsia"/>
          <w:b/>
          <w:bCs/>
          <w:sz w:val="21"/>
          <w:szCs w:val="21"/>
          <w14:ligatures w14:val="standardContextual"/>
        </w:rPr>
      </w:pPr>
      <w:r>
        <w:rPr>
          <w:rFonts w:hint="eastAsia"/>
          <w:b/>
          <w:bCs/>
          <w:sz w:val="21"/>
          <w:szCs w:val="21"/>
          <w:lang w:val="en-US" w:eastAsia="zh-CN"/>
          <w14:ligatures w14:val="standardContextual"/>
        </w:rPr>
        <w:t xml:space="preserve"> </w:t>
      </w:r>
      <w:r>
        <w:rPr>
          <w:rFonts w:hint="eastAsia" w:ascii="黑体" w:hAnsi="黑体" w:eastAsia="黑体" w:cs="黑体"/>
          <w:b w:val="0"/>
          <w:bCs w:val="0"/>
          <w:sz w:val="21"/>
          <w:szCs w:val="21"/>
          <w14:ligatures w14:val="standardContextual"/>
        </w:rPr>
        <w:t>黏膜</w:t>
      </w:r>
    </w:p>
    <w:p w14:paraId="1F85480B">
      <w:pPr>
        <w:numPr>
          <w:ilvl w:val="-1"/>
          <w:numId w:val="0"/>
        </w:numPr>
        <w:spacing w:line="240" w:lineRule="auto"/>
        <w:ind w:left="0" w:firstLine="420" w:firstLineChars="200"/>
        <w:rPr>
          <w:rFonts w:hint="eastAsia"/>
          <w:b/>
          <w:bCs/>
          <w:sz w:val="21"/>
          <w:szCs w:val="21"/>
          <w14:ligatures w14:val="standardContextual"/>
        </w:rPr>
      </w:pPr>
      <w:r>
        <w:rPr>
          <w:rFonts w:hint="eastAsia"/>
          <w:sz w:val="21"/>
          <w:szCs w:val="21"/>
          <w14:ligatures w14:val="standardContextual"/>
        </w:rPr>
        <w:t>黏膜部位</w:t>
      </w:r>
      <w:r>
        <w:rPr>
          <w:rFonts w:hint="eastAsia"/>
          <w:sz w:val="21"/>
          <w:szCs w:val="21"/>
          <w:lang w:val="en-US" w:eastAsia="zh-CN"/>
          <w14:ligatures w14:val="standardContextual"/>
        </w:rPr>
        <w:t>宜</w:t>
      </w:r>
      <w:r>
        <w:rPr>
          <w:rFonts w:hint="eastAsia"/>
          <w:sz w:val="21"/>
          <w:szCs w:val="21"/>
          <w14:ligatures w14:val="standardContextual"/>
        </w:rPr>
        <w:t>选用靶向光疗设备，治疗时起始剂量应低于常规皮肤剂量，且递增须缓慢、谨慎。</w:t>
      </w:r>
    </w:p>
    <w:p w14:paraId="57298358">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27" w:name="_Toc226105570"/>
      <w:r>
        <w:rPr>
          <w:rFonts w:hint="eastAsia" w:ascii="黑体" w:hAnsi="黑体" w:eastAsia="黑体" w:cs="黑体"/>
          <w:sz w:val="21"/>
          <w:szCs w:val="21"/>
        </w:rPr>
        <w:t>家庭光疗</w:t>
      </w:r>
      <w:bookmarkEnd w:id="27"/>
    </w:p>
    <w:p w14:paraId="6EA0AD65">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家庭紫外线光疗患者筛选</w:t>
      </w:r>
    </w:p>
    <w:p w14:paraId="49FDF562">
      <w:pPr>
        <w:tabs>
          <w:tab w:val="left" w:pos="3510"/>
        </w:tabs>
        <w:ind w:firstLine="420" w:firstLineChars="200"/>
        <w:rPr>
          <w:rFonts w:hint="default" w:ascii="Times New Roman" w:hAnsi="Times New Roman" w:eastAsia="宋体" w:cs="Times New Roman"/>
          <w:sz w:val="21"/>
          <w:szCs w:val="21"/>
          <w:lang w:val="en-US" w:eastAsia="zh-CN"/>
        </w:rPr>
      </w:pPr>
      <w:bookmarkStart w:id="28" w:name="_Toc204108948"/>
      <w:r>
        <w:rPr>
          <w:rFonts w:hint="eastAsia" w:ascii="Times New Roman" w:hAnsi="Times New Roman" w:cs="Times New Roman"/>
          <w:sz w:val="21"/>
          <w:szCs w:val="21"/>
          <w:lang w:val="en-US" w:eastAsia="zh-CN"/>
        </w:rPr>
        <w:t>以下情况宜进行家庭光疗：</w:t>
      </w:r>
    </w:p>
    <w:p w14:paraId="2528E125">
      <w:pPr>
        <w:numPr>
          <w:ilvl w:val="0"/>
          <w:numId w:val="3"/>
        </w:numPr>
        <w:tabs>
          <w:tab w:val="left" w:pos="3510"/>
        </w:tabs>
        <w:ind w:left="958" w:leftChars="199" w:hanging="480" w:hangingChars="229"/>
        <w:rPr>
          <w:rFonts w:ascii="Times New Roman" w:hAnsi="Times New Roman" w:cs="Times New Roman"/>
          <w:sz w:val="21"/>
          <w:szCs w:val="21"/>
        </w:rPr>
      </w:pPr>
      <w:r>
        <w:rPr>
          <w:rFonts w:hint="eastAsia" w:ascii="Times New Roman" w:hAnsi="Times New Roman" w:cs="Times New Roman"/>
          <w:sz w:val="21"/>
          <w:szCs w:val="21"/>
        </w:rPr>
        <w:t xml:space="preserve"> 需长期接受311nm NB-UVB或308nm光疗而因交通/时间等原因难以坚持来院者；</w:t>
      </w:r>
      <w:bookmarkEnd w:id="28"/>
    </w:p>
    <w:p w14:paraId="2C52202F">
      <w:pPr>
        <w:tabs>
          <w:tab w:val="left" w:pos="3510"/>
        </w:tabs>
        <w:ind w:left="958" w:leftChars="199" w:hanging="480" w:hangingChars="229"/>
        <w:rPr>
          <w:rFonts w:ascii="Times New Roman" w:hAnsi="Times New Roman" w:cs="Times New Roman"/>
          <w:sz w:val="21"/>
          <w:szCs w:val="21"/>
        </w:rPr>
      </w:pPr>
      <w:bookmarkStart w:id="29" w:name="_Toc204108949"/>
      <w:r>
        <w:rPr>
          <w:rFonts w:hint="eastAsia" w:ascii="Times New Roman" w:hAnsi="Times New Roman" w:cs="Times New Roman"/>
          <w:sz w:val="21"/>
          <w:szCs w:val="21"/>
        </w:rPr>
        <w:t xml:space="preserve">b) </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已全面了解患者的现病史、既往史、体格检查、实验室检查及当前使用药物等信息，排除了紫外线光疗禁忌证</w:t>
      </w:r>
      <w:bookmarkEnd w:id="29"/>
      <w:r>
        <w:rPr>
          <w:rFonts w:hint="eastAsia" w:ascii="Times New Roman" w:hAnsi="Times New Roman" w:cs="Times New Roman"/>
          <w:sz w:val="21"/>
          <w:szCs w:val="21"/>
        </w:rPr>
        <w:t>。</w:t>
      </w:r>
    </w:p>
    <w:p w14:paraId="65A97972">
      <w:pPr>
        <w:tabs>
          <w:tab w:val="left" w:pos="3510"/>
        </w:tabs>
        <w:ind w:left="958" w:leftChars="199" w:hanging="480" w:hangingChars="229"/>
        <w:rPr>
          <w:rFonts w:ascii="Times New Roman" w:hAnsi="Times New Roman" w:cs="Times New Roman"/>
          <w:sz w:val="21"/>
          <w:szCs w:val="21"/>
        </w:rPr>
      </w:pPr>
      <w:r>
        <w:rPr>
          <w:rFonts w:hint="eastAsia" w:ascii="Times New Roman" w:hAnsi="Times New Roman" w:cs="Times New Roman"/>
          <w:sz w:val="21"/>
          <w:szCs w:val="21"/>
        </w:rPr>
        <w:t xml:space="preserve">c) </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经专业人员指导，能理解并掌握家用治疗设备的使用方法、注意事项，熟悉自身疾病的光疗方案及光照剂量的调整原则，曾经接受过医院内光疗更佳；</w:t>
      </w:r>
    </w:p>
    <w:p w14:paraId="31A50A78">
      <w:pPr>
        <w:tabs>
          <w:tab w:val="left" w:pos="3510"/>
        </w:tabs>
        <w:ind w:left="958" w:leftChars="199" w:hanging="480" w:hangingChars="229"/>
        <w:rPr>
          <w:rFonts w:ascii="Times New Roman" w:hAnsi="Times New Roman" w:cs="Times New Roman"/>
          <w:sz w:val="21"/>
          <w:szCs w:val="21"/>
        </w:rPr>
      </w:pPr>
      <w:r>
        <w:rPr>
          <w:rFonts w:hint="eastAsia" w:ascii="Times New Roman" w:hAnsi="Times New Roman" w:cs="Times New Roman"/>
          <w:sz w:val="21"/>
          <w:szCs w:val="21"/>
        </w:rPr>
        <w:t xml:space="preserve">d) </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依从性好，能定期随访；</w:t>
      </w:r>
    </w:p>
    <w:p w14:paraId="238F6155">
      <w:pPr>
        <w:tabs>
          <w:tab w:val="left" w:pos="3510"/>
        </w:tabs>
        <w:ind w:left="958" w:leftChars="199" w:hanging="480" w:hangingChars="229"/>
        <w:rPr>
          <w:rFonts w:ascii="Times New Roman" w:hAnsi="Times New Roman" w:cs="Times New Roman"/>
          <w:sz w:val="21"/>
          <w:szCs w:val="21"/>
        </w:rPr>
      </w:pPr>
      <w:r>
        <w:rPr>
          <w:rFonts w:hint="eastAsia" w:ascii="Times New Roman" w:hAnsi="Times New Roman" w:cs="Times New Roman"/>
          <w:sz w:val="21"/>
          <w:szCs w:val="21"/>
        </w:rPr>
        <w:t xml:space="preserve">e) </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愿意接受家庭紫外线光疗；</w:t>
      </w:r>
    </w:p>
    <w:p w14:paraId="4E95B526">
      <w:pPr>
        <w:tabs>
          <w:tab w:val="left" w:pos="3510"/>
        </w:tabs>
        <w:ind w:left="958" w:leftChars="199" w:hanging="480" w:hangingChars="229"/>
        <w:rPr>
          <w:rFonts w:hint="eastAsia" w:ascii="Times New Roman" w:hAnsi="Times New Roman" w:eastAsia="宋体" w:cs="Times New Roman"/>
          <w:sz w:val="21"/>
          <w:szCs w:val="21"/>
          <w:lang w:eastAsia="zh-CN"/>
        </w:rPr>
      </w:pPr>
      <w:r>
        <w:rPr>
          <w:rFonts w:hint="eastAsia" w:ascii="Times New Roman" w:hAnsi="Times New Roman" w:cs="Times New Roman"/>
          <w:sz w:val="21"/>
          <w:szCs w:val="21"/>
        </w:rPr>
        <w:t xml:space="preserve">f) </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若为儿童患者、认知障碍患者等特殊人群需经监护人同意并配合治疗</w:t>
      </w:r>
      <w:r>
        <w:rPr>
          <w:rFonts w:hint="eastAsia" w:ascii="Times New Roman" w:hAnsi="Times New Roman" w:cs="Times New Roman"/>
          <w:sz w:val="21"/>
          <w:szCs w:val="21"/>
          <w:lang w:eastAsia="zh-CN"/>
        </w:rPr>
        <w:t>。</w:t>
      </w:r>
    </w:p>
    <w:p w14:paraId="60534047">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家用紫外治疗设备的基本要求</w:t>
      </w:r>
    </w:p>
    <w:p w14:paraId="74D5DCF3">
      <w:pPr>
        <w:tabs>
          <w:tab w:val="left" w:pos="3510"/>
        </w:tabs>
        <w:ind w:firstLine="420" w:firstLineChars="200"/>
        <w:rPr>
          <w:rFonts w:ascii="Times New Roman" w:hAnsi="Times New Roman" w:cs="Times New Roman"/>
          <w:sz w:val="21"/>
          <w:szCs w:val="21"/>
        </w:rPr>
      </w:pPr>
      <w:r>
        <w:rPr>
          <w:rFonts w:hint="eastAsia" w:ascii="Times New Roman" w:hAnsi="Times New Roman" w:cs="Times New Roman"/>
          <w:sz w:val="21"/>
          <w:szCs w:val="21"/>
        </w:rPr>
        <w:t>设备</w:t>
      </w:r>
      <w:r>
        <w:rPr>
          <w:rFonts w:hint="eastAsia" w:ascii="Times New Roman" w:hAnsi="Times New Roman" w:cs="Times New Roman"/>
          <w:sz w:val="21"/>
          <w:szCs w:val="21"/>
          <w:lang w:val="en-US" w:eastAsia="zh-CN"/>
        </w:rPr>
        <w:t>应</w:t>
      </w:r>
      <w:r>
        <w:rPr>
          <w:rFonts w:hint="eastAsia" w:ascii="Times New Roman" w:hAnsi="Times New Roman" w:cs="Times New Roman"/>
          <w:sz w:val="21"/>
          <w:szCs w:val="21"/>
        </w:rPr>
        <w:t>具有中华人民共和国医疗器械注册证，且注册证及说明书中明确标注设备可在医生指导下供患者自行使用。</w:t>
      </w:r>
    </w:p>
    <w:p w14:paraId="0B121910">
      <w:pPr>
        <w:tabs>
          <w:tab w:val="left" w:pos="3510"/>
        </w:tabs>
        <w:ind w:firstLine="420" w:firstLineChars="200"/>
        <w:rPr>
          <w:rFonts w:hint="eastAsia" w:ascii="Times New Roman" w:hAnsi="Times New Roman" w:cs="Times New Roman"/>
          <w:sz w:val="21"/>
          <w:szCs w:val="21"/>
        </w:rPr>
      </w:pPr>
      <w:r>
        <w:rPr>
          <w:rFonts w:hint="eastAsia" w:ascii="Times New Roman" w:hAnsi="Times New Roman" w:cs="Times New Roman"/>
          <w:sz w:val="21"/>
          <w:szCs w:val="21"/>
        </w:rPr>
        <w:t>基本性能满足以下要求：</w:t>
      </w:r>
    </w:p>
    <w:p w14:paraId="45A0557F">
      <w:pPr>
        <w:tabs>
          <w:tab w:val="left" w:pos="3510"/>
        </w:tabs>
        <w:ind w:left="838" w:leftChars="174" w:hanging="420" w:hangingChars="200"/>
        <w:rPr>
          <w:rFonts w:hint="eastAsia" w:ascii="Times New Roman" w:hAnsi="Times New Roman" w:eastAsia="宋体" w:cs="Times New Roman"/>
          <w:sz w:val="21"/>
          <w:szCs w:val="21"/>
          <w:lang w:eastAsia="zh-CN"/>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NB-UVB 波段有效紫外线辐照强度最大应不大于 50 mW/cm</w:t>
      </w:r>
      <w:r>
        <w:rPr>
          <w:rFonts w:ascii="Times New Roman" w:hAnsi="Times New Roman" w:cs="Times New Roman"/>
          <w:sz w:val="21"/>
          <w:szCs w:val="21"/>
          <w:vertAlign w:val="superscript"/>
        </w:rPr>
        <w:t>2</w:t>
      </w:r>
      <w:r>
        <w:rPr>
          <w:rFonts w:hint="eastAsia" w:ascii="Times New Roman" w:hAnsi="Times New Roman" w:cs="Times New Roman"/>
          <w:sz w:val="21"/>
          <w:szCs w:val="21"/>
          <w:lang w:eastAsia="zh-CN"/>
        </w:rPr>
        <w:t>，</w:t>
      </w:r>
      <w:r>
        <w:rPr>
          <w:rFonts w:hint="eastAsia" w:ascii="Times New Roman" w:hAnsi="Times New Roman" w:cs="Times New Roman"/>
          <w:sz w:val="21"/>
          <w:szCs w:val="21"/>
        </w:rPr>
        <w:t>UVA1 波段有效紫外线辐照强度最大应不大于120 mW/cm</w:t>
      </w:r>
      <w:r>
        <w:rPr>
          <w:rFonts w:ascii="Times New Roman" w:hAnsi="Times New Roman" w:cs="Times New Roman"/>
          <w:sz w:val="21"/>
          <w:szCs w:val="21"/>
          <w:vertAlign w:val="superscript"/>
        </w:rPr>
        <w:t>2</w:t>
      </w:r>
      <w:r>
        <w:rPr>
          <w:rFonts w:hint="eastAsia" w:ascii="Times New Roman" w:hAnsi="Times New Roman" w:cs="Times New Roman"/>
          <w:sz w:val="21"/>
          <w:szCs w:val="21"/>
          <w:lang w:val="en-US" w:eastAsia="zh-CN"/>
        </w:rPr>
        <w:t>；</w:t>
      </w:r>
    </w:p>
    <w:p w14:paraId="27EAB98F">
      <w:pPr>
        <w:tabs>
          <w:tab w:val="left" w:pos="3510"/>
        </w:tabs>
        <w:ind w:left="838" w:leftChars="174" w:hanging="420" w:hangingChars="200"/>
        <w:rPr>
          <w:rFonts w:hint="eastAsia" w:ascii="Times New Roman" w:hAnsi="Times New Roman" w:eastAsia="宋体" w:cs="Times New Roman"/>
          <w:sz w:val="21"/>
          <w:szCs w:val="21"/>
          <w:lang w:eastAsia="zh-CN"/>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峰值波长为308nm时其误差不大于±2nm，峰值波长为311nm或365nm时其误差不大于±3nm</w:t>
      </w:r>
      <w:r>
        <w:rPr>
          <w:rFonts w:hint="eastAsia" w:ascii="Times New Roman" w:hAnsi="Times New Roman" w:cs="Times New Roman"/>
          <w:sz w:val="21"/>
          <w:szCs w:val="21"/>
          <w:lang w:val="en-US" w:eastAsia="zh-CN"/>
        </w:rPr>
        <w:t>；</w:t>
      </w:r>
    </w:p>
    <w:p w14:paraId="4B8A4B77">
      <w:pPr>
        <w:tabs>
          <w:tab w:val="left" w:pos="3510"/>
        </w:tabs>
        <w:ind w:left="838" w:leftChars="174" w:hanging="420" w:hanging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NB-UVB波段的半高宽误差不大于±2nm，UVA1波段的半高宽误差不大于±3 nm。</w:t>
      </w:r>
    </w:p>
    <w:p w14:paraId="137DF15F">
      <w:pPr>
        <w:tabs>
          <w:tab w:val="left" w:pos="3510"/>
        </w:tabs>
        <w:ind w:firstLine="420" w:firstLineChars="200"/>
        <w:rPr>
          <w:rFonts w:ascii="Times New Roman" w:hAnsi="Times New Roman" w:cs="Times New Roman"/>
          <w:sz w:val="21"/>
          <w:szCs w:val="21"/>
        </w:rPr>
      </w:pPr>
      <w:r>
        <w:rPr>
          <w:rFonts w:hint="eastAsia" w:ascii="Times New Roman" w:hAnsi="Times New Roman" w:cs="Times New Roman"/>
          <w:sz w:val="21"/>
          <w:szCs w:val="21"/>
        </w:rPr>
        <w:t>家用紫外治疗设备的安全性能应符合GB</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9706.1、GB</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9706.283、YY/T0901、YY</w:t>
      </w:r>
      <w:r>
        <w:rPr>
          <w:rFonts w:hint="eastAsia" w:ascii="Times New Roman" w:hAnsi="Times New Roman" w:cs="Times New Roman"/>
          <w:sz w:val="21"/>
          <w:szCs w:val="21"/>
          <w:lang w:val="en-US" w:eastAsia="zh-CN"/>
        </w:rPr>
        <w:t xml:space="preserve"> </w:t>
      </w:r>
      <w:r>
        <w:rPr>
          <w:rFonts w:hint="eastAsia" w:ascii="Times New Roman" w:hAnsi="Times New Roman" w:cs="Times New Roman"/>
          <w:sz w:val="21"/>
          <w:szCs w:val="21"/>
        </w:rPr>
        <w:t>9706.111的相关要求。</w:t>
      </w:r>
    </w:p>
    <w:p w14:paraId="3CA64B26">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 xml:space="preserve"> 家用紫外治疗设备的选择</w:t>
      </w:r>
    </w:p>
    <w:p w14:paraId="3CD4670C">
      <w:pPr>
        <w:tabs>
          <w:tab w:val="left" w:pos="3510"/>
        </w:tabs>
        <w:ind w:firstLine="420" w:firstLineChars="200"/>
        <w:rPr>
          <w:rFonts w:ascii="Times New Roman" w:hAnsi="Times New Roman" w:cs="Times New Roman"/>
          <w:sz w:val="21"/>
          <w:szCs w:val="21"/>
        </w:rPr>
      </w:pPr>
      <w:r>
        <w:rPr>
          <w:rFonts w:hint="eastAsia" w:ascii="Times New Roman" w:hAnsi="Times New Roman" w:cs="Times New Roman"/>
          <w:sz w:val="21"/>
          <w:szCs w:val="21"/>
        </w:rPr>
        <w:t>应根据皮损面积、皮损分布部位等，结合患者经济状况个体化选用不同治疗面积、光源和波长的设备。通常的方式为：先按皮损大小和部位选需要的辐照面积，再按患者可接受的成本选光源和峰值波长。具体</w:t>
      </w:r>
      <w:r>
        <w:rPr>
          <w:rFonts w:hint="eastAsia" w:ascii="Times New Roman" w:hAnsi="Times New Roman" w:cs="Times New Roman"/>
          <w:sz w:val="21"/>
          <w:szCs w:val="21"/>
          <w:lang w:val="en-US" w:eastAsia="zh-CN"/>
        </w:rPr>
        <w:t>按照</w:t>
      </w:r>
      <w:r>
        <w:rPr>
          <w:rFonts w:hint="eastAsia" w:ascii="Times New Roman" w:hAnsi="Times New Roman" w:cs="Times New Roman"/>
          <w:sz w:val="21"/>
          <w:szCs w:val="21"/>
        </w:rPr>
        <w:t>TCRHA 147</w:t>
      </w:r>
      <w:r>
        <w:rPr>
          <w:rFonts w:hint="eastAsia" w:ascii="Times New Roman" w:hAnsi="Times New Roman" w:cs="Times New Roman"/>
          <w:sz w:val="21"/>
          <w:szCs w:val="21"/>
          <w:lang w:val="en-US" w:eastAsia="zh-CN"/>
        </w:rPr>
        <w:t>的规定</w:t>
      </w:r>
      <w:r>
        <w:rPr>
          <w:rFonts w:hint="eastAsia" w:ascii="Times New Roman" w:hAnsi="Times New Roman" w:cs="Times New Roman"/>
          <w:sz w:val="21"/>
          <w:szCs w:val="21"/>
        </w:rPr>
        <w:t>。</w:t>
      </w:r>
    </w:p>
    <w:p w14:paraId="61A17485">
      <w:pPr>
        <w:numPr>
          <w:ilvl w:val="1"/>
          <w:numId w:val="1"/>
        </w:numPr>
        <w:adjustRightInd w:val="0"/>
        <w:snapToGrid w:val="0"/>
        <w:spacing w:before="156" w:beforeLines="50" w:after="156" w:afterLines="50"/>
        <w:rPr>
          <w:rFonts w:hint="eastAsia" w:ascii="黑体" w:hAnsi="黑体" w:eastAsia="黑体" w:cs="黑体"/>
          <w:sz w:val="21"/>
          <w:szCs w:val="21"/>
        </w:rPr>
      </w:pPr>
      <w:bookmarkStart w:id="30" w:name="_Hlk220400398"/>
      <w:r>
        <w:rPr>
          <w:rFonts w:hint="eastAsia" w:ascii="黑体" w:hAnsi="黑体" w:eastAsia="黑体" w:cs="黑体"/>
          <w:sz w:val="21"/>
          <w:szCs w:val="21"/>
        </w:rPr>
        <w:t>家庭紫外线光疗患者注意事项</w:t>
      </w:r>
      <w:bookmarkEnd w:id="30"/>
    </w:p>
    <w:p w14:paraId="09FFF633">
      <w:pPr>
        <w:tabs>
          <w:tab w:val="left" w:pos="3510"/>
        </w:tabs>
        <w:ind w:firstLine="420" w:firstLineChars="200"/>
        <w:rPr>
          <w:rFonts w:ascii="Times New Roman" w:hAnsi="Times New Roman" w:cs="Times New Roman"/>
          <w:sz w:val="21"/>
          <w:szCs w:val="21"/>
        </w:rPr>
      </w:pPr>
      <w:bookmarkStart w:id="31" w:name="_Hlk220446741"/>
      <w:r>
        <w:rPr>
          <w:rFonts w:hint="eastAsia" w:ascii="Times New Roman" w:hAnsi="Times New Roman" w:cs="Times New Roman"/>
          <w:sz w:val="21"/>
          <w:szCs w:val="21"/>
          <w:lang w:val="en-US" w:eastAsia="zh-CN"/>
        </w:rPr>
        <w:t>应</w:t>
      </w:r>
      <w:r>
        <w:rPr>
          <w:rFonts w:hint="eastAsia" w:ascii="Times New Roman" w:hAnsi="Times New Roman" w:cs="Times New Roman"/>
          <w:sz w:val="21"/>
          <w:szCs w:val="21"/>
        </w:rPr>
        <w:t>严格按照说明书正确使用家用紫外治疗设备。</w:t>
      </w:r>
      <w:r>
        <w:rPr>
          <w:rFonts w:ascii="Times New Roman" w:hAnsi="Times New Roman" w:cs="Times New Roman"/>
          <w:sz w:val="21"/>
          <w:szCs w:val="21"/>
        </w:rPr>
        <w:t>一般照射 15</w:t>
      </w:r>
      <w:r>
        <w:rPr>
          <w:rFonts w:hint="eastAsia" w:ascii="Times New Roman" w:hAnsi="Times New Roman" w:cs="Times New Roman"/>
          <w:sz w:val="21"/>
          <w:szCs w:val="21"/>
          <w:lang w:val="en-US" w:eastAsia="zh-CN"/>
        </w:rPr>
        <w:t>次</w:t>
      </w:r>
      <w:r>
        <w:rPr>
          <w:rFonts w:ascii="Times New Roman" w:hAnsi="Times New Roman" w:cs="Times New Roman"/>
          <w:sz w:val="21"/>
          <w:szCs w:val="21"/>
        </w:rPr>
        <w:t>~20 次后出现显著疗效</w:t>
      </w:r>
      <w:r>
        <w:rPr>
          <w:rFonts w:hint="eastAsia" w:ascii="Times New Roman" w:hAnsi="Times New Roman" w:cs="Times New Roman"/>
          <w:sz w:val="21"/>
          <w:szCs w:val="21"/>
        </w:rPr>
        <w:t>，</w:t>
      </w:r>
      <w:r>
        <w:rPr>
          <w:rFonts w:ascii="Times New Roman" w:hAnsi="Times New Roman" w:cs="Times New Roman"/>
          <w:sz w:val="21"/>
          <w:szCs w:val="21"/>
        </w:rPr>
        <w:t>30 次后如无明显改善，考虑改用其他治疗。治疗期间避免摄入光敏性药物和大量食用光敏性食物，常见光敏药物有磺胺类、降糖药、四环素类、灰黄霉素、水杨酸类、荆芥、防风、沙参、白芷、补骨脂等中西药;常见光敏性食物有葛苣、芹菜、芥菜、芒果、菠萝等</w:t>
      </w:r>
      <w:r>
        <w:rPr>
          <w:rFonts w:hint="eastAsia" w:ascii="Times New Roman" w:hAnsi="Times New Roman" w:cs="Times New Roman"/>
          <w:sz w:val="21"/>
          <w:szCs w:val="21"/>
        </w:rPr>
        <w:t>。</w:t>
      </w:r>
    </w:p>
    <w:p w14:paraId="3B94BAE0">
      <w:pPr>
        <w:tabs>
          <w:tab w:val="left" w:pos="3510"/>
        </w:tabs>
        <w:ind w:firstLine="420" w:firstLineChars="200"/>
        <w:rPr>
          <w:rFonts w:ascii="Times New Roman" w:hAnsi="Times New Roman" w:cs="Times New Roman"/>
          <w:sz w:val="21"/>
          <w:szCs w:val="21"/>
        </w:rPr>
      </w:pPr>
      <w:r>
        <w:rPr>
          <w:rFonts w:hint="eastAsia" w:ascii="Times New Roman" w:hAnsi="Times New Roman" w:cs="Times New Roman"/>
          <w:sz w:val="21"/>
          <w:szCs w:val="21"/>
        </w:rPr>
        <w:t>家庭光疗总体安全风险较低，但仍可能出现红斑、灼伤、水疱等不良反应，需通过规</w:t>
      </w:r>
      <w:bookmarkEnd w:id="31"/>
      <w:r>
        <w:rPr>
          <w:rFonts w:hint="eastAsia" w:ascii="Times New Roman" w:hAnsi="Times New Roman" w:cs="Times New Roman"/>
          <w:sz w:val="21"/>
          <w:szCs w:val="21"/>
        </w:rPr>
        <w:t>范培训、标准化剂量调整与随访评估加以防范。建议每4周复诊一次，复诊时进行病情与安全性评估并动态调整方案；当累积照射≥150次或发生中度及以上不良反应时应立即到医院随访并规律复诊。同时，鼓励患者规范记录治疗日期、部位、剂量与反应，以便评估与追踪。</w:t>
      </w:r>
    </w:p>
    <w:p w14:paraId="53D1EDA1">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32" w:name="_Toc226105571"/>
      <w:r>
        <w:rPr>
          <w:rFonts w:hint="eastAsia" w:ascii="黑体" w:hAnsi="黑体" w:eastAsia="黑体" w:cs="黑体"/>
          <w:sz w:val="21"/>
          <w:szCs w:val="21"/>
        </w:rPr>
        <w:t>随访管理规范</w:t>
      </w:r>
      <w:bookmarkEnd w:id="32"/>
    </w:p>
    <w:p w14:paraId="3796138E">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随访频率与时间节点</w:t>
      </w:r>
    </w:p>
    <w:p w14:paraId="1378EECD">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通过系统化随访实现对银屑病光疗全过程的动态管理，确保疗效评估、风险监测和依从性维持，促进标准化、可追溯的长期管理。</w:t>
      </w:r>
    </w:p>
    <w:p w14:paraId="216DFB80">
      <w:pPr>
        <w:adjustRightInd w:val="0"/>
        <w:snapToGrid w:val="0"/>
        <w:spacing w:before="156" w:beforeLines="50" w:after="156" w:afterLines="50"/>
        <w:ind w:left="838" w:leftChars="174" w:hanging="420" w:hanging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光疗初始阶段：每1</w:t>
      </w:r>
      <w:r>
        <w:rPr>
          <w:rFonts w:hint="eastAsia" w:ascii="Times New Roman" w:hAnsi="Times New Roman" w:cs="Times New Roman"/>
          <w:sz w:val="21"/>
          <w:szCs w:val="21"/>
          <w:lang w:val="en-US" w:eastAsia="zh-CN"/>
        </w:rPr>
        <w:t>周</w:t>
      </w:r>
      <w:r>
        <w:rPr>
          <w:rFonts w:hint="eastAsia" w:ascii="宋体" w:hAnsi="宋体" w:eastAsia="宋体" w:cs="宋体"/>
          <w:sz w:val="21"/>
          <w:szCs w:val="21"/>
        </w:rPr>
        <w:t>～</w:t>
      </w:r>
      <w:r>
        <w:rPr>
          <w:rFonts w:hint="eastAsia" w:ascii="Times New Roman" w:hAnsi="Times New Roman" w:cs="Times New Roman"/>
          <w:sz w:val="21"/>
          <w:szCs w:val="21"/>
        </w:rPr>
        <w:t>2周随访一次，关注急性不良反应、皮损改善情况及患者对治疗的适应性。</w:t>
      </w:r>
    </w:p>
    <w:p w14:paraId="13562CDA">
      <w:pPr>
        <w:adjustRightInd w:val="0"/>
        <w:snapToGrid w:val="0"/>
        <w:spacing w:before="156" w:beforeLines="50" w:after="156" w:afterLines="50"/>
        <w:ind w:left="838" w:leftChars="174" w:hanging="420" w:hanging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光疗稳定阶段：治疗4</w:t>
      </w:r>
      <w:r>
        <w:rPr>
          <w:rFonts w:hint="eastAsia" w:ascii="Times New Roman" w:hAnsi="Times New Roman" w:cs="Times New Roman"/>
          <w:sz w:val="21"/>
          <w:szCs w:val="21"/>
          <w:lang w:val="en-US" w:eastAsia="zh-CN"/>
        </w:rPr>
        <w:t>周</w:t>
      </w:r>
      <w:r>
        <w:rPr>
          <w:rFonts w:hint="eastAsia" w:ascii="宋体" w:hAnsi="宋体" w:eastAsia="宋体" w:cs="宋体"/>
          <w:sz w:val="21"/>
          <w:szCs w:val="21"/>
        </w:rPr>
        <w:t>～</w:t>
      </w:r>
      <w:r>
        <w:rPr>
          <w:rFonts w:hint="eastAsia" w:ascii="Times New Roman" w:hAnsi="Times New Roman" w:cs="Times New Roman"/>
          <w:sz w:val="21"/>
          <w:szCs w:val="21"/>
        </w:rPr>
        <w:t>12周内，建议每4周随访一次，记录疗效指标（PASI、PGA、BSA等），并调整剂量或频率。</w:t>
      </w:r>
    </w:p>
    <w:p w14:paraId="6C036861">
      <w:pPr>
        <w:adjustRightInd w:val="0"/>
        <w:snapToGrid w:val="0"/>
        <w:spacing w:before="156" w:beforeLines="50" w:after="156" w:afterLines="50"/>
        <w:ind w:left="838" w:leftChars="174" w:hanging="420" w:hanging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维持与长期管理阶段：疗程超过3个月者，应每8</w:t>
      </w:r>
      <w:r>
        <w:rPr>
          <w:rFonts w:hint="eastAsia" w:ascii="Times New Roman" w:hAnsi="Times New Roman" w:cs="Times New Roman"/>
          <w:sz w:val="21"/>
          <w:szCs w:val="21"/>
          <w:lang w:val="en-US" w:eastAsia="zh-CN"/>
        </w:rPr>
        <w:t>周</w:t>
      </w:r>
      <w:r>
        <w:rPr>
          <w:rFonts w:hint="eastAsia" w:ascii="宋体" w:hAnsi="宋体" w:eastAsia="宋体" w:cs="宋体"/>
          <w:sz w:val="21"/>
          <w:szCs w:val="21"/>
        </w:rPr>
        <w:t>～</w:t>
      </w:r>
      <w:r>
        <w:rPr>
          <w:rFonts w:hint="eastAsia" w:ascii="Times New Roman" w:hAnsi="Times New Roman" w:cs="Times New Roman"/>
          <w:sz w:val="21"/>
          <w:szCs w:val="21"/>
        </w:rPr>
        <w:t>12周随访一次，监测累计剂量和长期风险。</w:t>
      </w:r>
    </w:p>
    <w:p w14:paraId="59C8527D">
      <w:pPr>
        <w:adjustRightInd w:val="0"/>
        <w:snapToGrid w:val="0"/>
        <w:spacing w:before="156" w:beforeLines="50" w:after="156" w:afterLines="50"/>
        <w:ind w:left="838" w:leftChars="174" w:hanging="420" w:hangingChars="200"/>
        <w:rPr>
          <w:rFonts w:ascii="Times New Roman" w:hAnsi="Times New Roman" w:cs="Times New Roman"/>
          <w:sz w:val="21"/>
          <w:szCs w:val="21"/>
        </w:rPr>
      </w:pPr>
      <w:r>
        <w:rPr>
          <w:rFonts w:hint="eastAsia" w:ascii="Times New Roman" w:hAnsi="Times New Roman" w:cs="Times New Roman"/>
          <w:sz w:val="21"/>
          <w:szCs w:val="21"/>
          <w:lang w:eastAsia="zh-CN"/>
        </w:rPr>
        <w:t>——</w:t>
      </w:r>
      <w:r>
        <w:rPr>
          <w:rFonts w:hint="eastAsia" w:ascii="Times New Roman" w:hAnsi="Times New Roman" w:cs="Times New Roman"/>
          <w:sz w:val="21"/>
          <w:szCs w:val="21"/>
        </w:rPr>
        <w:t>停止治疗及复发监测：停止治疗后3</w:t>
      </w:r>
      <w:r>
        <w:rPr>
          <w:rFonts w:hint="eastAsia" w:ascii="Times New Roman" w:hAnsi="Times New Roman" w:cs="Times New Roman"/>
          <w:sz w:val="21"/>
          <w:szCs w:val="21"/>
          <w:lang w:val="en-US" w:eastAsia="zh-CN"/>
        </w:rPr>
        <w:t>个月</w:t>
      </w:r>
      <w:r>
        <w:rPr>
          <w:rFonts w:hint="eastAsia" w:ascii="Times New Roman" w:hAnsi="Times New Roman" w:cs="Times New Roman"/>
          <w:sz w:val="21"/>
          <w:szCs w:val="21"/>
        </w:rPr>
        <w:t>、6</w:t>
      </w:r>
      <w:r>
        <w:rPr>
          <w:rFonts w:hint="eastAsia" w:ascii="Times New Roman" w:hAnsi="Times New Roman" w:cs="Times New Roman"/>
          <w:sz w:val="21"/>
          <w:szCs w:val="21"/>
          <w:lang w:val="en-US" w:eastAsia="zh-CN"/>
        </w:rPr>
        <w:t>个月</w:t>
      </w:r>
      <w:r>
        <w:rPr>
          <w:rFonts w:hint="eastAsia" w:ascii="Times New Roman" w:hAnsi="Times New Roman" w:cs="Times New Roman"/>
          <w:sz w:val="21"/>
          <w:szCs w:val="21"/>
        </w:rPr>
        <w:t>、12个月随访一次，记录复发情况，必要时启动二次光疗或其他治疗。</w:t>
      </w:r>
    </w:p>
    <w:p w14:paraId="75116BFC">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随访内容</w:t>
      </w:r>
    </w:p>
    <w:p w14:paraId="7F6471F1">
      <w:pPr>
        <w:numPr>
          <w:ilvl w:val="2"/>
          <w:numId w:val="1"/>
        </w:numPr>
        <w:adjustRightInd w:val="0"/>
        <w:snapToGrid w:val="0"/>
        <w:spacing w:before="156" w:beforeLines="50" w:after="156" w:afterLines="50"/>
        <w:ind w:left="720" w:hanging="720" w:firstLineChars="0"/>
        <w:rPr>
          <w:rFonts w:hint="eastAsia" w:ascii="Times New Roman" w:hAnsi="Times New Roman" w:cs="Times New Roman"/>
          <w:sz w:val="21"/>
          <w:szCs w:val="21"/>
        </w:rPr>
      </w:pPr>
      <w:r>
        <w:rPr>
          <w:rFonts w:hint="eastAsia" w:ascii="黑体" w:hAnsi="黑体" w:eastAsia="黑体" w:cs="黑体"/>
          <w:sz w:val="21"/>
          <w:szCs w:val="21"/>
          <w:lang w:val="en-US" w:eastAsia="zh-CN"/>
        </w:rPr>
        <w:t xml:space="preserve"> </w:t>
      </w:r>
      <w:r>
        <w:rPr>
          <w:rFonts w:hint="eastAsia" w:ascii="黑体" w:hAnsi="黑体" w:eastAsia="黑体" w:cs="黑体"/>
          <w:sz w:val="21"/>
          <w:szCs w:val="21"/>
        </w:rPr>
        <w:t>疗效评估</w:t>
      </w:r>
    </w:p>
    <w:p w14:paraId="386895F0">
      <w:pPr>
        <w:numPr>
          <w:ilvl w:val="-1"/>
          <w:numId w:val="0"/>
        </w:numPr>
        <w:adjustRightInd w:val="0"/>
        <w:snapToGrid w:val="0"/>
        <w:spacing w:before="156" w:beforeLines="50" w:after="156" w:afterLines="50"/>
        <w:ind w:left="0" w:firstLine="420" w:firstLineChars="200"/>
        <w:rPr>
          <w:rFonts w:ascii="Times New Roman" w:hAnsi="Times New Roman" w:cs="Times New Roman"/>
          <w:sz w:val="21"/>
          <w:szCs w:val="21"/>
        </w:rPr>
      </w:pPr>
      <w:r>
        <w:rPr>
          <w:rFonts w:hint="eastAsia" w:ascii="Times New Roman" w:hAnsi="Times New Roman" w:cs="Times New Roman"/>
          <w:sz w:val="21"/>
          <w:szCs w:val="21"/>
        </w:rPr>
        <w:t>光疗疗效的评估应在治疗的各个阶段进行，以确保治疗方案的有效性，并根据患者的反应调整治疗策略。点滴型和斑块状银屑病的最低可接受治疗目标为PASI 50，即皮损严重程度改善50%。对于斑块状银屑病，推荐治疗目标为PASI 75。对于点滴型银屑病，推荐治疗目标为PASI 90。</w:t>
      </w:r>
    </w:p>
    <w:p w14:paraId="54A917A6">
      <w:pPr>
        <w:numPr>
          <w:ilvl w:val="2"/>
          <w:numId w:val="1"/>
        </w:numPr>
        <w:adjustRightInd w:val="0"/>
        <w:snapToGrid w:val="0"/>
        <w:spacing w:before="156" w:beforeLines="50" w:after="156" w:afterLines="50"/>
        <w:ind w:left="720" w:hanging="720" w:firstLineChars="0"/>
        <w:rPr>
          <w:rFonts w:hint="eastAsia" w:ascii="Times New Roman" w:hAnsi="Times New Roman" w:cs="Times New Roman"/>
          <w:sz w:val="21"/>
          <w:szCs w:val="21"/>
        </w:rPr>
      </w:pPr>
      <w:r>
        <w:rPr>
          <w:rFonts w:hint="eastAsia" w:ascii="黑体" w:hAnsi="黑体" w:eastAsia="黑体" w:cs="黑体"/>
          <w:sz w:val="21"/>
          <w:szCs w:val="21"/>
          <w:lang w:val="en-US" w:eastAsia="zh-CN"/>
        </w:rPr>
        <w:t xml:space="preserve"> </w:t>
      </w:r>
      <w:r>
        <w:rPr>
          <w:rFonts w:hint="eastAsia" w:ascii="黑体" w:hAnsi="黑体" w:eastAsia="黑体" w:cs="黑体"/>
          <w:sz w:val="21"/>
          <w:szCs w:val="21"/>
        </w:rPr>
        <w:t>安全性评估</w:t>
      </w:r>
    </w:p>
    <w:p w14:paraId="1F4CE78A">
      <w:pPr>
        <w:numPr>
          <w:ilvl w:val="-1"/>
          <w:numId w:val="0"/>
        </w:numPr>
        <w:adjustRightInd w:val="0"/>
        <w:snapToGrid w:val="0"/>
        <w:spacing w:before="156" w:beforeLines="50" w:after="156" w:afterLines="50"/>
        <w:ind w:left="0" w:firstLine="420" w:firstLineChars="200"/>
        <w:rPr>
          <w:rFonts w:ascii="Times New Roman" w:hAnsi="Times New Roman" w:cs="Times New Roman"/>
          <w:sz w:val="21"/>
          <w:szCs w:val="21"/>
        </w:rPr>
      </w:pPr>
      <w:r>
        <w:rPr>
          <w:rFonts w:hint="eastAsia" w:ascii="Times New Roman" w:hAnsi="Times New Roman" w:cs="Times New Roman"/>
          <w:sz w:val="21"/>
          <w:szCs w:val="21"/>
        </w:rPr>
        <w:t>光疗通常被认为安全性较高，但仍可能出现短期与长期不良反应，</w:t>
      </w:r>
      <w:r>
        <w:rPr>
          <w:rFonts w:hint="eastAsia" w:ascii="Times New Roman" w:hAnsi="Times New Roman" w:cs="Times New Roman"/>
          <w:sz w:val="21"/>
          <w:szCs w:val="21"/>
          <w:lang w:val="en-US" w:eastAsia="zh-CN"/>
        </w:rPr>
        <w:t>应</w:t>
      </w:r>
      <w:r>
        <w:rPr>
          <w:rFonts w:hint="eastAsia" w:ascii="Times New Roman" w:hAnsi="Times New Roman" w:cs="Times New Roman"/>
          <w:sz w:val="21"/>
          <w:szCs w:val="21"/>
        </w:rPr>
        <w:t>在每次随访中仔细评估和记录。</w:t>
      </w:r>
    </w:p>
    <w:p w14:paraId="645B5A52">
      <w:pPr>
        <w:keepNext/>
        <w:keepLines/>
        <w:numPr>
          <w:ilvl w:val="0"/>
          <w:numId w:val="1"/>
        </w:numPr>
        <w:adjustRightInd w:val="0"/>
        <w:snapToGrid w:val="0"/>
        <w:spacing w:before="312" w:beforeLines="100" w:after="312" w:afterLines="100"/>
        <w:outlineLvl w:val="2"/>
        <w:rPr>
          <w:rFonts w:hint="eastAsia" w:ascii="黑体" w:hAnsi="黑体" w:eastAsia="黑体" w:cs="黑体"/>
          <w:sz w:val="21"/>
          <w:szCs w:val="21"/>
        </w:rPr>
      </w:pPr>
      <w:bookmarkStart w:id="33" w:name="_Toc226105572"/>
      <w:r>
        <w:rPr>
          <w:rFonts w:hint="eastAsia" w:ascii="黑体" w:hAnsi="黑体" w:eastAsia="黑体" w:cs="黑体"/>
          <w:sz w:val="21"/>
          <w:szCs w:val="21"/>
        </w:rPr>
        <w:t>标准化数据采集</w:t>
      </w:r>
      <w:bookmarkEnd w:id="33"/>
    </w:p>
    <w:p w14:paraId="1FA4D6AE">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初诊患者数据采集</w:t>
      </w:r>
    </w:p>
    <w:p w14:paraId="11CC915A">
      <w:pPr>
        <w:adjustRightInd w:val="0"/>
        <w:snapToGrid w:val="0"/>
        <w:spacing w:before="156" w:beforeLines="50" w:after="156" w:afterLines="50"/>
        <w:ind w:firstLine="0" w:firstLineChars="0"/>
        <w:rPr>
          <w:rFonts w:hint="eastAsia" w:ascii="黑体" w:hAnsi="黑体" w:eastAsia="黑体" w:cs="黑体"/>
          <w:sz w:val="21"/>
          <w:szCs w:val="21"/>
        </w:rPr>
      </w:pPr>
      <w:r>
        <w:rPr>
          <w:rFonts w:hint="eastAsia" w:ascii="黑体" w:hAnsi="黑体" w:eastAsia="黑体" w:cs="黑体"/>
          <w:sz w:val="21"/>
          <w:szCs w:val="21"/>
        </w:rPr>
        <w:t>10.1.1 基础信息</w:t>
      </w:r>
    </w:p>
    <w:p w14:paraId="6FF0EFC0">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人口学特征包括出生日期、性别、身高、体重、腰臀围、血压、心率等生命体征信息。</w:t>
      </w:r>
    </w:p>
    <w:p w14:paraId="092A9296">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生活方式相关信息</w:t>
      </w:r>
      <w:r>
        <w:rPr>
          <w:rFonts w:hint="eastAsia" w:ascii="Times New Roman" w:hAnsi="Times New Roman" w:cs="Times New Roman"/>
          <w:sz w:val="21"/>
          <w:szCs w:val="21"/>
          <w:lang w:val="en-US" w:eastAsia="zh-CN"/>
        </w:rPr>
        <w:t>包括</w:t>
      </w:r>
      <w:r>
        <w:rPr>
          <w:rFonts w:hint="eastAsia" w:ascii="Times New Roman" w:hAnsi="Times New Roman" w:cs="Times New Roman"/>
          <w:sz w:val="21"/>
          <w:szCs w:val="21"/>
        </w:rPr>
        <w:t>吸烟史、饮酒史，是否使用光敏药物和食物。</w:t>
      </w:r>
    </w:p>
    <w:p w14:paraId="41464575">
      <w:pPr>
        <w:adjustRightInd w:val="0"/>
        <w:snapToGrid w:val="0"/>
        <w:spacing w:before="156" w:beforeLines="50" w:after="156" w:afterLines="50"/>
        <w:ind w:firstLine="0" w:firstLineChars="0"/>
        <w:rPr>
          <w:rFonts w:hint="eastAsia" w:ascii="黑体" w:hAnsi="黑体" w:eastAsia="黑体" w:cs="黑体"/>
          <w:sz w:val="21"/>
          <w:szCs w:val="21"/>
        </w:rPr>
      </w:pPr>
      <w:r>
        <w:rPr>
          <w:rFonts w:hint="eastAsia" w:ascii="黑体" w:hAnsi="黑体" w:eastAsia="黑体" w:cs="黑体"/>
          <w:sz w:val="21"/>
          <w:szCs w:val="21"/>
        </w:rPr>
        <w:t>10.1.2疾病史</w:t>
      </w:r>
    </w:p>
    <w:p w14:paraId="3FE35F7D">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首次诊断日期、初发部位、诱发因素（感染、药物、精神应激等），以及病程特点（好发季节、加重原因）；详细记录既往外用药、光疗、系统传统药物、生物制剂及小分子靶向药的使用情况及累计时长；直系亲属是否罹患银屑病，具体亲属关系（父母、兄弟姐妹、子女等）。</w:t>
      </w:r>
    </w:p>
    <w:p w14:paraId="10D30AEA">
      <w:pPr>
        <w:adjustRightInd w:val="0"/>
        <w:snapToGrid w:val="0"/>
        <w:spacing w:before="156" w:beforeLines="50" w:after="156" w:afterLines="50"/>
        <w:ind w:firstLine="0" w:firstLineChars="0"/>
        <w:rPr>
          <w:rFonts w:hint="eastAsia" w:ascii="黑体" w:hAnsi="黑体" w:eastAsia="黑体" w:cs="黑体"/>
          <w:sz w:val="21"/>
          <w:szCs w:val="21"/>
        </w:rPr>
      </w:pPr>
      <w:r>
        <w:rPr>
          <w:rFonts w:hint="eastAsia" w:ascii="黑体" w:hAnsi="黑体" w:eastAsia="黑体" w:cs="黑体"/>
          <w:sz w:val="21"/>
          <w:szCs w:val="21"/>
        </w:rPr>
        <w:t>10.1.3 共病评估</w:t>
      </w:r>
    </w:p>
    <w:p w14:paraId="0B5677F2">
      <w:pPr>
        <w:adjustRightInd w:val="0"/>
        <w:snapToGrid w:val="0"/>
        <w:spacing w:before="156" w:beforeLines="50" w:after="156" w:afterLines="50"/>
        <w:ind w:firstLine="420" w:firstLineChars="200"/>
        <w:rPr>
          <w:rFonts w:ascii="Times New Roman" w:hAnsi="Times New Roman" w:cs="Times New Roman"/>
          <w:sz w:val="21"/>
          <w:szCs w:val="21"/>
        </w:rPr>
      </w:pPr>
      <w:r>
        <w:rPr>
          <w:rFonts w:ascii="Times New Roman" w:hAnsi="Times New Roman" w:cs="Times New Roman"/>
          <w:sz w:val="21"/>
          <w:szCs w:val="21"/>
        </w:rPr>
        <w:t>代谢性与心血管共病：</w:t>
      </w:r>
      <w:r>
        <w:rPr>
          <w:rFonts w:hint="eastAsia" w:ascii="Times New Roman" w:hAnsi="Times New Roman" w:cs="Times New Roman"/>
          <w:sz w:val="21"/>
          <w:szCs w:val="21"/>
        </w:rPr>
        <w:t>肥胖、</w:t>
      </w:r>
      <w:r>
        <w:rPr>
          <w:rFonts w:ascii="Times New Roman" w:hAnsi="Times New Roman" w:cs="Times New Roman"/>
          <w:sz w:val="21"/>
          <w:szCs w:val="21"/>
        </w:rPr>
        <w:t>高血压、糖尿病、</w:t>
      </w:r>
      <w:r>
        <w:rPr>
          <w:rFonts w:hint="eastAsia" w:ascii="Times New Roman" w:hAnsi="Times New Roman" w:cs="Times New Roman"/>
          <w:sz w:val="21"/>
          <w:szCs w:val="21"/>
        </w:rPr>
        <w:t>代谢综合征</w:t>
      </w:r>
      <w:r>
        <w:rPr>
          <w:rFonts w:ascii="Times New Roman" w:hAnsi="Times New Roman" w:cs="Times New Roman"/>
          <w:sz w:val="21"/>
          <w:szCs w:val="21"/>
        </w:rPr>
        <w:t>、</w:t>
      </w:r>
      <w:r>
        <w:rPr>
          <w:rFonts w:hint="eastAsia" w:ascii="Times New Roman" w:hAnsi="Times New Roman" w:cs="Times New Roman"/>
          <w:sz w:val="21"/>
          <w:szCs w:val="21"/>
        </w:rPr>
        <w:t>非酒精性</w:t>
      </w:r>
      <w:r>
        <w:rPr>
          <w:rFonts w:ascii="Times New Roman" w:hAnsi="Times New Roman" w:cs="Times New Roman"/>
          <w:sz w:val="21"/>
          <w:szCs w:val="21"/>
        </w:rPr>
        <w:t>脂肪肝、</w:t>
      </w:r>
      <w:r>
        <w:rPr>
          <w:rFonts w:hint="eastAsia" w:ascii="Times New Roman" w:hAnsi="Times New Roman" w:cs="Times New Roman"/>
          <w:sz w:val="21"/>
          <w:szCs w:val="21"/>
        </w:rPr>
        <w:t>动脉粥样硬化</w:t>
      </w:r>
      <w:r>
        <w:rPr>
          <w:rFonts w:ascii="Times New Roman" w:hAnsi="Times New Roman" w:cs="Times New Roman"/>
          <w:sz w:val="21"/>
          <w:szCs w:val="21"/>
        </w:rPr>
        <w:t>、心肌梗死、脑卒中等。</w:t>
      </w:r>
    </w:p>
    <w:p w14:paraId="0F443697">
      <w:pPr>
        <w:adjustRightInd w:val="0"/>
        <w:snapToGrid w:val="0"/>
        <w:spacing w:before="156" w:beforeLines="50" w:after="156" w:afterLines="50"/>
        <w:ind w:firstLine="420" w:firstLineChars="200"/>
        <w:rPr>
          <w:rFonts w:ascii="Times New Roman" w:hAnsi="Times New Roman" w:cs="Times New Roman"/>
          <w:sz w:val="21"/>
          <w:szCs w:val="21"/>
        </w:rPr>
      </w:pPr>
      <w:r>
        <w:rPr>
          <w:rFonts w:ascii="Times New Roman" w:hAnsi="Times New Roman" w:cs="Times New Roman"/>
          <w:sz w:val="21"/>
          <w:szCs w:val="21"/>
        </w:rPr>
        <w:t>免疫共病：炎症性肠病、葡萄膜炎</w:t>
      </w:r>
      <w:r>
        <w:rPr>
          <w:rFonts w:hint="eastAsia" w:ascii="Times New Roman" w:hAnsi="Times New Roman" w:cs="Times New Roman"/>
          <w:sz w:val="21"/>
          <w:szCs w:val="21"/>
        </w:rPr>
        <w:t>、多发性硬化等</w:t>
      </w:r>
      <w:r>
        <w:rPr>
          <w:rFonts w:ascii="Times New Roman" w:hAnsi="Times New Roman" w:cs="Times New Roman"/>
          <w:sz w:val="21"/>
          <w:szCs w:val="21"/>
        </w:rPr>
        <w:t>。</w:t>
      </w:r>
    </w:p>
    <w:p w14:paraId="46EEF0C2">
      <w:pPr>
        <w:adjustRightInd w:val="0"/>
        <w:snapToGrid w:val="0"/>
        <w:spacing w:before="156" w:beforeLines="50" w:after="156" w:afterLines="50"/>
        <w:ind w:firstLine="420" w:firstLineChars="200"/>
        <w:rPr>
          <w:rFonts w:ascii="Times New Roman" w:hAnsi="Times New Roman" w:cs="Times New Roman"/>
          <w:sz w:val="21"/>
          <w:szCs w:val="21"/>
        </w:rPr>
      </w:pPr>
      <w:r>
        <w:rPr>
          <w:rFonts w:ascii="Times New Roman" w:hAnsi="Times New Roman" w:cs="Times New Roman"/>
          <w:sz w:val="21"/>
          <w:szCs w:val="21"/>
        </w:rPr>
        <w:t>精神心理共病：焦虑症、抑郁症等</w:t>
      </w:r>
      <w:r>
        <w:rPr>
          <w:rFonts w:hint="eastAsia" w:ascii="Times New Roman" w:hAnsi="Times New Roman" w:cs="Times New Roman"/>
          <w:sz w:val="21"/>
          <w:szCs w:val="21"/>
        </w:rPr>
        <w:t>。</w:t>
      </w:r>
    </w:p>
    <w:p w14:paraId="57971B44">
      <w:pPr>
        <w:adjustRightInd w:val="0"/>
        <w:snapToGrid w:val="0"/>
        <w:spacing w:before="156" w:beforeLines="50" w:after="156" w:afterLines="50"/>
        <w:ind w:firstLine="0" w:firstLineChars="0"/>
        <w:rPr>
          <w:rFonts w:hint="eastAsia" w:ascii="黑体" w:hAnsi="黑体" w:eastAsia="黑体" w:cs="黑体"/>
          <w:sz w:val="21"/>
          <w:szCs w:val="21"/>
        </w:rPr>
      </w:pPr>
      <w:r>
        <w:rPr>
          <w:rFonts w:hint="eastAsia" w:ascii="黑体" w:hAnsi="黑体" w:eastAsia="黑体" w:cs="黑体"/>
          <w:sz w:val="21"/>
          <w:szCs w:val="21"/>
        </w:rPr>
        <w:t>10.1.4 临床严重程度评估</w:t>
      </w:r>
    </w:p>
    <w:p w14:paraId="5AFDE2E8">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皮损评估：BSA、PASI、PGA。</w:t>
      </w:r>
    </w:p>
    <w:p w14:paraId="58F6CB00">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生活质量量表: DLQI，评估过去一周疾病对日常生活、学习、工作及社会关系的影响。</w:t>
      </w:r>
    </w:p>
    <w:p w14:paraId="0ED6AE59">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特殊部位受累情况：包括头皮、甲、掌跖、生殖器等部位，需特别标注（见附录B）。</w:t>
      </w:r>
    </w:p>
    <w:p w14:paraId="5CEB3CA9">
      <w:pPr>
        <w:numPr>
          <w:ilvl w:val="1"/>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复诊患者数据采集</w:t>
      </w:r>
    </w:p>
    <w:p w14:paraId="4782FF4D">
      <w:pPr>
        <w:numPr>
          <w:ilvl w:val="2"/>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治疗记录</w:t>
      </w:r>
    </w:p>
    <w:p w14:paraId="078919FF">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记录本次随访期间的光疗治疗情况，包括剂量（最后剂量，本次剂量）、频率、次数、疗程及是否合并其他治疗（如外用药物及系统药物）。</w:t>
      </w:r>
    </w:p>
    <w:p w14:paraId="31B70A21">
      <w:pPr>
        <w:numPr>
          <w:ilvl w:val="2"/>
          <w:numId w:val="1"/>
        </w:numPr>
        <w:adjustRightInd w:val="0"/>
        <w:snapToGrid w:val="0"/>
        <w:spacing w:before="156" w:beforeLines="50" w:after="156" w:afterLines="50"/>
        <w:rPr>
          <w:rFonts w:hint="eastAsia" w:ascii="黑体" w:hAnsi="黑体" w:eastAsia="黑体" w:cs="黑体"/>
          <w:sz w:val="21"/>
          <w:szCs w:val="21"/>
        </w:rPr>
      </w:pPr>
      <w:bookmarkStart w:id="34" w:name="_Hlk220486636"/>
      <w:r>
        <w:rPr>
          <w:rFonts w:ascii="黑体" w:hAnsi="黑体" w:eastAsia="黑体" w:cs="黑体"/>
          <w:sz w:val="21"/>
          <w:szCs w:val="21"/>
        </w:rPr>
        <w:t>一般情况与生命体征</w:t>
      </w:r>
    </w:p>
    <w:bookmarkEnd w:id="34"/>
    <w:p w14:paraId="560C5A32">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基本记录：复诊日期、访视间隔、治疗方案是否调整（包括光疗方案变更与药物转换）。</w:t>
      </w:r>
    </w:p>
    <w:p w14:paraId="32ED1192">
      <w:pPr>
        <w:adjustRightInd w:val="0"/>
        <w:snapToGrid w:val="0"/>
        <w:spacing w:before="156" w:beforeLines="50" w:after="156" w:afterLines="50"/>
        <w:ind w:firstLine="420" w:firstLineChars="200"/>
        <w:rPr>
          <w:rFonts w:ascii="Times New Roman" w:hAnsi="Times New Roman" w:cs="Times New Roman"/>
          <w:sz w:val="21"/>
          <w:szCs w:val="21"/>
        </w:rPr>
      </w:pPr>
      <w:r>
        <w:rPr>
          <w:rFonts w:hint="eastAsia" w:ascii="Times New Roman" w:hAnsi="Times New Roman" w:cs="Times New Roman"/>
          <w:sz w:val="21"/>
          <w:szCs w:val="21"/>
        </w:rPr>
        <w:t>体征监测：血压（收缩压、舒张压）、心率、体重、腰围和臀围等。</w:t>
      </w:r>
    </w:p>
    <w:p w14:paraId="4BC7ECF9">
      <w:pPr>
        <w:numPr>
          <w:ilvl w:val="2"/>
          <w:numId w:val="1"/>
        </w:numPr>
        <w:adjustRightInd w:val="0"/>
        <w:snapToGrid w:val="0"/>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疗效与安全性监测</w:t>
      </w:r>
    </w:p>
    <w:p w14:paraId="4FDAEB9E">
      <w:pPr>
        <w:adjustRightInd w:val="0"/>
        <w:snapToGrid w:val="0"/>
        <w:spacing w:before="156" w:beforeLines="50" w:after="156" w:afterLines="50"/>
        <w:rPr>
          <w:rFonts w:hint="eastAsia" w:cs="黑体"/>
          <w:sz w:val="21"/>
          <w:szCs w:val="21"/>
        </w:rPr>
      </w:pPr>
      <w:r>
        <w:rPr>
          <w:rFonts w:hint="eastAsia" w:cs="黑体"/>
          <w:sz w:val="21"/>
          <w:szCs w:val="21"/>
        </w:rPr>
        <w:t xml:space="preserve">    在治疗过程中，评估应包括皮损的减轻程度、患者的症状缓解情况，并记录患者主观感受（如瘙痒、灼热感等）及不良反应的发生。根据疗效评估和安全性评估的结果，光疗方案应进行动态调整，确保患者获得最佳治疗效果</w:t>
      </w:r>
      <w:r>
        <w:rPr>
          <w:rFonts w:hint="eastAsia" w:ascii="Times New Roman" w:hAnsi="Times New Roman" w:cs="Times New Roman"/>
          <w:sz w:val="21"/>
          <w:szCs w:val="21"/>
        </w:rPr>
        <w:t>（见附录C）</w:t>
      </w:r>
      <w:r>
        <w:rPr>
          <w:rFonts w:hint="eastAsia" w:cs="黑体"/>
          <w:sz w:val="21"/>
          <w:szCs w:val="21"/>
        </w:rPr>
        <w:t>。</w:t>
      </w:r>
    </w:p>
    <w:p w14:paraId="1C8DDA1A">
      <w:pPr>
        <w:ind w:firstLine="480" w:firstLineChars="200"/>
        <w:rPr>
          <w:rFonts w:ascii="Times New Roman" w:hAnsi="Times New Roman" w:cs="Times New Roman"/>
          <w:szCs w:val="18"/>
        </w:rPr>
      </w:pPr>
    </w:p>
    <w:p w14:paraId="08F4D8C9">
      <w:pPr>
        <w:rPr>
          <w:rFonts w:hint="eastAsia" w:cs="Times New Roman"/>
          <w:szCs w:val="21"/>
        </w:rPr>
        <w:sectPr>
          <w:footerReference r:id="rId8" w:type="default"/>
          <w:pgSz w:w="11906" w:h="16838"/>
          <w:pgMar w:top="1440" w:right="1800" w:bottom="1440" w:left="1800" w:header="851" w:footer="992" w:gutter="0"/>
          <w:pgNumType w:start="1"/>
          <w:cols w:space="425" w:num="1"/>
          <w:docGrid w:type="lines" w:linePitch="312" w:charSpace="0"/>
        </w:sectPr>
      </w:pPr>
      <w:r>
        <w:br w:type="page"/>
      </w:r>
    </w:p>
    <w:p w14:paraId="342D597B">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35" w:name="_Toc226105573"/>
      <w:bookmarkStart w:id="36" w:name="_Toc14442"/>
      <w:r>
        <w:rPr>
          <w:rFonts w:hint="eastAsia" w:ascii="Times New Roman" w:hAnsi="Times New Roman" w:eastAsia="黑体" w:cs="Times New Roman"/>
          <w:b w:val="0"/>
          <w:bCs w:val="0"/>
          <w:sz w:val="21"/>
          <w:szCs w:val="22"/>
        </w:rPr>
        <w:t>附 录 A</w:t>
      </w:r>
      <w:bookmarkEnd w:id="35"/>
    </w:p>
    <w:p w14:paraId="4ACEA1F1">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37" w:name="_Toc226105574"/>
      <w:bookmarkStart w:id="38" w:name="_Toc224237221"/>
      <w:r>
        <w:rPr>
          <w:rFonts w:hint="eastAsia" w:ascii="Times New Roman" w:hAnsi="Times New Roman" w:eastAsia="黑体" w:cs="Times New Roman"/>
          <w:b w:val="0"/>
          <w:bCs w:val="0"/>
          <w:sz w:val="21"/>
          <w:szCs w:val="22"/>
        </w:rPr>
        <w:t>（资料性）</w:t>
      </w:r>
      <w:bookmarkEnd w:id="37"/>
      <w:bookmarkEnd w:id="38"/>
    </w:p>
    <w:p w14:paraId="742787B8">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39" w:name="_Toc224237222"/>
      <w:bookmarkStart w:id="40" w:name="_Toc226105575"/>
      <w:r>
        <w:rPr>
          <w:rFonts w:hint="eastAsia" w:ascii="Times New Roman" w:hAnsi="Times New Roman" w:eastAsia="黑体" w:cs="Times New Roman"/>
          <w:b w:val="0"/>
          <w:bCs w:val="0"/>
          <w:sz w:val="21"/>
          <w:szCs w:val="22"/>
        </w:rPr>
        <w:t>紫外线治疗患者告知书</w:t>
      </w:r>
      <w:bookmarkEnd w:id="39"/>
      <w:bookmarkEnd w:id="40"/>
    </w:p>
    <w:p w14:paraId="2B8E90A3">
      <w:pPr>
        <w:widowControl w:val="0"/>
        <w:spacing w:before="240"/>
        <w:ind w:firstLine="420" w:firstLineChars="200"/>
        <w:jc w:val="both"/>
        <w:rPr>
          <w:rFonts w:hint="eastAsia" w:cs="Times New Roman"/>
          <w:kern w:val="2"/>
          <w:sz w:val="21"/>
          <w:szCs w:val="21"/>
        </w:rPr>
      </w:pPr>
      <w:r>
        <w:rPr>
          <w:rFonts w:hint="eastAsia" w:cs="Times New Roman"/>
          <w:kern w:val="2"/>
          <w:sz w:val="21"/>
          <w:szCs w:val="21"/>
        </w:rPr>
        <w:t>紫外线光疗是银屑病治疗的重要手段，在临床中应用广泛。它</w:t>
      </w:r>
      <w:r>
        <w:rPr>
          <w:rFonts w:cs="Times New Roman"/>
          <w:kern w:val="2"/>
          <w:sz w:val="21"/>
          <w:szCs w:val="21"/>
        </w:rPr>
        <w:t>主要通过特定波长的紫外线照射皮肤，抑制异常免疫反应和过度增殖的角质形成细胞</w:t>
      </w:r>
      <w:r>
        <w:rPr>
          <w:rFonts w:hint="eastAsia" w:cs="Times New Roman"/>
          <w:kern w:val="2"/>
          <w:sz w:val="21"/>
          <w:szCs w:val="21"/>
        </w:rPr>
        <w:t>，</w:t>
      </w:r>
      <w:r>
        <w:rPr>
          <w:rFonts w:cs="Times New Roman"/>
          <w:kern w:val="2"/>
          <w:sz w:val="21"/>
          <w:szCs w:val="21"/>
        </w:rPr>
        <w:t>从而减轻银屑病症状，达到缓解甚至治愈的效果。紫外线光疗可单独使用，也能与药物治疗方法联合，具有显著的疗效</w:t>
      </w:r>
      <w:r>
        <w:rPr>
          <w:rFonts w:hint="eastAsia" w:cs="Times New Roman"/>
          <w:kern w:val="2"/>
          <w:sz w:val="21"/>
          <w:szCs w:val="21"/>
        </w:rPr>
        <w:t>，是银屑病综合治疗中不可或缺的一环。</w:t>
      </w:r>
    </w:p>
    <w:p w14:paraId="174F7B2F">
      <w:pPr>
        <w:widowControl w:val="0"/>
        <w:spacing w:before="240"/>
        <w:jc w:val="both"/>
        <w:rPr>
          <w:rFonts w:hint="eastAsia" w:cs="Times New Roman"/>
          <w:kern w:val="2"/>
          <w:sz w:val="21"/>
          <w:szCs w:val="21"/>
        </w:rPr>
      </w:pPr>
      <w:r>
        <w:rPr>
          <w:rFonts w:hint="eastAsia" w:cs="Times New Roman"/>
          <w:kern w:val="2"/>
          <w:sz w:val="21"/>
          <w:szCs w:val="21"/>
        </w:rPr>
        <w:t>治疗方案：</w:t>
      </w:r>
    </w:p>
    <w:p w14:paraId="5F3575DE">
      <w:pPr>
        <w:widowControl w:val="0"/>
        <w:jc w:val="both"/>
        <w:rPr>
          <w:rFonts w:ascii="Times New Roman" w:hAnsi="Times New Roman" w:cs="Times New Roman"/>
          <w:sz w:val="21"/>
          <w:szCs w:val="21"/>
        </w:rPr>
      </w:pPr>
      <w:r>
        <w:rPr>
          <w:rFonts w:hint="eastAsia" w:cs="Times New Roman"/>
          <w:sz w:val="21"/>
          <w:szCs w:val="21"/>
        </w:rPr>
        <w:t>□全身</w:t>
      </w:r>
      <w:r>
        <w:rPr>
          <w:rFonts w:ascii="Times New Roman" w:hAnsi="Times New Roman" w:cs="Times New Roman"/>
          <w:sz w:val="21"/>
          <w:szCs w:val="21"/>
        </w:rPr>
        <w:t xml:space="preserve">   </w:t>
      </w:r>
      <w:r>
        <w:rPr>
          <w:rFonts w:hint="eastAsia" w:cs="Times New Roman"/>
          <w:sz w:val="21"/>
          <w:szCs w:val="21"/>
        </w:rPr>
        <w:t>□局部；</w:t>
      </w:r>
      <w:r>
        <w:rPr>
          <w:rFonts w:ascii="Times New Roman" w:hAnsi="Times New Roman" w:cs="Times New Roman"/>
          <w:sz w:val="21"/>
          <w:szCs w:val="21"/>
        </w:rPr>
        <w:t xml:space="preserve">  </w:t>
      </w:r>
      <w:r>
        <w:rPr>
          <w:rFonts w:hint="eastAsia" w:cs="Times New Roman"/>
          <w:sz w:val="21"/>
          <w:szCs w:val="21"/>
        </w:rPr>
        <w:t>□311nm NB-UVB</w:t>
      </w:r>
      <w:r>
        <w:rPr>
          <w:rFonts w:ascii="Times New Roman" w:hAnsi="Times New Roman" w:cs="Times New Roman"/>
          <w:sz w:val="21"/>
          <w:szCs w:val="21"/>
        </w:rPr>
        <w:t xml:space="preserve">   </w:t>
      </w:r>
      <w:r>
        <w:rPr>
          <w:rFonts w:hint="eastAsia" w:cs="Times New Roman"/>
          <w:sz w:val="21"/>
          <w:szCs w:val="21"/>
        </w:rPr>
        <w:t xml:space="preserve">□308nm光   □UVA1   </w:t>
      </w:r>
    </w:p>
    <w:p w14:paraId="20F79D8B">
      <w:pPr>
        <w:widowControl w:val="0"/>
        <w:spacing w:before="240"/>
        <w:jc w:val="both"/>
        <w:rPr>
          <w:rFonts w:hint="eastAsia" w:cs="AdvOTd1f5cc91.B"/>
          <w:b/>
          <w:kern w:val="2"/>
          <w:sz w:val="21"/>
          <w:szCs w:val="21"/>
        </w:rPr>
      </w:pPr>
      <w:r>
        <w:rPr>
          <w:rFonts w:hint="eastAsia" w:cs="AdvOTd1f5cc91.B"/>
          <w:b/>
          <w:kern w:val="2"/>
          <w:sz w:val="21"/>
          <w:szCs w:val="21"/>
        </w:rPr>
        <w:t>副作用及风险</w:t>
      </w:r>
    </w:p>
    <w:p w14:paraId="56639372">
      <w:pPr>
        <w:ind w:firstLine="420" w:firstLineChars="200"/>
        <w:jc w:val="both"/>
        <w:rPr>
          <w:rFonts w:hint="eastAsia" w:cs="Times New Roman"/>
          <w:kern w:val="2"/>
          <w:sz w:val="21"/>
          <w:szCs w:val="21"/>
        </w:rPr>
      </w:pPr>
      <w:r>
        <w:rPr>
          <w:rFonts w:cs="Times New Roman"/>
          <w:kern w:val="2"/>
          <w:sz w:val="21"/>
          <w:szCs w:val="21"/>
        </w:rPr>
        <w:t>由于个体差异及光线敏感度不同，治疗过程中可能会出现以下风险或副作用。</w:t>
      </w:r>
    </w:p>
    <w:p w14:paraId="451C4DDC">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1</w:t>
      </w:r>
      <w:r>
        <w:rPr>
          <w:rFonts w:hint="eastAsia" w:cs="Times New Roman"/>
          <w:kern w:val="2"/>
          <w:sz w:val="21"/>
          <w:szCs w:val="21"/>
        </w:rPr>
        <w:t>、色素沉着：</w:t>
      </w:r>
      <w:r>
        <w:rPr>
          <w:rFonts w:cs="Times New Roman"/>
          <w:kern w:val="2"/>
          <w:sz w:val="21"/>
          <w:szCs w:val="21"/>
        </w:rPr>
        <w:t>照射部位及周围正常皮肤可能会出现肤色加深</w:t>
      </w:r>
      <w:r>
        <w:rPr>
          <w:rFonts w:hint="eastAsia" w:cs="Times New Roman"/>
          <w:kern w:val="2"/>
          <w:sz w:val="21"/>
          <w:szCs w:val="21"/>
        </w:rPr>
        <w:t>，停止光疗后可逐渐恢复。</w:t>
      </w:r>
    </w:p>
    <w:p w14:paraId="69E3DBC4">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2</w:t>
      </w:r>
      <w:r>
        <w:rPr>
          <w:rFonts w:hint="eastAsia" w:cs="Times New Roman"/>
          <w:kern w:val="2"/>
          <w:sz w:val="21"/>
          <w:szCs w:val="21"/>
        </w:rPr>
        <w:t>、红斑与疼痛：轻度红斑常是正常的光疗反应，但若出现境界清楚的疼痛性红斑甚至水肿性红斑，属于剂量过大的表现，</w:t>
      </w:r>
      <w:r>
        <w:rPr>
          <w:rFonts w:cs="Times New Roman"/>
          <w:kern w:val="2"/>
          <w:sz w:val="21"/>
          <w:szCs w:val="21"/>
        </w:rPr>
        <w:t>需暂停治疗并</w:t>
      </w:r>
      <w:r>
        <w:rPr>
          <w:rFonts w:hint="eastAsia" w:cs="Times New Roman"/>
          <w:kern w:val="2"/>
          <w:sz w:val="21"/>
          <w:szCs w:val="21"/>
        </w:rPr>
        <w:t>予以相应</w:t>
      </w:r>
      <w:r>
        <w:rPr>
          <w:rFonts w:cs="Times New Roman"/>
          <w:kern w:val="2"/>
          <w:sz w:val="21"/>
          <w:szCs w:val="21"/>
        </w:rPr>
        <w:t>处理</w:t>
      </w:r>
      <w:r>
        <w:rPr>
          <w:rFonts w:hint="eastAsia" w:cs="Times New Roman"/>
          <w:kern w:val="2"/>
          <w:sz w:val="21"/>
          <w:szCs w:val="21"/>
        </w:rPr>
        <w:t>。</w:t>
      </w:r>
    </w:p>
    <w:p w14:paraId="6572EF27">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3</w:t>
      </w:r>
      <w:r>
        <w:rPr>
          <w:rFonts w:hint="eastAsia" w:cs="Times New Roman"/>
          <w:kern w:val="2"/>
          <w:sz w:val="21"/>
          <w:szCs w:val="21"/>
        </w:rPr>
        <w:t>、干燥和瘙痒：</w:t>
      </w:r>
      <w:r>
        <w:rPr>
          <w:rFonts w:cs="Times New Roman"/>
          <w:kern w:val="2"/>
          <w:sz w:val="21"/>
          <w:szCs w:val="21"/>
        </w:rPr>
        <w:t>紫外线照射会加速皮肤水分流失，导致皮肤干燥、脱屑或瘙痒。建议每次光疗后进行常规保湿护肤</w:t>
      </w:r>
      <w:r>
        <w:rPr>
          <w:rFonts w:hint="eastAsia" w:cs="Times New Roman"/>
          <w:kern w:val="2"/>
          <w:sz w:val="21"/>
          <w:szCs w:val="21"/>
        </w:rPr>
        <w:t>。</w:t>
      </w:r>
    </w:p>
    <w:p w14:paraId="054D9C2A">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4</w:t>
      </w:r>
      <w:r>
        <w:rPr>
          <w:rFonts w:hint="eastAsia" w:cs="Times New Roman"/>
          <w:kern w:val="2"/>
          <w:sz w:val="21"/>
          <w:szCs w:val="21"/>
        </w:rPr>
        <w:t>、水疱：若出现水疱时，不可自行抠破，可外涂抗生素软膏等，并等待自然吸收，必要时告知医生并予以处理。</w:t>
      </w:r>
    </w:p>
    <w:p w14:paraId="0D6CA771">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5</w:t>
      </w:r>
      <w:r>
        <w:rPr>
          <w:rFonts w:hint="eastAsia" w:cs="Times New Roman"/>
          <w:kern w:val="2"/>
          <w:sz w:val="21"/>
          <w:szCs w:val="21"/>
        </w:rPr>
        <w:t>、光敏性</w:t>
      </w:r>
      <w:r>
        <w:rPr>
          <w:rFonts w:hint="eastAsia" w:ascii="Times New Roman" w:hAnsi="Times New Roman" w:cs="Times New Roman"/>
          <w:kern w:val="2"/>
          <w:sz w:val="21"/>
          <w:szCs w:val="21"/>
        </w:rPr>
        <w:t>/</w:t>
      </w:r>
      <w:r>
        <w:rPr>
          <w:rFonts w:hint="eastAsia" w:cs="Times New Roman"/>
          <w:kern w:val="2"/>
          <w:sz w:val="21"/>
          <w:szCs w:val="21"/>
        </w:rPr>
        <w:t>光毒性反应：</w:t>
      </w:r>
      <w:r>
        <w:rPr>
          <w:rFonts w:cs="Times New Roman"/>
          <w:kern w:val="2"/>
          <w:sz w:val="21"/>
          <w:szCs w:val="21"/>
        </w:rPr>
        <w:t>若在治疗期间服用光敏性药物（如四环素类、维A酸类、喹诺酮类等）或外用特定药物，可能诱发严重的光毒性反应。</w:t>
      </w:r>
      <w:r>
        <w:rPr>
          <w:rFonts w:hint="eastAsia" w:cs="Times New Roman"/>
          <w:kern w:val="2"/>
          <w:sz w:val="21"/>
          <w:szCs w:val="21"/>
        </w:rPr>
        <w:t>使用者</w:t>
      </w:r>
      <w:r>
        <w:rPr>
          <w:rFonts w:cs="Times New Roman"/>
          <w:kern w:val="2"/>
          <w:sz w:val="21"/>
          <w:szCs w:val="21"/>
        </w:rPr>
        <w:t>承诺如实告知医生我的</w:t>
      </w:r>
      <w:r>
        <w:rPr>
          <w:rFonts w:hint="eastAsia" w:cs="Times New Roman"/>
          <w:kern w:val="2"/>
          <w:sz w:val="21"/>
          <w:szCs w:val="21"/>
        </w:rPr>
        <w:t>病史，用药史和近期治疗方案，避免或减轻副作用。</w:t>
      </w:r>
    </w:p>
    <w:p w14:paraId="1C6045A9">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6</w:t>
      </w:r>
      <w:r>
        <w:rPr>
          <w:rFonts w:hint="eastAsia" w:cs="Times New Roman"/>
          <w:kern w:val="2"/>
          <w:sz w:val="21"/>
          <w:szCs w:val="21"/>
        </w:rPr>
        <w:t>、 潜在的远期不良反应：</w:t>
      </w:r>
      <w:r>
        <w:rPr>
          <w:rFonts w:cs="Times New Roman"/>
          <w:kern w:val="2"/>
          <w:sz w:val="21"/>
          <w:szCs w:val="21"/>
        </w:rPr>
        <w:t>长期</w:t>
      </w:r>
      <w:r>
        <w:rPr>
          <w:rFonts w:hint="eastAsia" w:cs="Times New Roman"/>
          <w:kern w:val="2"/>
          <w:sz w:val="21"/>
          <w:szCs w:val="21"/>
        </w:rPr>
        <w:t>大剂量</w:t>
      </w:r>
      <w:r>
        <w:rPr>
          <w:rFonts w:cs="Times New Roman"/>
          <w:kern w:val="2"/>
          <w:sz w:val="21"/>
          <w:szCs w:val="21"/>
        </w:rPr>
        <w:t>使用紫外线治疗可能导致光老化风险。</w:t>
      </w:r>
    </w:p>
    <w:p w14:paraId="345D334C">
      <w:pPr>
        <w:widowControl w:val="0"/>
        <w:jc w:val="both"/>
        <w:rPr>
          <w:rFonts w:hint="eastAsia" w:cs="AdvOTd1f5cc91.B"/>
          <w:b/>
          <w:bCs/>
          <w:kern w:val="2"/>
          <w:sz w:val="21"/>
          <w:szCs w:val="21"/>
        </w:rPr>
      </w:pPr>
      <w:r>
        <w:rPr>
          <w:rFonts w:hint="eastAsia" w:cs="AdvOTd1f5cc91.B"/>
          <w:b/>
          <w:bCs/>
          <w:kern w:val="2"/>
          <w:sz w:val="21"/>
          <w:szCs w:val="21"/>
        </w:rPr>
        <w:t>使用指导</w:t>
      </w:r>
    </w:p>
    <w:p w14:paraId="7685A859">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1</w:t>
      </w:r>
      <w:r>
        <w:rPr>
          <w:rFonts w:hint="eastAsia" w:cs="Times New Roman"/>
          <w:kern w:val="2"/>
          <w:sz w:val="21"/>
          <w:szCs w:val="21"/>
        </w:rPr>
        <w:t>、使用设备前，必须仔细阅读设备说明书、依照光疗方案循序渐进地坚持进行光疗，准确记录治疗参数和反应、按时复诊、及时报告不良反应、遵照医生要求进行皮肤自检。</w:t>
      </w:r>
    </w:p>
    <w:p w14:paraId="009851F3">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2</w:t>
      </w:r>
      <w:r>
        <w:rPr>
          <w:rFonts w:hint="eastAsia" w:cs="Times New Roman"/>
          <w:kern w:val="2"/>
          <w:sz w:val="21"/>
          <w:szCs w:val="21"/>
        </w:rPr>
        <w:t>、</w:t>
      </w:r>
      <w:r>
        <w:rPr>
          <w:rFonts w:cs="Times New Roman"/>
          <w:kern w:val="2"/>
          <w:sz w:val="21"/>
          <w:szCs w:val="21"/>
        </w:rPr>
        <w:t>治疗过程中需佩戴护目镜，保护皮肤薄弱部位</w:t>
      </w:r>
      <w:r>
        <w:rPr>
          <w:rFonts w:hint="eastAsia" w:cs="Times New Roman"/>
          <w:kern w:val="2"/>
          <w:sz w:val="21"/>
          <w:szCs w:val="21"/>
        </w:rPr>
        <w:t>，如面颈部、乳头及乳晕、阴囊等部位。</w:t>
      </w:r>
    </w:p>
    <w:p w14:paraId="6E8C953E">
      <w:pPr>
        <w:ind w:firstLine="420" w:firstLineChars="200"/>
        <w:jc w:val="both"/>
        <w:rPr>
          <w:rFonts w:ascii="Times New Roman" w:hAnsi="Times New Roman" w:cs="Times New Roman"/>
          <w:kern w:val="2"/>
          <w:sz w:val="21"/>
          <w:szCs w:val="21"/>
        </w:rPr>
      </w:pPr>
      <w:r>
        <w:rPr>
          <w:rFonts w:hint="eastAsia" w:ascii="Times New Roman" w:hAnsi="Times New Roman" w:cs="Times New Roman"/>
          <w:kern w:val="2"/>
          <w:sz w:val="21"/>
          <w:szCs w:val="21"/>
        </w:rPr>
        <w:t>3</w:t>
      </w:r>
      <w:r>
        <w:rPr>
          <w:rFonts w:hint="eastAsia" w:cs="Times New Roman"/>
          <w:kern w:val="2"/>
          <w:sz w:val="21"/>
          <w:szCs w:val="21"/>
        </w:rPr>
        <w:t>、</w:t>
      </w:r>
      <w:r>
        <w:rPr>
          <w:rFonts w:cs="Times New Roman"/>
          <w:kern w:val="2"/>
          <w:sz w:val="21"/>
          <w:szCs w:val="21"/>
        </w:rPr>
        <w:t>如果在治疗过程中出现严重疼痛或大范围水疱，请立即停止治疗，并联系医生</w:t>
      </w:r>
      <w:r>
        <w:rPr>
          <w:rFonts w:hint="eastAsia" w:cs="Times New Roman"/>
          <w:kern w:val="2"/>
          <w:sz w:val="21"/>
          <w:szCs w:val="21"/>
        </w:rPr>
        <w:t>。</w:t>
      </w:r>
    </w:p>
    <w:p w14:paraId="22464DAF">
      <w:pPr>
        <w:widowControl w:val="0"/>
        <w:jc w:val="both"/>
        <w:rPr>
          <w:rFonts w:hint="eastAsia" w:cs="AdvOTd1f5cc91.B"/>
          <w:b/>
          <w:kern w:val="2"/>
          <w:sz w:val="21"/>
          <w:szCs w:val="21"/>
        </w:rPr>
      </w:pPr>
      <w:r>
        <w:rPr>
          <w:rFonts w:hint="eastAsia" w:cs="AdvOTd1f5cc91.B"/>
          <w:b/>
          <w:kern w:val="2"/>
          <w:sz w:val="21"/>
          <w:szCs w:val="21"/>
        </w:rPr>
        <w:t>说明</w:t>
      </w:r>
    </w:p>
    <w:p w14:paraId="7E1EEFA3">
      <w:pPr>
        <w:ind w:firstLine="420" w:firstLineChars="200"/>
        <w:jc w:val="both"/>
        <w:rPr>
          <w:rFonts w:hint="eastAsia" w:cs="Times New Roman"/>
          <w:kern w:val="2"/>
          <w:sz w:val="21"/>
          <w:szCs w:val="21"/>
        </w:rPr>
      </w:pPr>
      <w:r>
        <w:rPr>
          <w:rFonts w:hint="eastAsia" w:ascii="Times New Roman" w:hAnsi="Times New Roman" w:cs="Times New Roman"/>
          <w:kern w:val="2"/>
          <w:sz w:val="21"/>
          <w:szCs w:val="21"/>
        </w:rPr>
        <w:t>1</w:t>
      </w:r>
      <w:r>
        <w:rPr>
          <w:rFonts w:hint="eastAsia" w:cs="Times New Roman"/>
          <w:kern w:val="2"/>
          <w:sz w:val="21"/>
          <w:szCs w:val="21"/>
        </w:rPr>
        <w:t>、由于个体差异和现有医疗水平的局限性，有些皮肤病目前尚不能根治，紫外线治疗仅能改善症状，控制病情，部分患者对紫外线治疗可能无效。</w:t>
      </w:r>
    </w:p>
    <w:p w14:paraId="03DC41D8">
      <w:pPr>
        <w:ind w:firstLine="420" w:firstLineChars="200"/>
        <w:jc w:val="both"/>
        <w:rPr>
          <w:rFonts w:ascii="Times New Roman" w:hAnsi="Times New Roman" w:cs="Times New Roman"/>
          <w:kern w:val="2"/>
          <w:sz w:val="21"/>
          <w:szCs w:val="21"/>
        </w:rPr>
      </w:pPr>
      <w:r>
        <w:rPr>
          <w:rFonts w:hint="eastAsia" w:cs="Times New Roman"/>
          <w:kern w:val="2"/>
          <w:sz w:val="21"/>
          <w:szCs w:val="21"/>
        </w:rPr>
        <w:t>2、 治疗时应遵从医师的医嘱或建议。患者应完全理解本治疗可能发生的副作用与风险，并与治疗医师充分沟通，根据病情及时调整治疗方案。</w:t>
      </w:r>
    </w:p>
    <w:p w14:paraId="33D6B83D">
      <w:pPr>
        <w:ind w:firstLine="420" w:firstLineChars="200"/>
        <w:jc w:val="both"/>
        <w:rPr>
          <w:rFonts w:ascii="Times New Roman" w:hAnsi="Times New Roman" w:cs="Times New Roman"/>
          <w:kern w:val="2"/>
          <w:sz w:val="21"/>
          <w:szCs w:val="21"/>
        </w:rPr>
      </w:pPr>
    </w:p>
    <w:p w14:paraId="4F66BB8D">
      <w:pPr>
        <w:widowControl w:val="0"/>
        <w:ind w:firstLine="420"/>
        <w:jc w:val="both"/>
        <w:rPr>
          <w:rFonts w:hint="eastAsia" w:cs="AdvOTd1f5cc91.B"/>
          <w:kern w:val="2"/>
          <w:sz w:val="21"/>
          <w:szCs w:val="21"/>
        </w:rPr>
      </w:pPr>
      <w:r>
        <w:rPr>
          <w:rFonts w:hint="eastAsia" w:cs="AdvOTd1f5cc91.B"/>
          <w:kern w:val="2"/>
          <w:sz w:val="21"/>
          <w:szCs w:val="21"/>
        </w:rPr>
        <w:t>我的医生已经告知我将要进行的治疗方式、此次治疗及治疗后可能发生的并发症和风险、可能存在的其它治疗方法并且解答了我关于此次治疗的相关问题。我同意此项治疗以及在治疗中医生可以根据我的病情对预定的治疗方式做出调整。</w:t>
      </w:r>
    </w:p>
    <w:p w14:paraId="3335DD53">
      <w:pPr>
        <w:widowControl w:val="0"/>
        <w:jc w:val="both"/>
        <w:rPr>
          <w:rFonts w:hint="eastAsia" w:cs="AdvOTd1f5cc91.B"/>
          <w:kern w:val="2"/>
          <w:sz w:val="21"/>
          <w:szCs w:val="21"/>
        </w:rPr>
      </w:pPr>
      <w:r>
        <w:rPr>
          <w:rFonts w:hint="eastAsia" w:cs="AdvOTd1f5cc91.B"/>
          <w:kern w:val="2"/>
          <w:sz w:val="21"/>
          <w:szCs w:val="21"/>
        </w:rPr>
        <w:t>患者（法定监护人）签名：</w:t>
      </w:r>
    </w:p>
    <w:p w14:paraId="34788F79">
      <w:pPr>
        <w:widowControl w:val="0"/>
        <w:jc w:val="both"/>
        <w:rPr>
          <w:rFonts w:hint="eastAsia" w:cs="AdvOTd1f5cc91.B"/>
          <w:kern w:val="2"/>
          <w:sz w:val="21"/>
          <w:szCs w:val="21"/>
        </w:rPr>
      </w:pPr>
      <w:r>
        <w:rPr>
          <w:rFonts w:hint="eastAsia" w:cs="AdvOTd1f5cc91.B"/>
          <w:kern w:val="2"/>
          <w:sz w:val="21"/>
          <w:szCs w:val="21"/>
        </w:rPr>
        <w:t>证明人：</w:t>
      </w:r>
    </w:p>
    <w:p w14:paraId="1024D207">
      <w:pPr>
        <w:jc w:val="both"/>
        <w:rPr>
          <w:rFonts w:ascii="Arial" w:hAnsi="Arial" w:eastAsia="微软雅黑" w:cs="AdvOTd1f5cc91.B"/>
          <w:kern w:val="2"/>
          <w:sz w:val="21"/>
          <w:szCs w:val="21"/>
        </w:rPr>
      </w:pPr>
      <w:r>
        <w:rPr>
          <w:rFonts w:hint="eastAsia" w:cs="AdvOTd1f5cc91.B"/>
          <w:kern w:val="2"/>
          <w:sz w:val="21"/>
          <w:szCs w:val="21"/>
        </w:rPr>
        <w:t>日期：          年         月        日</w:t>
      </w:r>
    </w:p>
    <w:p w14:paraId="6F9A0B71">
      <w:pPr>
        <w:rPr>
          <w:rFonts w:ascii="Times New Roman" w:hAnsi="Times New Roman" w:eastAsia="黑体" w:cs="Times New Roman"/>
          <w:kern w:val="2"/>
          <w:sz w:val="21"/>
          <w:szCs w:val="22"/>
        </w:rPr>
      </w:pPr>
      <w:r>
        <w:rPr>
          <w:rFonts w:ascii="Times New Roman" w:hAnsi="Times New Roman" w:eastAsia="黑体" w:cs="Times New Roman"/>
          <w:b/>
          <w:bCs/>
          <w:sz w:val="21"/>
          <w:szCs w:val="22"/>
        </w:rPr>
        <w:br w:type="page"/>
      </w:r>
    </w:p>
    <w:p w14:paraId="03B5D109">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41" w:name="_Toc226105576"/>
      <w:r>
        <w:rPr>
          <w:rFonts w:hint="eastAsia" w:ascii="Times New Roman" w:hAnsi="Times New Roman" w:eastAsia="黑体" w:cs="Times New Roman"/>
          <w:b w:val="0"/>
          <w:bCs w:val="0"/>
          <w:sz w:val="21"/>
          <w:szCs w:val="22"/>
        </w:rPr>
        <w:t>附 录</w:t>
      </w:r>
      <w:bookmarkEnd w:id="36"/>
      <w:r>
        <w:rPr>
          <w:rFonts w:hint="eastAsia" w:ascii="Times New Roman" w:hAnsi="Times New Roman" w:eastAsia="黑体" w:cs="Times New Roman"/>
          <w:b w:val="0"/>
          <w:bCs w:val="0"/>
          <w:sz w:val="21"/>
          <w:szCs w:val="22"/>
        </w:rPr>
        <w:t xml:space="preserve"> B</w:t>
      </w:r>
      <w:bookmarkEnd w:id="41"/>
    </w:p>
    <w:p w14:paraId="7120F7CB">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42" w:name="_Toc219924829"/>
      <w:bookmarkStart w:id="43" w:name="_Toc226105577"/>
      <w:bookmarkStart w:id="44" w:name="_Toc219884915"/>
      <w:bookmarkStart w:id="45" w:name="_Toc224237224"/>
      <w:r>
        <w:rPr>
          <w:rFonts w:hint="eastAsia" w:ascii="Times New Roman" w:hAnsi="Times New Roman" w:eastAsia="黑体" w:cs="Times New Roman"/>
          <w:b w:val="0"/>
          <w:bCs w:val="0"/>
          <w:sz w:val="21"/>
          <w:szCs w:val="22"/>
        </w:rPr>
        <w:t>（规范性）</w:t>
      </w:r>
      <w:bookmarkEnd w:id="42"/>
      <w:bookmarkEnd w:id="43"/>
      <w:bookmarkEnd w:id="44"/>
      <w:bookmarkEnd w:id="45"/>
    </w:p>
    <w:p w14:paraId="18CF296C">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46" w:name="_Toc226105578"/>
      <w:bookmarkStart w:id="47" w:name="_Toc224237225"/>
      <w:bookmarkStart w:id="48" w:name="_Toc219884916"/>
      <w:bookmarkStart w:id="49" w:name="_Toc219924830"/>
      <w:r>
        <w:rPr>
          <w:rFonts w:hint="eastAsia" w:ascii="Times New Roman" w:hAnsi="Times New Roman" w:eastAsia="黑体" w:cs="Times New Roman"/>
          <w:b w:val="0"/>
          <w:bCs w:val="0"/>
          <w:sz w:val="21"/>
          <w:szCs w:val="22"/>
        </w:rPr>
        <w:t>银屑病光疗患者初诊标准数据采集</w:t>
      </w:r>
      <w:bookmarkEnd w:id="46"/>
      <w:bookmarkEnd w:id="47"/>
      <w:bookmarkEnd w:id="48"/>
      <w:bookmarkEnd w:id="49"/>
    </w:p>
    <w:p w14:paraId="5E74E5AE">
      <w:pPr>
        <w:ind w:firstLine="420" w:firstLineChars="200"/>
        <w:rPr>
          <w:rFonts w:hint="eastAsia" w:cs="黑体"/>
          <w:b w:val="0"/>
          <w:bCs w:val="0"/>
          <w:sz w:val="21"/>
          <w:szCs w:val="21"/>
          <w:lang w:val="en-US" w:eastAsia="zh-CN"/>
        </w:rPr>
      </w:pPr>
      <w:r>
        <w:rPr>
          <w:rFonts w:hint="eastAsia" w:cs="黑体"/>
          <w:b w:val="0"/>
          <w:bCs w:val="0"/>
          <w:sz w:val="21"/>
          <w:szCs w:val="21"/>
          <w:lang w:val="en-US" w:eastAsia="zh-CN"/>
        </w:rPr>
        <w:t>表B.1列出了</w:t>
      </w:r>
      <w:r>
        <w:rPr>
          <w:rFonts w:hint="eastAsia" w:cs="黑体"/>
          <w:b w:val="0"/>
          <w:bCs w:val="0"/>
          <w:sz w:val="21"/>
          <w:szCs w:val="21"/>
        </w:rPr>
        <w:t>银屑病光疗患者初诊标准数据采集</w:t>
      </w:r>
      <w:r>
        <w:rPr>
          <w:rFonts w:hint="eastAsia" w:cs="黑体"/>
          <w:b w:val="0"/>
          <w:bCs w:val="0"/>
          <w:sz w:val="21"/>
          <w:szCs w:val="21"/>
          <w:lang w:val="en-US" w:eastAsia="zh-CN"/>
        </w:rPr>
        <w:t>信息。</w:t>
      </w:r>
    </w:p>
    <w:p w14:paraId="5D66E93B">
      <w:pPr>
        <w:spacing w:before="157" w:beforeLines="50" w:after="157" w:afterLines="50"/>
        <w:jc w:val="center"/>
        <w:rPr>
          <w:rFonts w:hint="eastAsia" w:ascii="黑体" w:hAnsi="黑体" w:eastAsia="黑体" w:cs="黑体"/>
          <w:b w:val="0"/>
          <w:bCs w:val="0"/>
          <w:sz w:val="21"/>
          <w:szCs w:val="21"/>
        </w:rPr>
      </w:pPr>
      <w:r>
        <w:rPr>
          <w:rFonts w:hint="eastAsia" w:ascii="黑体" w:hAnsi="黑体" w:eastAsia="黑体" w:cs="黑体"/>
          <w:b w:val="0"/>
          <w:bCs w:val="0"/>
          <w:sz w:val="21"/>
          <w:szCs w:val="21"/>
          <w:lang w:val="en-US" w:eastAsia="zh-CN"/>
        </w:rPr>
        <w:t>表B.1  银屑病光疗患者初诊标准数据采集表</w:t>
      </w:r>
    </w:p>
    <w:tbl>
      <w:tblPr>
        <w:tblStyle w:val="17"/>
        <w:tblW w:w="935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618"/>
        <w:gridCol w:w="642"/>
        <w:gridCol w:w="834"/>
        <w:gridCol w:w="486"/>
        <w:gridCol w:w="420"/>
        <w:gridCol w:w="1117"/>
        <w:gridCol w:w="315"/>
        <w:gridCol w:w="520"/>
        <w:gridCol w:w="702"/>
        <w:gridCol w:w="210"/>
        <w:gridCol w:w="657"/>
        <w:gridCol w:w="567"/>
        <w:gridCol w:w="103"/>
        <w:gridCol w:w="105"/>
        <w:gridCol w:w="359"/>
        <w:gridCol w:w="567"/>
        <w:gridCol w:w="497"/>
        <w:gridCol w:w="16"/>
        <w:gridCol w:w="40"/>
        <w:gridCol w:w="14"/>
      </w:tblGrid>
      <w:tr w14:paraId="13C62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567" w:hRule="exact"/>
        </w:trPr>
        <w:tc>
          <w:tcPr>
            <w:tcW w:w="9286" w:type="dxa"/>
            <w:gridSpan w:val="18"/>
            <w:shd w:val="clear" w:color="auto" w:fill="CCCCCC"/>
            <w:vAlign w:val="center"/>
          </w:tcPr>
          <w:p w14:paraId="459C2F0F">
            <w:pPr>
              <w:spacing w:before="156" w:beforeLines="50" w:after="156" w:afterLines="50"/>
              <w:rPr>
                <w:rFonts w:ascii="Times New Roman" w:hAnsi="Times New Roman"/>
                <w:szCs w:val="21"/>
              </w:rPr>
            </w:pPr>
            <w:r>
              <w:rPr>
                <w:rFonts w:ascii="Times New Roman" w:hAnsi="Times New Roman"/>
                <w:b/>
                <w:szCs w:val="21"/>
              </w:rPr>
              <w:t>人口学资料</w:t>
            </w:r>
          </w:p>
        </w:tc>
      </w:tr>
      <w:tr w14:paraId="259F0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680" w:hRule="exact"/>
        </w:trPr>
        <w:tc>
          <w:tcPr>
            <w:tcW w:w="5519" w:type="dxa"/>
            <w:gridSpan w:val="9"/>
            <w:vAlign w:val="center"/>
          </w:tcPr>
          <w:p w14:paraId="34BAA343">
            <w:pPr>
              <w:spacing w:before="156" w:beforeLines="50" w:after="156" w:afterLines="50"/>
              <w:rPr>
                <w:rFonts w:ascii="Times New Roman" w:hAnsi="Times New Roman"/>
                <w:szCs w:val="21"/>
              </w:rPr>
            </w:pPr>
            <w:r>
              <w:rPr>
                <w:rFonts w:ascii="Times New Roman" w:hAnsi="Times New Roman"/>
                <w:szCs w:val="21"/>
              </w:rPr>
              <w:t>出生日期： |__|__|__|__|年|__|__|月|__|__|日</w:t>
            </w:r>
          </w:p>
        </w:tc>
        <w:tc>
          <w:tcPr>
            <w:tcW w:w="3767" w:type="dxa"/>
            <w:gridSpan w:val="9"/>
            <w:vAlign w:val="center"/>
          </w:tcPr>
          <w:p w14:paraId="771617E1">
            <w:pPr>
              <w:spacing w:before="156" w:beforeLines="50" w:after="156" w:afterLines="50"/>
              <w:rPr>
                <w:rFonts w:ascii="Times New Roman" w:hAnsi="Times New Roman"/>
                <w:szCs w:val="21"/>
              </w:rPr>
            </w:pPr>
            <w:r>
              <w:rPr>
                <w:rFonts w:ascii="Times New Roman" w:hAnsi="Times New Roman"/>
                <w:szCs w:val="21"/>
              </w:rPr>
              <w:t>性别：</w:t>
            </w:r>
            <w:r>
              <w:rPr>
                <w:rFonts w:ascii="Times New Roman" w:hAnsi="Times New Roman" w:eastAsia="MS Mincho"/>
              </w:rPr>
              <w:t>□</w:t>
            </w:r>
            <w:r>
              <w:rPr>
                <w:rFonts w:ascii="Times New Roman" w:hAnsi="Times New Roman"/>
                <w:szCs w:val="21"/>
              </w:rPr>
              <w:t xml:space="preserve">男  </w:t>
            </w:r>
            <w:r>
              <w:rPr>
                <w:rFonts w:ascii="Times New Roman" w:hAnsi="Times New Roman" w:eastAsia="MS Mincho"/>
              </w:rPr>
              <w:t>□</w:t>
            </w:r>
            <w:r>
              <w:rPr>
                <w:rFonts w:ascii="Times New Roman" w:hAnsi="Times New Roman"/>
                <w:szCs w:val="21"/>
              </w:rPr>
              <w:t>女</w:t>
            </w:r>
          </w:p>
        </w:tc>
      </w:tr>
      <w:tr w14:paraId="43F7D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680" w:hRule="exact"/>
        </w:trPr>
        <w:tc>
          <w:tcPr>
            <w:tcW w:w="5519" w:type="dxa"/>
            <w:gridSpan w:val="9"/>
            <w:vAlign w:val="center"/>
          </w:tcPr>
          <w:p w14:paraId="6178A6F3">
            <w:pPr>
              <w:spacing w:before="156" w:beforeLines="50" w:after="156" w:afterLines="50"/>
              <w:rPr>
                <w:rFonts w:ascii="Times New Roman" w:hAnsi="Times New Roman"/>
                <w:szCs w:val="21"/>
              </w:rPr>
            </w:pPr>
            <w:r>
              <w:rPr>
                <w:rFonts w:ascii="Times New Roman" w:hAnsi="Times New Roman"/>
                <w:szCs w:val="21"/>
                <w:lang w:val="sq-AL"/>
              </w:rPr>
              <w:t>体重：</w:t>
            </w:r>
            <w:r>
              <w:rPr>
                <w:rFonts w:ascii="Times New Roman" w:hAnsi="Times New Roman"/>
                <w:szCs w:val="21"/>
              </w:rPr>
              <w:t>|__|__|__|</w:t>
            </w:r>
            <w:r>
              <w:rPr>
                <w:rFonts w:ascii="Times New Roman" w:hAnsi="Times New Roman"/>
                <w:szCs w:val="21"/>
                <w:lang w:val="sq-AL"/>
              </w:rPr>
              <w:t xml:space="preserve">. </w:t>
            </w:r>
            <w:r>
              <w:rPr>
                <w:rFonts w:ascii="Times New Roman" w:hAnsi="Times New Roman"/>
                <w:szCs w:val="21"/>
              </w:rPr>
              <w:t>|__|</w:t>
            </w:r>
            <w:r>
              <w:rPr>
                <w:rFonts w:ascii="Times New Roman" w:hAnsi="Times New Roman"/>
                <w:szCs w:val="21"/>
                <w:lang w:val="sq-AL"/>
              </w:rPr>
              <w:t>kg</w:t>
            </w:r>
          </w:p>
        </w:tc>
        <w:tc>
          <w:tcPr>
            <w:tcW w:w="3767" w:type="dxa"/>
            <w:gridSpan w:val="9"/>
            <w:vAlign w:val="center"/>
          </w:tcPr>
          <w:p w14:paraId="6CA9AA51">
            <w:pPr>
              <w:spacing w:before="156" w:beforeLines="50" w:after="156" w:afterLines="50"/>
              <w:rPr>
                <w:rFonts w:ascii="Times New Roman" w:hAnsi="Times New Roman"/>
                <w:szCs w:val="21"/>
                <w:lang w:val="sq-AL"/>
              </w:rPr>
            </w:pPr>
            <w:r>
              <w:rPr>
                <w:rFonts w:ascii="Times New Roman" w:hAnsi="Times New Roman"/>
                <w:szCs w:val="21"/>
                <w:lang w:val="sq-AL"/>
              </w:rPr>
              <w:t>身高：</w:t>
            </w:r>
            <w:r>
              <w:rPr>
                <w:rFonts w:ascii="Times New Roman" w:hAnsi="Times New Roman"/>
                <w:szCs w:val="21"/>
              </w:rPr>
              <w:t>|__|__|__|</w:t>
            </w:r>
            <w:r>
              <w:rPr>
                <w:rFonts w:ascii="Times New Roman" w:hAnsi="Times New Roman"/>
                <w:szCs w:val="21"/>
                <w:lang w:val="sq-AL"/>
              </w:rPr>
              <w:t>cm</w:t>
            </w:r>
          </w:p>
        </w:tc>
      </w:tr>
      <w:tr w14:paraId="7E84D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680" w:hRule="exact"/>
        </w:trPr>
        <w:tc>
          <w:tcPr>
            <w:tcW w:w="5519" w:type="dxa"/>
            <w:gridSpan w:val="9"/>
            <w:vAlign w:val="center"/>
          </w:tcPr>
          <w:p w14:paraId="15120731">
            <w:pPr>
              <w:spacing w:before="156" w:beforeLines="50" w:after="156" w:afterLines="50"/>
              <w:rPr>
                <w:rFonts w:ascii="Times New Roman" w:hAnsi="Times New Roman"/>
                <w:szCs w:val="21"/>
                <w:lang w:val="sq-AL"/>
              </w:rPr>
            </w:pPr>
            <w:r>
              <w:rPr>
                <w:rFonts w:ascii="Times New Roman" w:hAnsi="Times New Roman"/>
                <w:szCs w:val="21"/>
                <w:lang w:val="sq-AL"/>
              </w:rPr>
              <w:t>腰围：</w:t>
            </w:r>
            <w:r>
              <w:rPr>
                <w:rFonts w:ascii="Times New Roman" w:hAnsi="Times New Roman"/>
                <w:szCs w:val="21"/>
              </w:rPr>
              <w:t>|__|__|__|cm</w:t>
            </w:r>
          </w:p>
        </w:tc>
        <w:tc>
          <w:tcPr>
            <w:tcW w:w="3767" w:type="dxa"/>
            <w:gridSpan w:val="9"/>
            <w:vAlign w:val="center"/>
          </w:tcPr>
          <w:p w14:paraId="6FAA978C">
            <w:pPr>
              <w:spacing w:before="156" w:beforeLines="50" w:after="156" w:afterLines="50"/>
              <w:rPr>
                <w:rFonts w:ascii="Times New Roman" w:hAnsi="Times New Roman"/>
                <w:szCs w:val="21"/>
                <w:lang w:val="sq-AL"/>
              </w:rPr>
            </w:pPr>
            <w:r>
              <w:rPr>
                <w:rFonts w:ascii="Times New Roman" w:hAnsi="Times New Roman"/>
                <w:szCs w:val="21"/>
                <w:lang w:val="sq-AL"/>
              </w:rPr>
              <w:t>臀围：</w:t>
            </w:r>
            <w:r>
              <w:rPr>
                <w:rFonts w:ascii="Times New Roman" w:hAnsi="Times New Roman"/>
                <w:szCs w:val="21"/>
              </w:rPr>
              <w:t>|__|__|__|cm</w:t>
            </w:r>
          </w:p>
        </w:tc>
      </w:tr>
      <w:tr w14:paraId="60672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680" w:hRule="exact"/>
        </w:trPr>
        <w:tc>
          <w:tcPr>
            <w:tcW w:w="5519" w:type="dxa"/>
            <w:gridSpan w:val="9"/>
            <w:vAlign w:val="center"/>
          </w:tcPr>
          <w:p w14:paraId="485CFDD6">
            <w:pPr>
              <w:spacing w:before="156" w:beforeLines="50" w:after="156" w:afterLines="50"/>
              <w:rPr>
                <w:rFonts w:ascii="Times New Roman" w:hAnsi="Times New Roman"/>
                <w:szCs w:val="21"/>
              </w:rPr>
            </w:pPr>
            <w:r>
              <w:rPr>
                <w:rFonts w:hint="eastAsia" w:ascii="Times New Roman" w:hAnsi="Times New Roman"/>
                <w:szCs w:val="21"/>
              </w:rPr>
              <w:t>血压：</w:t>
            </w:r>
            <w:r>
              <w:rPr>
                <w:rFonts w:ascii="Times New Roman" w:hAnsi="Times New Roman"/>
                <w:szCs w:val="21"/>
              </w:rPr>
              <w:t>|__|__|__|</w:t>
            </w:r>
            <w:r>
              <w:rPr>
                <w:rFonts w:hint="eastAsia" w:ascii="Times New Roman" w:hAnsi="Times New Roman"/>
                <w:szCs w:val="21"/>
              </w:rPr>
              <w:t xml:space="preserve"> / </w:t>
            </w:r>
            <w:r>
              <w:rPr>
                <w:rFonts w:ascii="Times New Roman" w:hAnsi="Times New Roman"/>
                <w:szCs w:val="21"/>
              </w:rPr>
              <w:t>|__|__|__|</w:t>
            </w:r>
            <w:r>
              <w:rPr>
                <w:rFonts w:hint="eastAsia" w:ascii="Times New Roman" w:hAnsi="Times New Roman"/>
                <w:szCs w:val="21"/>
              </w:rPr>
              <w:t xml:space="preserve"> mmHg</w:t>
            </w:r>
          </w:p>
        </w:tc>
        <w:tc>
          <w:tcPr>
            <w:tcW w:w="3767" w:type="dxa"/>
            <w:gridSpan w:val="9"/>
            <w:vAlign w:val="center"/>
          </w:tcPr>
          <w:p w14:paraId="3282D661">
            <w:pPr>
              <w:spacing w:before="156" w:beforeLines="50" w:after="156" w:afterLines="50"/>
              <w:rPr>
                <w:rFonts w:ascii="Times New Roman" w:hAnsi="Times New Roman"/>
                <w:szCs w:val="21"/>
              </w:rPr>
            </w:pPr>
            <w:r>
              <w:rPr>
                <w:rFonts w:hint="eastAsia" w:ascii="Times New Roman" w:hAnsi="Times New Roman"/>
                <w:szCs w:val="21"/>
              </w:rPr>
              <w:t>心率：</w:t>
            </w:r>
            <w:r>
              <w:rPr>
                <w:rFonts w:ascii="Times New Roman" w:hAnsi="Times New Roman"/>
                <w:szCs w:val="21"/>
              </w:rPr>
              <w:t>|__|__|__|</w:t>
            </w:r>
            <w:r>
              <w:rPr>
                <w:rFonts w:hint="eastAsia" w:ascii="Times New Roman" w:hAnsi="Times New Roman"/>
                <w:szCs w:val="21"/>
              </w:rPr>
              <w:t xml:space="preserve"> 次/分</w:t>
            </w:r>
          </w:p>
        </w:tc>
      </w:tr>
      <w:tr w14:paraId="74E00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838" w:hRule="exact"/>
        </w:trPr>
        <w:tc>
          <w:tcPr>
            <w:tcW w:w="5519" w:type="dxa"/>
            <w:gridSpan w:val="9"/>
            <w:vAlign w:val="center"/>
          </w:tcPr>
          <w:p w14:paraId="7044643C">
            <w:pPr>
              <w:spacing w:before="156" w:beforeLines="50" w:after="156" w:afterLines="50"/>
              <w:rPr>
                <w:rFonts w:ascii="Times New Roman" w:hAnsi="Times New Roman"/>
                <w:szCs w:val="21"/>
                <w:lang w:val="sq-AL"/>
              </w:rPr>
            </w:pPr>
            <w:r>
              <w:rPr>
                <w:rFonts w:ascii="Times New Roman" w:hAnsi="Times New Roman"/>
                <w:szCs w:val="21"/>
                <w:lang w:val="sq-AL"/>
              </w:rPr>
              <w:t>身份证号：</w:t>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r>
              <w:rPr>
                <w:rFonts w:ascii="Times New Roman" w:hAnsi="Times New Roman"/>
                <w:color w:val="000000" w:themeColor="text1"/>
                <w:szCs w:val="32"/>
                <w14:textFill>
                  <w14:solidFill>
                    <w14:schemeClr w14:val="tx1"/>
                  </w14:solidFill>
                </w14:textFill>
              </w:rPr>
              <w:sym w:font="Webdings" w:char="F063"/>
            </w:r>
          </w:p>
        </w:tc>
        <w:tc>
          <w:tcPr>
            <w:tcW w:w="3767" w:type="dxa"/>
            <w:gridSpan w:val="9"/>
            <w:vAlign w:val="center"/>
          </w:tcPr>
          <w:p w14:paraId="0AC64F61">
            <w:pPr>
              <w:spacing w:before="156" w:beforeLines="50" w:after="156" w:afterLines="50"/>
              <w:rPr>
                <w:rFonts w:ascii="Times New Roman" w:hAnsi="Times New Roman"/>
                <w:szCs w:val="21"/>
                <w:lang w:val="sq-AL"/>
              </w:rPr>
            </w:pPr>
            <w:r>
              <w:rPr>
                <w:rFonts w:ascii="Times New Roman" w:hAnsi="Times New Roman"/>
                <w:szCs w:val="21"/>
                <w:lang w:val="sq-AL"/>
              </w:rPr>
              <w:t>现住址：</w:t>
            </w:r>
            <w:r>
              <w:rPr>
                <w:rFonts w:ascii="Times New Roman" w:hAnsi="Times New Roman"/>
                <w:szCs w:val="21"/>
              </w:rPr>
              <w:t>_____省_____市_____区／县</w:t>
            </w:r>
          </w:p>
        </w:tc>
      </w:tr>
      <w:tr w14:paraId="1EADD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680" w:hRule="exact"/>
        </w:trPr>
        <w:tc>
          <w:tcPr>
            <w:tcW w:w="9286" w:type="dxa"/>
            <w:gridSpan w:val="18"/>
            <w:vAlign w:val="center"/>
          </w:tcPr>
          <w:p w14:paraId="507474B3">
            <w:pPr>
              <w:spacing w:before="156" w:beforeLines="50" w:after="156" w:afterLines="50"/>
              <w:rPr>
                <w:rFonts w:ascii="Times New Roman" w:hAnsi="Times New Roman"/>
                <w:szCs w:val="21"/>
                <w:lang w:val="sq-AL"/>
              </w:rPr>
            </w:pPr>
            <w:r>
              <w:rPr>
                <w:rFonts w:ascii="Times New Roman" w:hAnsi="Times New Roman"/>
                <w:szCs w:val="21"/>
                <w:lang w:val="sq-AL"/>
              </w:rPr>
              <w:t>学历：</w:t>
            </w:r>
            <w:r>
              <w:rPr>
                <w:rFonts w:ascii="Times New Roman" w:hAnsi="Times New Roman" w:eastAsia="MS Mincho"/>
              </w:rPr>
              <w:t>□</w:t>
            </w:r>
            <w:r>
              <w:rPr>
                <w:rFonts w:ascii="Times New Roman" w:hAnsi="Times New Roman"/>
                <w:szCs w:val="21"/>
                <w:lang w:val="sq-AL"/>
              </w:rPr>
              <w:t xml:space="preserve">小学   </w:t>
            </w:r>
            <w:r>
              <w:rPr>
                <w:rFonts w:ascii="Times New Roman" w:hAnsi="Times New Roman" w:eastAsia="MS Mincho"/>
              </w:rPr>
              <w:t>□</w:t>
            </w:r>
            <w:r>
              <w:rPr>
                <w:rFonts w:ascii="Times New Roman" w:hAnsi="Times New Roman"/>
                <w:szCs w:val="21"/>
                <w:lang w:val="sq-AL"/>
              </w:rPr>
              <w:t xml:space="preserve">初中   </w:t>
            </w:r>
            <w:r>
              <w:rPr>
                <w:rFonts w:ascii="Times New Roman" w:hAnsi="Times New Roman" w:eastAsia="MS Mincho"/>
              </w:rPr>
              <w:t>□</w:t>
            </w:r>
            <w:r>
              <w:rPr>
                <w:rFonts w:ascii="Times New Roman" w:hAnsi="Times New Roman"/>
                <w:szCs w:val="21"/>
                <w:lang w:val="sq-AL"/>
              </w:rPr>
              <w:t xml:space="preserve">高中   </w:t>
            </w:r>
            <w:r>
              <w:rPr>
                <w:rFonts w:ascii="Times New Roman" w:hAnsi="Times New Roman" w:eastAsia="MS Mincho"/>
              </w:rPr>
              <w:t>□</w:t>
            </w:r>
            <w:r>
              <w:rPr>
                <w:rFonts w:ascii="Times New Roman" w:hAnsi="Times New Roman"/>
                <w:szCs w:val="21"/>
                <w:lang w:val="sq-AL"/>
              </w:rPr>
              <w:t xml:space="preserve">大专   </w:t>
            </w:r>
            <w:r>
              <w:rPr>
                <w:rFonts w:ascii="Times New Roman" w:hAnsi="Times New Roman" w:eastAsia="MS Mincho"/>
              </w:rPr>
              <w:t>□</w:t>
            </w:r>
            <w:r>
              <w:rPr>
                <w:rFonts w:ascii="Times New Roman" w:hAnsi="Times New Roman"/>
                <w:szCs w:val="21"/>
                <w:lang w:val="sq-AL"/>
              </w:rPr>
              <w:t xml:space="preserve">本科   </w:t>
            </w:r>
            <w:r>
              <w:rPr>
                <w:rFonts w:ascii="Times New Roman" w:hAnsi="Times New Roman" w:eastAsia="MS Mincho"/>
              </w:rPr>
              <w:t>□</w:t>
            </w:r>
            <w:r>
              <w:rPr>
                <w:rFonts w:ascii="Times New Roman" w:hAnsi="Times New Roman"/>
                <w:szCs w:val="21"/>
                <w:lang w:val="sq-AL"/>
              </w:rPr>
              <w:t xml:space="preserve">硕士   </w:t>
            </w:r>
            <w:r>
              <w:rPr>
                <w:rFonts w:ascii="Times New Roman" w:hAnsi="Times New Roman" w:eastAsia="MS Mincho"/>
              </w:rPr>
              <w:t>□</w:t>
            </w:r>
            <w:r>
              <w:rPr>
                <w:rFonts w:ascii="Times New Roman" w:hAnsi="Times New Roman"/>
                <w:szCs w:val="21"/>
                <w:lang w:val="sq-AL"/>
              </w:rPr>
              <w:t>博士</w:t>
            </w:r>
          </w:p>
        </w:tc>
      </w:tr>
      <w:tr w14:paraId="2DBF8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680" w:hRule="exact"/>
        </w:trPr>
        <w:tc>
          <w:tcPr>
            <w:tcW w:w="9286" w:type="dxa"/>
            <w:gridSpan w:val="18"/>
            <w:shd w:val="clear" w:color="auto" w:fill="BEBEBE" w:themeFill="background1" w:themeFillShade="BF"/>
            <w:vAlign w:val="center"/>
          </w:tcPr>
          <w:p w14:paraId="0F438E87">
            <w:pPr>
              <w:spacing w:before="156" w:beforeLines="50" w:after="156" w:afterLines="50"/>
              <w:rPr>
                <w:rFonts w:ascii="Times New Roman" w:hAnsi="Times New Roman"/>
                <w:szCs w:val="21"/>
                <w:lang w:val="sq-AL"/>
              </w:rPr>
            </w:pPr>
            <w:r>
              <w:rPr>
                <w:rFonts w:ascii="Times New Roman" w:hAnsi="Times New Roman"/>
                <w:b/>
                <w:szCs w:val="18"/>
              </w:rPr>
              <w:t>近期服用光敏性药物 / 食物</w:t>
            </w:r>
          </w:p>
        </w:tc>
      </w:tr>
      <w:tr w14:paraId="46C0E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2197" w:hRule="exact"/>
        </w:trPr>
        <w:tc>
          <w:tcPr>
            <w:tcW w:w="9286" w:type="dxa"/>
            <w:gridSpan w:val="18"/>
            <w:vAlign w:val="center"/>
          </w:tcPr>
          <w:p w14:paraId="2893653F">
            <w:pPr>
              <w:spacing w:before="156" w:beforeLines="50" w:after="156" w:afterLines="50" w:line="360" w:lineRule="auto"/>
              <w:rPr>
                <w:rFonts w:ascii="Times New Roman" w:hAnsi="Times New Roman"/>
                <w:szCs w:val="18"/>
              </w:rPr>
            </w:pPr>
            <w:r>
              <w:rPr>
                <w:rFonts w:ascii="Times New Roman" w:hAnsi="Times New Roman"/>
                <w:szCs w:val="21"/>
              </w:rPr>
              <w:t>□</w:t>
            </w:r>
            <w:r>
              <w:rPr>
                <w:rFonts w:ascii="Times New Roman" w:hAnsi="Times New Roman"/>
                <w:szCs w:val="18"/>
              </w:rPr>
              <w:t>降压药</w:t>
            </w:r>
            <w:r>
              <w:rPr>
                <w:rFonts w:hint="eastAsia" w:ascii="Times New Roman" w:hAnsi="Times New Roman"/>
                <w:szCs w:val="18"/>
              </w:rPr>
              <w:t xml:space="preserve">  </w:t>
            </w:r>
            <w:r>
              <w:rPr>
                <w:rFonts w:ascii="Times New Roman" w:hAnsi="Times New Roman"/>
                <w:szCs w:val="21"/>
              </w:rPr>
              <w:t>□</w:t>
            </w:r>
            <w:r>
              <w:rPr>
                <w:rFonts w:ascii="Times New Roman" w:hAnsi="Times New Roman"/>
                <w:szCs w:val="18"/>
              </w:rPr>
              <w:t xml:space="preserve">磺胺类    </w:t>
            </w:r>
            <w:r>
              <w:rPr>
                <w:rFonts w:ascii="Times New Roman" w:hAnsi="Times New Roman"/>
                <w:szCs w:val="21"/>
              </w:rPr>
              <w:t>□四环素类</w:t>
            </w:r>
            <w:r>
              <w:rPr>
                <w:rFonts w:ascii="Times New Roman" w:hAnsi="Times New Roman"/>
                <w:szCs w:val="18"/>
              </w:rPr>
              <w:t xml:space="preserve">  </w:t>
            </w:r>
            <w:r>
              <w:rPr>
                <w:rFonts w:ascii="Times New Roman" w:hAnsi="Times New Roman"/>
                <w:szCs w:val="21"/>
              </w:rPr>
              <w:t>□灰黄霉素  □</w:t>
            </w:r>
            <w:r>
              <w:rPr>
                <w:rFonts w:ascii="Times New Roman" w:hAnsi="Times New Roman"/>
                <w:szCs w:val="18"/>
              </w:rPr>
              <w:t xml:space="preserve">水杨酸类 </w:t>
            </w:r>
          </w:p>
          <w:p w14:paraId="399FF1D6">
            <w:pPr>
              <w:spacing w:before="156" w:beforeLines="50" w:after="156" w:afterLines="50" w:line="360" w:lineRule="auto"/>
              <w:rPr>
                <w:rFonts w:ascii="Times New Roman" w:hAnsi="Times New Roman"/>
                <w:szCs w:val="21"/>
              </w:rPr>
            </w:pPr>
            <w:r>
              <w:rPr>
                <w:rFonts w:ascii="Times New Roman" w:hAnsi="Times New Roman"/>
                <w:szCs w:val="21"/>
              </w:rPr>
              <w:t xml:space="preserve">□荆芥   </w:t>
            </w:r>
            <w:r>
              <w:rPr>
                <w:rFonts w:ascii="Times New Roman" w:hAnsi="Times New Roman"/>
                <w:szCs w:val="18"/>
              </w:rPr>
              <w:t xml:space="preserve"> </w:t>
            </w:r>
            <w:r>
              <w:rPr>
                <w:rFonts w:ascii="Times New Roman" w:hAnsi="Times New Roman"/>
                <w:szCs w:val="21"/>
              </w:rPr>
              <w:t>□防风    □沙参      □</w:t>
            </w:r>
            <w:r>
              <w:rPr>
                <w:rFonts w:ascii="Times New Roman" w:hAnsi="Times New Roman"/>
                <w:szCs w:val="18"/>
              </w:rPr>
              <w:t xml:space="preserve">白芷      </w:t>
            </w:r>
            <w:r>
              <w:rPr>
                <w:rFonts w:ascii="Times New Roman" w:hAnsi="Times New Roman"/>
                <w:szCs w:val="21"/>
              </w:rPr>
              <w:t>□</w:t>
            </w:r>
            <w:r>
              <w:rPr>
                <w:rFonts w:ascii="Times New Roman" w:hAnsi="Times New Roman"/>
                <w:szCs w:val="18"/>
              </w:rPr>
              <w:t xml:space="preserve">补骨脂 </w:t>
            </w:r>
          </w:p>
          <w:p w14:paraId="480D7150">
            <w:pPr>
              <w:spacing w:before="156" w:beforeLines="50" w:after="156" w:afterLines="50"/>
              <w:rPr>
                <w:rFonts w:ascii="Times New Roman" w:hAnsi="Times New Roman"/>
                <w:szCs w:val="21"/>
                <w:lang w:val="sq-AL"/>
              </w:rPr>
            </w:pPr>
            <w:r>
              <w:rPr>
                <w:rFonts w:ascii="Times New Roman" w:hAnsi="Times New Roman"/>
                <w:szCs w:val="21"/>
              </w:rPr>
              <w:t xml:space="preserve">□莴苣   </w:t>
            </w:r>
            <w:r>
              <w:rPr>
                <w:rFonts w:ascii="Times New Roman" w:hAnsi="Times New Roman"/>
                <w:szCs w:val="18"/>
              </w:rPr>
              <w:t xml:space="preserve"> </w:t>
            </w:r>
            <w:r>
              <w:rPr>
                <w:rFonts w:ascii="Times New Roman" w:hAnsi="Times New Roman"/>
                <w:szCs w:val="21"/>
              </w:rPr>
              <w:t>□芹菜    □芥菜      □芒果</w:t>
            </w:r>
            <w:r>
              <w:rPr>
                <w:rFonts w:ascii="Times New Roman" w:hAnsi="Times New Roman"/>
                <w:szCs w:val="18"/>
              </w:rPr>
              <w:t xml:space="preserve">      </w:t>
            </w:r>
            <w:r>
              <w:rPr>
                <w:rFonts w:ascii="Times New Roman" w:hAnsi="Times New Roman"/>
                <w:szCs w:val="21"/>
              </w:rPr>
              <w:t>□菠萝    □其他 ______</w:t>
            </w:r>
          </w:p>
        </w:tc>
      </w:tr>
      <w:tr w14:paraId="63899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485" w:hRule="atLeast"/>
        </w:trPr>
        <w:tc>
          <w:tcPr>
            <w:tcW w:w="9286" w:type="dxa"/>
            <w:gridSpan w:val="18"/>
            <w:shd w:val="clear" w:color="auto" w:fill="D9D9D9"/>
            <w:vAlign w:val="center"/>
          </w:tcPr>
          <w:p w14:paraId="71EB1B77">
            <w:pPr>
              <w:spacing w:before="156" w:beforeLines="50" w:after="156" w:afterLines="50"/>
              <w:rPr>
                <w:rFonts w:ascii="Times New Roman" w:hAnsi="Times New Roman"/>
                <w:b/>
                <w:szCs w:val="21"/>
              </w:rPr>
            </w:pPr>
            <w:r>
              <w:rPr>
                <w:rFonts w:ascii="Times New Roman" w:hAnsi="Times New Roman"/>
                <w:b/>
                <w:szCs w:val="21"/>
              </w:rPr>
              <w:t>银屑病史</w:t>
            </w:r>
          </w:p>
        </w:tc>
      </w:tr>
      <w:tr w14:paraId="610A4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Height w:val="397" w:hRule="atLeast"/>
        </w:trPr>
        <w:tc>
          <w:tcPr>
            <w:tcW w:w="9286" w:type="dxa"/>
            <w:gridSpan w:val="18"/>
          </w:tcPr>
          <w:p w14:paraId="310618A0">
            <w:pPr>
              <w:spacing w:before="156" w:beforeLines="50" w:after="156" w:afterLines="50"/>
              <w:rPr>
                <w:rFonts w:ascii="Times New Roman" w:hAnsi="Times New Roman"/>
                <w:szCs w:val="21"/>
              </w:rPr>
            </w:pPr>
            <w:r>
              <w:rPr>
                <w:rFonts w:ascii="Times New Roman" w:hAnsi="Times New Roman"/>
                <w:szCs w:val="21"/>
              </w:rPr>
              <w:t>首次诊断日期：|__|__|__|__|年|__|__|月|__|__|日</w:t>
            </w:r>
          </w:p>
          <w:p w14:paraId="51EB88E4">
            <w:pPr>
              <w:spacing w:before="156" w:beforeLines="50" w:after="156" w:afterLines="50"/>
              <w:rPr>
                <w:rFonts w:ascii="Times New Roman" w:hAnsi="Times New Roman"/>
                <w:szCs w:val="21"/>
              </w:rPr>
            </w:pPr>
            <w:r>
              <w:rPr>
                <w:rFonts w:hint="eastAsia" w:ascii="Times New Roman" w:hAnsi="Times New Roman"/>
                <w:szCs w:val="21"/>
              </w:rPr>
              <w:t>银屑病首发部位：</w:t>
            </w:r>
            <w:r>
              <w:rPr>
                <w:rFonts w:hint="eastAsia" w:ascii="Times New Roman" w:hAnsi="Times New Roman" w:eastAsia="MS Mincho"/>
              </w:rPr>
              <w:t>□</w:t>
            </w:r>
            <w:r>
              <w:rPr>
                <w:rFonts w:hint="eastAsia" w:ascii="Times New Roman" w:hAnsi="Times New Roman"/>
                <w:szCs w:val="21"/>
              </w:rPr>
              <w:t>头颈部</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躯干</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上肢</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下肢   □具体部位不详</w:t>
            </w:r>
          </w:p>
          <w:p w14:paraId="53EF79B4">
            <w:pPr>
              <w:spacing w:before="156" w:beforeLines="50" w:after="156" w:afterLines="50"/>
              <w:rPr>
                <w:rFonts w:ascii="Times New Roman" w:hAnsi="Times New Roman"/>
                <w:szCs w:val="21"/>
                <w:u w:val="single"/>
              </w:rPr>
            </w:pPr>
            <w:r>
              <w:rPr>
                <w:rFonts w:hint="eastAsia" w:ascii="Times New Roman" w:hAnsi="Times New Roman"/>
                <w:szCs w:val="21"/>
              </w:rPr>
              <w:t>首次发病诱发因素：</w:t>
            </w:r>
            <w:r>
              <w:rPr>
                <w:rFonts w:hint="eastAsia" w:ascii="Times New Roman" w:hAnsi="Times New Roman" w:eastAsia="MS Mincho"/>
              </w:rPr>
              <w:t>□</w:t>
            </w:r>
            <w:r>
              <w:rPr>
                <w:rFonts w:hint="eastAsia" w:ascii="Times New Roman" w:hAnsi="Times New Roman"/>
                <w:szCs w:val="21"/>
              </w:rPr>
              <w:t>感染</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外伤</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手术</w:t>
            </w:r>
            <w:r>
              <w:rPr>
                <w:rFonts w:ascii="Times New Roman" w:hAnsi="Times New Roman"/>
                <w:szCs w:val="21"/>
              </w:rPr>
              <w:t xml:space="preserve"> </w:t>
            </w:r>
            <w:r>
              <w:rPr>
                <w:rFonts w:hint="eastAsia" w:ascii="Times New Roman" w:hAnsi="Times New Roman"/>
              </w:rPr>
              <w:t>□</w:t>
            </w:r>
            <w:r>
              <w:rPr>
                <w:rFonts w:hint="eastAsia" w:ascii="Times New Roman" w:hAnsi="Times New Roman"/>
                <w:szCs w:val="21"/>
              </w:rPr>
              <w:t>药物</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精神因素</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其他，</w:t>
            </w:r>
            <w:r>
              <w:rPr>
                <w:rFonts w:ascii="Times New Roman" w:hAnsi="Times New Roman" w:eastAsiaTheme="minorEastAsia"/>
                <w:szCs w:val="21"/>
                <w:u w:val="single"/>
              </w:rPr>
              <w:t xml:space="preserve">          </w:t>
            </w:r>
            <w:r>
              <w:rPr>
                <w:rFonts w:ascii="Times New Roman" w:hAnsi="Times New Roman"/>
                <w:szCs w:val="21"/>
              </w:rPr>
              <w:t xml:space="preserve">  </w:t>
            </w:r>
            <w:r>
              <w:rPr>
                <w:rFonts w:hint="eastAsia" w:ascii="Times New Roman" w:hAnsi="Times New Roman" w:eastAsia="MS Mincho"/>
              </w:rPr>
              <w:t>□</w:t>
            </w:r>
            <w:r>
              <w:rPr>
                <w:rFonts w:hint="eastAsia" w:ascii="Times New Roman" w:hAnsi="Times New Roman"/>
                <w:szCs w:val="21"/>
              </w:rPr>
              <w:t>无</w:t>
            </w:r>
          </w:p>
          <w:p w14:paraId="251CD74B">
            <w:pPr>
              <w:spacing w:before="156" w:beforeLines="50" w:after="156" w:afterLines="50"/>
              <w:rPr>
                <w:rFonts w:ascii="Times New Roman" w:hAnsi="Times New Roman"/>
                <w:szCs w:val="21"/>
              </w:rPr>
            </w:pPr>
            <w:r>
              <w:rPr>
                <w:rFonts w:ascii="Times New Roman" w:hAnsi="Times New Roman"/>
                <w:szCs w:val="21"/>
              </w:rPr>
              <w:t>银屑病治疗史：</w:t>
            </w:r>
          </w:p>
          <w:p w14:paraId="5E7C171C">
            <w:pPr>
              <w:tabs>
                <w:tab w:val="left" w:pos="2325"/>
              </w:tabs>
              <w:rPr>
                <w:rFonts w:ascii="Times New Roman" w:hAnsi="Times New Roman"/>
                <w:szCs w:val="21"/>
              </w:rPr>
            </w:pPr>
            <w:r>
              <w:rPr>
                <w:rFonts w:hint="eastAsia"/>
                <w:szCs w:val="21"/>
              </w:rPr>
              <w:t>外用药物治疗情况：</w:t>
            </w:r>
            <w:r>
              <w:rPr>
                <w:szCs w:val="21"/>
              </w:rPr>
              <w:t xml:space="preserve"> </w:t>
            </w:r>
            <w:r>
              <w:rPr>
                <w:rFonts w:hint="eastAsia"/>
                <w:szCs w:val="21"/>
              </w:rPr>
              <w:t>□无</w:t>
            </w:r>
            <w:r>
              <w:rPr>
                <w:szCs w:val="21"/>
              </w:rPr>
              <w:t xml:space="preserve">  </w:t>
            </w:r>
            <w:r>
              <w:rPr>
                <w:rFonts w:hint="eastAsia"/>
                <w:szCs w:val="21"/>
              </w:rPr>
              <w:t>□有</w:t>
            </w:r>
            <w:r>
              <w:rPr>
                <w:szCs w:val="21"/>
              </w:rPr>
              <w:t xml:space="preserve">  </w:t>
            </w:r>
          </w:p>
          <w:p w14:paraId="598F7638">
            <w:pPr>
              <w:tabs>
                <w:tab w:val="left" w:pos="2325"/>
              </w:tabs>
              <w:rPr>
                <w:rFonts w:hint="eastAsia"/>
                <w:szCs w:val="21"/>
              </w:rPr>
            </w:pPr>
            <w:r>
              <w:rPr>
                <w:rFonts w:hint="eastAsia"/>
                <w:szCs w:val="21"/>
              </w:rPr>
              <w:t>光疗：□无</w:t>
            </w:r>
            <w:r>
              <w:rPr>
                <w:szCs w:val="21"/>
              </w:rPr>
              <w:t xml:space="preserve">  </w:t>
            </w:r>
            <w:r>
              <w:rPr>
                <w:rFonts w:hint="eastAsia"/>
                <w:szCs w:val="21"/>
              </w:rPr>
              <w:t>□有</w:t>
            </w:r>
            <w:r>
              <w:rPr>
                <w:szCs w:val="21"/>
              </w:rPr>
              <w:t xml:space="preserve">  </w:t>
            </w:r>
            <w:r>
              <w:rPr>
                <w:rFonts w:hint="eastAsia"/>
                <w:szCs w:val="21"/>
              </w:rPr>
              <w:t>如有，累计光疗时长：</w:t>
            </w:r>
            <w:r>
              <w:rPr>
                <w:szCs w:val="21"/>
              </w:rPr>
              <w:t>|__|__|__|</w:t>
            </w:r>
            <w:r>
              <w:rPr>
                <w:rFonts w:hint="eastAsia"/>
                <w:szCs w:val="21"/>
              </w:rPr>
              <w:t>月</w:t>
            </w:r>
            <w:r>
              <w:rPr>
                <w:szCs w:val="21"/>
              </w:rPr>
              <w:t xml:space="preserve"> </w:t>
            </w:r>
          </w:p>
          <w:p w14:paraId="6FB73582">
            <w:pPr>
              <w:tabs>
                <w:tab w:val="left" w:pos="2325"/>
              </w:tabs>
              <w:rPr>
                <w:rFonts w:hint="eastAsia"/>
                <w:szCs w:val="21"/>
              </w:rPr>
            </w:pPr>
            <w:r>
              <w:rPr>
                <w:rFonts w:hint="eastAsia"/>
                <w:szCs w:val="21"/>
              </w:rPr>
              <w:t>系统药物治疗情况：</w:t>
            </w:r>
          </w:p>
          <w:p w14:paraId="628C9D08">
            <w:pPr>
              <w:tabs>
                <w:tab w:val="left" w:pos="2325"/>
              </w:tabs>
              <w:rPr>
                <w:rFonts w:hint="eastAsia"/>
                <w:szCs w:val="21"/>
              </w:rPr>
            </w:pPr>
            <w:r>
              <w:rPr>
                <w:rFonts w:hint="eastAsia"/>
                <w:szCs w:val="21"/>
              </w:rPr>
              <w:t>（</w:t>
            </w:r>
            <w:r>
              <w:rPr>
                <w:szCs w:val="21"/>
              </w:rPr>
              <w:t>1</w:t>
            </w:r>
            <w:r>
              <w:rPr>
                <w:rFonts w:hint="eastAsia"/>
                <w:szCs w:val="21"/>
              </w:rPr>
              <w:t>）阿维</w:t>
            </w:r>
            <w:r>
              <w:rPr>
                <w:szCs w:val="21"/>
              </w:rPr>
              <w:t>A</w:t>
            </w:r>
            <w:r>
              <w:rPr>
                <w:rFonts w:hint="eastAsia"/>
                <w:szCs w:val="21"/>
              </w:rPr>
              <w:t>：</w:t>
            </w:r>
            <w:r>
              <w:rPr>
                <w:szCs w:val="21"/>
              </w:rPr>
              <w:t xml:space="preserve"> </w:t>
            </w:r>
            <w:r>
              <w:rPr>
                <w:rFonts w:hint="eastAsia"/>
                <w:szCs w:val="21"/>
              </w:rPr>
              <w:t>□无</w:t>
            </w:r>
            <w:r>
              <w:rPr>
                <w:szCs w:val="21"/>
              </w:rPr>
              <w:t xml:space="preserve">  </w:t>
            </w:r>
            <w:r>
              <w:rPr>
                <w:rFonts w:hint="eastAsia"/>
                <w:szCs w:val="21"/>
              </w:rPr>
              <w:t>□有</w:t>
            </w:r>
            <w:r>
              <w:rPr>
                <w:szCs w:val="21"/>
              </w:rPr>
              <w:t xml:space="preserve">  </w:t>
            </w:r>
            <w:r>
              <w:rPr>
                <w:rFonts w:hint="eastAsia"/>
                <w:szCs w:val="21"/>
              </w:rPr>
              <w:t>如有，累计用药时长：</w:t>
            </w:r>
            <w:r>
              <w:rPr>
                <w:szCs w:val="21"/>
              </w:rPr>
              <w:t>|__|__|__|</w:t>
            </w:r>
            <w:r>
              <w:rPr>
                <w:rFonts w:hint="eastAsia"/>
                <w:szCs w:val="21"/>
              </w:rPr>
              <w:t>月</w:t>
            </w:r>
          </w:p>
          <w:p w14:paraId="47712FD2">
            <w:pPr>
              <w:tabs>
                <w:tab w:val="left" w:pos="2325"/>
              </w:tabs>
              <w:rPr>
                <w:rFonts w:hint="eastAsia"/>
                <w:szCs w:val="21"/>
              </w:rPr>
            </w:pPr>
            <w:r>
              <w:rPr>
                <w:rFonts w:hint="eastAsia"/>
                <w:szCs w:val="21"/>
              </w:rPr>
              <w:t>（</w:t>
            </w:r>
            <w:r>
              <w:rPr>
                <w:szCs w:val="21"/>
              </w:rPr>
              <w:t>2</w:t>
            </w:r>
            <w:r>
              <w:rPr>
                <w:rFonts w:hint="eastAsia"/>
                <w:szCs w:val="21"/>
              </w:rPr>
              <w:t>）甲氨蝶呤：</w:t>
            </w:r>
            <w:r>
              <w:rPr>
                <w:szCs w:val="21"/>
              </w:rPr>
              <w:t xml:space="preserve"> </w:t>
            </w:r>
            <w:r>
              <w:rPr>
                <w:rFonts w:hint="eastAsia"/>
                <w:szCs w:val="21"/>
              </w:rPr>
              <w:t>□无</w:t>
            </w:r>
            <w:r>
              <w:rPr>
                <w:szCs w:val="21"/>
              </w:rPr>
              <w:t xml:space="preserve">  </w:t>
            </w:r>
            <w:r>
              <w:rPr>
                <w:rFonts w:hint="eastAsia"/>
                <w:szCs w:val="21"/>
              </w:rPr>
              <w:t>□有</w:t>
            </w:r>
            <w:r>
              <w:rPr>
                <w:szCs w:val="21"/>
              </w:rPr>
              <w:t xml:space="preserve">  </w:t>
            </w:r>
            <w:r>
              <w:rPr>
                <w:rFonts w:hint="eastAsia"/>
                <w:szCs w:val="21"/>
              </w:rPr>
              <w:t>如有，累计用药时长：</w:t>
            </w:r>
            <w:r>
              <w:rPr>
                <w:szCs w:val="21"/>
              </w:rPr>
              <w:t>|__|__|__|</w:t>
            </w:r>
            <w:r>
              <w:rPr>
                <w:rFonts w:hint="eastAsia"/>
                <w:szCs w:val="21"/>
              </w:rPr>
              <w:t>月</w:t>
            </w:r>
            <w:r>
              <w:rPr>
                <w:szCs w:val="21"/>
              </w:rPr>
              <w:t xml:space="preserve"> </w:t>
            </w:r>
          </w:p>
          <w:p w14:paraId="5C44650D">
            <w:pPr>
              <w:tabs>
                <w:tab w:val="left" w:pos="2325"/>
              </w:tabs>
              <w:rPr>
                <w:rFonts w:hint="eastAsia"/>
                <w:szCs w:val="21"/>
              </w:rPr>
            </w:pPr>
            <w:r>
              <w:rPr>
                <w:rFonts w:hint="eastAsia"/>
                <w:szCs w:val="21"/>
              </w:rPr>
              <w:t>（3）环孢素：</w:t>
            </w:r>
            <w:r>
              <w:rPr>
                <w:szCs w:val="21"/>
              </w:rPr>
              <w:t xml:space="preserve"> </w:t>
            </w:r>
            <w:r>
              <w:rPr>
                <w:rFonts w:hint="eastAsia"/>
                <w:szCs w:val="21"/>
              </w:rPr>
              <w:t>□无</w:t>
            </w:r>
            <w:r>
              <w:rPr>
                <w:szCs w:val="21"/>
              </w:rPr>
              <w:t xml:space="preserve">  </w:t>
            </w:r>
            <w:r>
              <w:rPr>
                <w:rFonts w:hint="eastAsia"/>
                <w:szCs w:val="21"/>
              </w:rPr>
              <w:t>□有</w:t>
            </w:r>
            <w:r>
              <w:rPr>
                <w:szCs w:val="21"/>
              </w:rPr>
              <w:t xml:space="preserve">  </w:t>
            </w:r>
            <w:r>
              <w:rPr>
                <w:rFonts w:hint="eastAsia"/>
                <w:szCs w:val="21"/>
              </w:rPr>
              <w:t>如有，累计用药时长：</w:t>
            </w:r>
            <w:r>
              <w:rPr>
                <w:szCs w:val="21"/>
              </w:rPr>
              <w:t>|__|__|__|</w:t>
            </w:r>
            <w:r>
              <w:rPr>
                <w:rFonts w:hint="eastAsia"/>
                <w:szCs w:val="21"/>
              </w:rPr>
              <w:t>月</w:t>
            </w:r>
          </w:p>
          <w:p w14:paraId="46E594CA">
            <w:pPr>
              <w:tabs>
                <w:tab w:val="left" w:pos="2325"/>
              </w:tabs>
              <w:rPr>
                <w:rFonts w:hint="eastAsia"/>
                <w:szCs w:val="21"/>
              </w:rPr>
            </w:pPr>
            <w:r>
              <w:rPr>
                <w:rFonts w:hint="eastAsia"/>
                <w:szCs w:val="21"/>
              </w:rPr>
              <w:t>（4）中成药：</w:t>
            </w:r>
            <w:r>
              <w:rPr>
                <w:szCs w:val="21"/>
              </w:rPr>
              <w:t xml:space="preserve"> </w:t>
            </w:r>
            <w:r>
              <w:rPr>
                <w:rFonts w:hint="eastAsia"/>
                <w:szCs w:val="21"/>
              </w:rPr>
              <w:t>□无</w:t>
            </w:r>
            <w:r>
              <w:rPr>
                <w:szCs w:val="21"/>
              </w:rPr>
              <w:t xml:space="preserve">  </w:t>
            </w:r>
            <w:r>
              <w:rPr>
                <w:rFonts w:hint="eastAsia"/>
                <w:szCs w:val="21"/>
              </w:rPr>
              <w:t>□有</w:t>
            </w:r>
            <w:r>
              <w:rPr>
                <w:szCs w:val="21"/>
              </w:rPr>
              <w:t xml:space="preserve">  </w:t>
            </w:r>
            <w:r>
              <w:rPr>
                <w:rFonts w:hint="eastAsia"/>
                <w:szCs w:val="21"/>
              </w:rPr>
              <w:t>如有，累计用药时长：</w:t>
            </w:r>
            <w:r>
              <w:rPr>
                <w:szCs w:val="21"/>
              </w:rPr>
              <w:t>|__|__|__|</w:t>
            </w:r>
            <w:r>
              <w:rPr>
                <w:rFonts w:hint="eastAsia"/>
                <w:szCs w:val="21"/>
              </w:rPr>
              <w:t>月</w:t>
            </w:r>
          </w:p>
          <w:p w14:paraId="7089E6E4">
            <w:pPr>
              <w:tabs>
                <w:tab w:val="left" w:pos="2325"/>
              </w:tabs>
              <w:rPr>
                <w:rFonts w:hint="eastAsia"/>
                <w:szCs w:val="21"/>
              </w:rPr>
            </w:pPr>
            <w:r>
              <w:rPr>
                <w:rFonts w:hint="eastAsia"/>
                <w:szCs w:val="21"/>
              </w:rPr>
              <w:t>（5）中草药：</w:t>
            </w:r>
            <w:r>
              <w:rPr>
                <w:szCs w:val="21"/>
              </w:rPr>
              <w:t xml:space="preserve"> </w:t>
            </w:r>
            <w:r>
              <w:rPr>
                <w:rFonts w:hint="eastAsia"/>
                <w:szCs w:val="21"/>
              </w:rPr>
              <w:t>□无</w:t>
            </w:r>
            <w:r>
              <w:rPr>
                <w:szCs w:val="21"/>
              </w:rPr>
              <w:t xml:space="preserve">  </w:t>
            </w:r>
            <w:r>
              <w:rPr>
                <w:rFonts w:hint="eastAsia"/>
                <w:szCs w:val="21"/>
              </w:rPr>
              <w:t>□有</w:t>
            </w:r>
            <w:r>
              <w:rPr>
                <w:szCs w:val="21"/>
              </w:rPr>
              <w:t xml:space="preserve">  </w:t>
            </w:r>
            <w:r>
              <w:rPr>
                <w:rFonts w:hint="eastAsia"/>
                <w:szCs w:val="21"/>
              </w:rPr>
              <w:t>如有，累计用药时长：</w:t>
            </w:r>
            <w:r>
              <w:rPr>
                <w:szCs w:val="21"/>
              </w:rPr>
              <w:t>|__|__|__|</w:t>
            </w:r>
            <w:r>
              <w:rPr>
                <w:rFonts w:hint="eastAsia"/>
                <w:szCs w:val="21"/>
              </w:rPr>
              <w:t>月</w:t>
            </w:r>
          </w:p>
          <w:p w14:paraId="756BAD0A">
            <w:pPr>
              <w:tabs>
                <w:tab w:val="left" w:pos="2325"/>
              </w:tabs>
              <w:rPr>
                <w:rFonts w:hint="eastAsia"/>
                <w:szCs w:val="21"/>
              </w:rPr>
            </w:pPr>
            <w:r>
              <w:rPr>
                <w:rFonts w:hint="eastAsia"/>
                <w:szCs w:val="21"/>
              </w:rPr>
              <w:t>（6）生物制剂：</w:t>
            </w:r>
            <w:r>
              <w:rPr>
                <w:szCs w:val="21"/>
              </w:rPr>
              <w:t xml:space="preserve"> </w:t>
            </w:r>
            <w:r>
              <w:rPr>
                <w:rFonts w:hint="eastAsia"/>
                <w:szCs w:val="21"/>
              </w:rPr>
              <w:t>□无</w:t>
            </w:r>
            <w:r>
              <w:rPr>
                <w:szCs w:val="21"/>
              </w:rPr>
              <w:t xml:space="preserve">  </w:t>
            </w:r>
            <w:r>
              <w:rPr>
                <w:rFonts w:hint="eastAsia"/>
                <w:szCs w:val="21"/>
              </w:rPr>
              <w:t>□有 (________)</w:t>
            </w:r>
            <w:r>
              <w:rPr>
                <w:szCs w:val="21"/>
              </w:rPr>
              <w:t xml:space="preserve">  </w:t>
            </w:r>
            <w:r>
              <w:rPr>
                <w:rFonts w:hint="eastAsia"/>
                <w:szCs w:val="21"/>
              </w:rPr>
              <w:t>如有，累计用药时长：</w:t>
            </w:r>
            <w:r>
              <w:rPr>
                <w:szCs w:val="21"/>
              </w:rPr>
              <w:t>|__|__|__|</w:t>
            </w:r>
            <w:r>
              <w:rPr>
                <w:rFonts w:hint="eastAsia"/>
                <w:szCs w:val="21"/>
              </w:rPr>
              <w:t>月</w:t>
            </w:r>
          </w:p>
          <w:p w14:paraId="3EDA4E58">
            <w:pPr>
              <w:tabs>
                <w:tab w:val="left" w:pos="2325"/>
              </w:tabs>
              <w:rPr>
                <w:rFonts w:hint="eastAsia"/>
                <w:szCs w:val="21"/>
              </w:rPr>
            </w:pPr>
            <w:r>
              <w:rPr>
                <w:rFonts w:hint="eastAsia"/>
                <w:szCs w:val="21"/>
              </w:rPr>
              <w:t>（7）小分子靶向药物：</w:t>
            </w:r>
            <w:r>
              <w:rPr>
                <w:szCs w:val="21"/>
              </w:rPr>
              <w:t xml:space="preserve"> </w:t>
            </w:r>
            <w:r>
              <w:rPr>
                <w:rFonts w:hint="eastAsia"/>
                <w:szCs w:val="21"/>
              </w:rPr>
              <w:t>□无</w:t>
            </w:r>
            <w:r>
              <w:rPr>
                <w:szCs w:val="21"/>
              </w:rPr>
              <w:t xml:space="preserve">  </w:t>
            </w:r>
            <w:r>
              <w:rPr>
                <w:rFonts w:hint="eastAsia"/>
                <w:szCs w:val="21"/>
              </w:rPr>
              <w:t>□有 (________)</w:t>
            </w:r>
            <w:r>
              <w:rPr>
                <w:szCs w:val="21"/>
              </w:rPr>
              <w:t xml:space="preserve">  </w:t>
            </w:r>
            <w:r>
              <w:rPr>
                <w:rFonts w:hint="eastAsia"/>
                <w:szCs w:val="21"/>
              </w:rPr>
              <w:t>如有，累计用药时长：</w:t>
            </w:r>
            <w:r>
              <w:rPr>
                <w:szCs w:val="21"/>
              </w:rPr>
              <w:t>|__|__|__|</w:t>
            </w:r>
            <w:r>
              <w:rPr>
                <w:rFonts w:hint="eastAsia"/>
                <w:szCs w:val="21"/>
              </w:rPr>
              <w:t>月</w:t>
            </w:r>
          </w:p>
          <w:p w14:paraId="57FC6D98">
            <w:pPr>
              <w:spacing w:before="156" w:beforeLines="50" w:after="156" w:afterLines="50"/>
              <w:rPr>
                <w:rFonts w:hint="eastAsia"/>
                <w:szCs w:val="21"/>
              </w:rPr>
            </w:pPr>
            <w:r>
              <w:rPr>
                <w:rFonts w:hint="eastAsia"/>
                <w:szCs w:val="21"/>
              </w:rPr>
              <w:t>直系亲属中是否有人罹患银屑病：□无</w:t>
            </w:r>
            <w:r>
              <w:rPr>
                <w:szCs w:val="21"/>
              </w:rPr>
              <w:t xml:space="preserve">   </w:t>
            </w:r>
            <w:r>
              <w:rPr>
                <w:rFonts w:hint="eastAsia"/>
                <w:szCs w:val="21"/>
              </w:rPr>
              <w:t>□有</w:t>
            </w:r>
          </w:p>
          <w:p w14:paraId="0A054214">
            <w:pPr>
              <w:spacing w:before="156" w:beforeLines="50" w:after="156" w:afterLines="50"/>
              <w:ind w:firstLine="240" w:firstLineChars="100"/>
              <w:rPr>
                <w:rFonts w:hint="eastAsia"/>
                <w:szCs w:val="21"/>
              </w:rPr>
            </w:pPr>
            <w:r>
              <w:rPr>
                <w:rFonts w:hint="eastAsia"/>
                <w:szCs w:val="21"/>
              </w:rPr>
              <w:t>如有，请勾选亲属关系：□父母</w:t>
            </w:r>
            <w:r>
              <w:rPr>
                <w:szCs w:val="21"/>
              </w:rPr>
              <w:t xml:space="preserve">  </w:t>
            </w:r>
            <w:r>
              <w:rPr>
                <w:rFonts w:hint="eastAsia"/>
                <w:szCs w:val="21"/>
              </w:rPr>
              <w:t>□兄弟姐妹</w:t>
            </w:r>
            <w:r>
              <w:rPr>
                <w:szCs w:val="21"/>
              </w:rPr>
              <w:t xml:space="preserve">  </w:t>
            </w:r>
            <w:r>
              <w:rPr>
                <w:rFonts w:hint="eastAsia"/>
                <w:szCs w:val="21"/>
              </w:rPr>
              <w:t>□子女</w:t>
            </w:r>
            <w:r>
              <w:rPr>
                <w:szCs w:val="21"/>
              </w:rPr>
              <w:t xml:space="preserve">  </w:t>
            </w:r>
            <w:r>
              <w:rPr>
                <w:rFonts w:hint="eastAsia"/>
                <w:szCs w:val="21"/>
              </w:rPr>
              <w:t>□祖父母/外祖父母  □叔侄  □其他</w:t>
            </w:r>
            <w:r>
              <w:rPr>
                <w:rFonts w:hint="eastAsia"/>
                <w:szCs w:val="21"/>
                <w:u w:val="single"/>
              </w:rPr>
              <w:t xml:space="preserve">  </w:t>
            </w:r>
          </w:p>
          <w:p w14:paraId="06C4B549">
            <w:pPr>
              <w:spacing w:before="156" w:beforeLines="50" w:after="156" w:afterLines="50"/>
              <w:rPr>
                <w:rFonts w:hint="eastAsia"/>
                <w:szCs w:val="21"/>
              </w:rPr>
            </w:pPr>
            <w:r>
              <w:rPr>
                <w:rFonts w:hint="eastAsia"/>
                <w:szCs w:val="21"/>
              </w:rPr>
              <w:t>吸烟史：□从未吸烟</w:t>
            </w:r>
            <w:r>
              <w:rPr>
                <w:szCs w:val="21"/>
              </w:rPr>
              <w:t xml:space="preserve">    </w:t>
            </w:r>
            <w:r>
              <w:rPr>
                <w:rFonts w:hint="eastAsia"/>
                <w:szCs w:val="21"/>
              </w:rPr>
              <w:t>□曾吸烟但已戒烟</w:t>
            </w:r>
            <w:r>
              <w:rPr>
                <w:szCs w:val="21"/>
              </w:rPr>
              <w:t xml:space="preserve">    </w:t>
            </w:r>
            <w:r>
              <w:rPr>
                <w:rFonts w:hint="eastAsia"/>
                <w:szCs w:val="21"/>
              </w:rPr>
              <w:t xml:space="preserve">□正在吸烟    </w:t>
            </w:r>
            <w:r>
              <w:rPr>
                <w:szCs w:val="21"/>
              </w:rPr>
              <w:t xml:space="preserve">    </w:t>
            </w:r>
          </w:p>
          <w:p w14:paraId="436B77F4">
            <w:pPr>
              <w:spacing w:before="156" w:beforeLines="50" w:after="156" w:afterLines="50"/>
              <w:rPr>
                <w:rFonts w:hint="eastAsia"/>
                <w:szCs w:val="21"/>
              </w:rPr>
            </w:pPr>
            <w:r>
              <w:rPr>
                <w:rFonts w:hint="eastAsia"/>
                <w:szCs w:val="21"/>
              </w:rPr>
              <w:t>饮酒史：□从未饮酒    □曾饮酒但已戒酒    □正在饮酒</w:t>
            </w:r>
          </w:p>
          <w:p w14:paraId="0CE59B98">
            <w:pPr>
              <w:spacing w:before="156" w:beforeLines="50" w:after="156" w:afterLines="50"/>
              <w:rPr>
                <w:rFonts w:hint="eastAsia"/>
                <w:szCs w:val="21"/>
                <w:u w:val="single"/>
              </w:rPr>
            </w:pPr>
            <w:bookmarkStart w:id="50" w:name="OLE_LINK166"/>
            <w:r>
              <w:rPr>
                <w:rFonts w:hint="eastAsia"/>
                <w:szCs w:val="21"/>
              </w:rPr>
              <w:t>银屑病诱发或加重因素</w:t>
            </w:r>
            <w:bookmarkEnd w:id="50"/>
            <w:r>
              <w:rPr>
                <w:rFonts w:hint="eastAsia"/>
                <w:szCs w:val="21"/>
              </w:rPr>
              <w:t>：</w:t>
            </w:r>
            <w:r>
              <w:rPr>
                <w:rFonts w:hint="eastAsia"/>
              </w:rPr>
              <w:t>□</w:t>
            </w:r>
            <w:r>
              <w:rPr>
                <w:rFonts w:hint="eastAsia"/>
                <w:szCs w:val="21"/>
              </w:rPr>
              <w:t>感染</w:t>
            </w:r>
            <w:r>
              <w:rPr>
                <w:szCs w:val="21"/>
              </w:rPr>
              <w:t xml:space="preserve"> </w:t>
            </w:r>
            <w:r>
              <w:rPr>
                <w:rFonts w:hint="eastAsia"/>
              </w:rPr>
              <w:t>□</w:t>
            </w:r>
            <w:r>
              <w:rPr>
                <w:rFonts w:hint="eastAsia"/>
                <w:szCs w:val="21"/>
              </w:rPr>
              <w:t>外伤</w:t>
            </w:r>
            <w:r>
              <w:rPr>
                <w:szCs w:val="21"/>
              </w:rPr>
              <w:t xml:space="preserve"> </w:t>
            </w:r>
            <w:r>
              <w:rPr>
                <w:rFonts w:hint="eastAsia"/>
              </w:rPr>
              <w:t>□</w:t>
            </w:r>
            <w:r>
              <w:rPr>
                <w:rFonts w:hint="eastAsia"/>
                <w:szCs w:val="21"/>
              </w:rPr>
              <w:t>手术</w:t>
            </w:r>
            <w:r>
              <w:rPr>
                <w:szCs w:val="21"/>
              </w:rPr>
              <w:t xml:space="preserve"> </w:t>
            </w:r>
            <w:r>
              <w:rPr/>
              <w:sym w:font="Wingdings 2" w:char="00A3"/>
            </w:r>
            <w:r>
              <w:rPr>
                <w:rFonts w:hint="eastAsia"/>
                <w:szCs w:val="21"/>
              </w:rPr>
              <w:t>药物</w:t>
            </w:r>
            <w:r>
              <w:rPr>
                <w:szCs w:val="21"/>
              </w:rPr>
              <w:t xml:space="preserve"> </w:t>
            </w:r>
            <w:r>
              <w:rPr>
                <w:rFonts w:hint="eastAsia"/>
              </w:rPr>
              <w:t>□</w:t>
            </w:r>
            <w:r>
              <w:rPr>
                <w:rFonts w:hint="eastAsia"/>
                <w:szCs w:val="21"/>
              </w:rPr>
              <w:t>精神因素</w:t>
            </w:r>
            <w:r>
              <w:rPr>
                <w:szCs w:val="21"/>
              </w:rPr>
              <w:t xml:space="preserve"> </w:t>
            </w:r>
            <w:r>
              <w:rPr>
                <w:rFonts w:hint="eastAsia"/>
              </w:rPr>
              <w:t>□</w:t>
            </w:r>
            <w:r>
              <w:rPr>
                <w:rFonts w:hint="eastAsia"/>
                <w:szCs w:val="21"/>
              </w:rPr>
              <w:t>其他，</w:t>
            </w:r>
            <w:r>
              <w:rPr>
                <w:szCs w:val="21"/>
                <w:u w:val="single"/>
              </w:rPr>
              <w:t xml:space="preserve">    </w:t>
            </w:r>
            <w:r>
              <w:rPr>
                <w:szCs w:val="21"/>
              </w:rPr>
              <w:t xml:space="preserve">  </w:t>
            </w:r>
            <w:r>
              <w:rPr>
                <w:rFonts w:hint="eastAsia"/>
                <w:szCs w:val="21"/>
              </w:rPr>
              <w:t>□无</w:t>
            </w:r>
            <w:r>
              <w:rPr>
                <w:szCs w:val="21"/>
              </w:rPr>
              <w:t xml:space="preserve">    </w:t>
            </w:r>
          </w:p>
          <w:p w14:paraId="5F8EC26D">
            <w:pPr>
              <w:spacing w:before="156" w:beforeLines="50" w:after="156" w:afterLines="50"/>
              <w:rPr>
                <w:rFonts w:hint="eastAsia"/>
                <w:szCs w:val="21"/>
              </w:rPr>
            </w:pPr>
            <w:r>
              <w:rPr>
                <w:rFonts w:hint="eastAsia"/>
                <w:szCs w:val="21"/>
              </w:rPr>
              <w:t>银屑病好发季节：□春季  □夏季  □秋季  □冬季  □各季节无明显差异</w:t>
            </w:r>
            <w:bookmarkStart w:id="51" w:name="OLE_LINK167"/>
          </w:p>
          <w:p w14:paraId="02C5AFE2">
            <w:pPr>
              <w:spacing w:before="156" w:beforeLines="50" w:after="156" w:afterLines="50"/>
              <w:rPr>
                <w:rFonts w:hint="eastAsia"/>
                <w:szCs w:val="21"/>
              </w:rPr>
            </w:pPr>
            <w:r>
              <w:rPr>
                <w:rFonts w:hint="eastAsia"/>
                <w:szCs w:val="21"/>
              </w:rPr>
              <w:t xml:space="preserve">过敏史/过敏性疾病史：□无   □有    </w:t>
            </w:r>
          </w:p>
          <w:p w14:paraId="74F9343C">
            <w:pPr>
              <w:spacing w:before="156" w:beforeLines="50" w:after="156" w:afterLines="50"/>
              <w:ind w:firstLine="960" w:firstLineChars="400"/>
              <w:rPr>
                <w:rFonts w:hint="eastAsia"/>
                <w:szCs w:val="21"/>
              </w:rPr>
            </w:pPr>
            <w:r>
              <w:rPr>
                <w:rFonts w:hint="eastAsia"/>
                <w:szCs w:val="21"/>
              </w:rPr>
              <w:t xml:space="preserve">如有，请勾选：□湿疹/特应性皮炎 □过敏性鼻炎  □荨麻疹  □哮喘 </w:t>
            </w:r>
          </w:p>
          <w:p w14:paraId="1755D86A">
            <w:pPr>
              <w:spacing w:before="156" w:beforeLines="50" w:after="156" w:afterLines="50"/>
              <w:ind w:firstLine="2640" w:firstLineChars="1100"/>
              <w:rPr>
                <w:rFonts w:hint="eastAsia"/>
                <w:szCs w:val="21"/>
              </w:rPr>
            </w:pPr>
            <w:r>
              <w:rPr>
                <w:rFonts w:hint="eastAsia"/>
                <w:szCs w:val="21"/>
              </w:rPr>
              <w:t>□过敏性结膜炎    □食物/花粉过敏   □药物过敏（）    □其他：</w:t>
            </w:r>
            <w:r>
              <w:rPr>
                <w:rFonts w:hint="eastAsia"/>
                <w:szCs w:val="21"/>
                <w:u w:val="single"/>
              </w:rPr>
              <w:t xml:space="preserve">        </w:t>
            </w:r>
            <w:r>
              <w:rPr>
                <w:rFonts w:hint="eastAsia"/>
                <w:szCs w:val="21"/>
              </w:rPr>
              <w:t xml:space="preserve"> </w:t>
            </w:r>
          </w:p>
          <w:bookmarkEnd w:id="51"/>
          <w:p w14:paraId="535C133A">
            <w:pPr>
              <w:tabs>
                <w:tab w:val="left" w:pos="2325"/>
              </w:tabs>
              <w:rPr>
                <w:rFonts w:hint="eastAsia"/>
                <w:szCs w:val="21"/>
              </w:rPr>
            </w:pPr>
            <w:r>
              <w:rPr>
                <w:rFonts w:hint="eastAsia"/>
                <w:szCs w:val="21"/>
              </w:rPr>
              <w:t>银屑病共病情况：</w:t>
            </w:r>
          </w:p>
          <w:p w14:paraId="0E5A852B">
            <w:pPr>
              <w:tabs>
                <w:tab w:val="left" w:pos="2325"/>
              </w:tabs>
              <w:rPr>
                <w:rFonts w:hint="eastAsia"/>
                <w:color w:val="000000"/>
                <w:spacing w:val="-7"/>
                <w:position w:val="1"/>
                <w:szCs w:val="21"/>
              </w:rPr>
            </w:pPr>
            <w:r>
              <w:rPr>
                <w:color w:val="000000"/>
                <w:spacing w:val="-7"/>
                <w:position w:val="1"/>
                <w:szCs w:val="21"/>
              </w:rPr>
              <w:t xml:space="preserve"> </w:t>
            </w:r>
          </w:p>
          <w:tbl>
            <w:tblPr>
              <w:tblStyle w:val="17"/>
              <w:tblW w:w="4852" w:type="pct"/>
              <w:tblInd w:w="0" w:type="dxa"/>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ayout w:type="fixed"/>
              <w:tblCellMar>
                <w:top w:w="0" w:type="dxa"/>
                <w:left w:w="108" w:type="dxa"/>
                <w:bottom w:w="0" w:type="dxa"/>
                <w:right w:w="108" w:type="dxa"/>
              </w:tblCellMar>
            </w:tblPr>
            <w:tblGrid>
              <w:gridCol w:w="2198"/>
              <w:gridCol w:w="2198"/>
              <w:gridCol w:w="2198"/>
              <w:gridCol w:w="2198"/>
            </w:tblGrid>
            <w:tr w14:paraId="56C5B0AA">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41B38814">
                  <w:pPr>
                    <w:jc w:val="center"/>
                    <w:rPr>
                      <w:rFonts w:ascii="Times New Roman" w:hAnsi="Times New Roman"/>
                      <w:bCs/>
                    </w:rPr>
                  </w:pPr>
                </w:p>
              </w:tc>
              <w:tc>
                <w:tcPr>
                  <w:tcW w:w="1250" w:type="pct"/>
                  <w:vAlign w:val="center"/>
                </w:tcPr>
                <w:p w14:paraId="1F784FB8">
                  <w:pPr>
                    <w:jc w:val="center"/>
                    <w:rPr>
                      <w:rFonts w:ascii="Times New Roman" w:hAnsi="Times New Roman"/>
                      <w:bCs/>
                    </w:rPr>
                  </w:pPr>
                  <w:r>
                    <w:rPr>
                      <w:rFonts w:ascii="Times New Roman" w:hAnsi="Times New Roman"/>
                      <w:bCs/>
                    </w:rPr>
                    <w:t>无</w:t>
                  </w:r>
                </w:p>
              </w:tc>
              <w:tc>
                <w:tcPr>
                  <w:tcW w:w="1250" w:type="pct"/>
                  <w:vAlign w:val="center"/>
                </w:tcPr>
                <w:p w14:paraId="65970143">
                  <w:pPr>
                    <w:jc w:val="center"/>
                    <w:rPr>
                      <w:rFonts w:ascii="Times New Roman" w:hAnsi="Times New Roman"/>
                      <w:bCs/>
                    </w:rPr>
                  </w:pPr>
                  <w:r>
                    <w:rPr>
                      <w:rFonts w:ascii="Times New Roman" w:hAnsi="Times New Roman"/>
                      <w:bCs/>
                    </w:rPr>
                    <w:t>目前有</w:t>
                  </w:r>
                  <w:r>
                    <w:rPr>
                      <w:rFonts w:hint="eastAsia" w:ascii="Times New Roman" w:hAnsi="Times New Roman"/>
                      <w:bCs/>
                    </w:rPr>
                    <w:t>但未治疗</w:t>
                  </w:r>
                </w:p>
              </w:tc>
              <w:tc>
                <w:tcPr>
                  <w:tcW w:w="1250" w:type="pct"/>
                  <w:vAlign w:val="center"/>
                </w:tcPr>
                <w:p w14:paraId="6D1842C0">
                  <w:pPr>
                    <w:jc w:val="center"/>
                    <w:rPr>
                      <w:rFonts w:ascii="Times New Roman" w:hAnsi="Times New Roman"/>
                      <w:bCs/>
                    </w:rPr>
                  </w:pPr>
                  <w:r>
                    <w:rPr>
                      <w:rFonts w:ascii="Times New Roman" w:hAnsi="Times New Roman"/>
                      <w:bCs/>
                    </w:rPr>
                    <w:t>正在治疗</w:t>
                  </w:r>
                </w:p>
              </w:tc>
            </w:tr>
            <w:tr w14:paraId="08EE3449">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79175FC4">
                  <w:pPr>
                    <w:jc w:val="center"/>
                    <w:rPr>
                      <w:rFonts w:ascii="Times New Roman" w:hAnsi="Times New Roman"/>
                      <w:bCs/>
                    </w:rPr>
                  </w:pPr>
                  <w:r>
                    <w:rPr>
                      <w:rFonts w:ascii="Times New Roman" w:hAnsi="Times New Roman"/>
                      <w:bCs/>
                    </w:rPr>
                    <w:t>脑卒中</w:t>
                  </w:r>
                </w:p>
              </w:tc>
              <w:tc>
                <w:tcPr>
                  <w:tcW w:w="1250" w:type="pct"/>
                  <w:vAlign w:val="center"/>
                </w:tcPr>
                <w:p w14:paraId="10C1E5A1">
                  <w:pPr>
                    <w:jc w:val="center"/>
                    <w:rPr>
                      <w:rFonts w:ascii="Times New Roman" w:hAnsi="Times New Roman"/>
                      <w:bCs/>
                    </w:rPr>
                  </w:pPr>
                  <w:r>
                    <w:rPr>
                      <w:rFonts w:ascii="Times New Roman" w:hAnsi="Times New Roman"/>
                      <w:bCs/>
                    </w:rPr>
                    <w:t>□</w:t>
                  </w:r>
                </w:p>
              </w:tc>
              <w:tc>
                <w:tcPr>
                  <w:tcW w:w="1250" w:type="pct"/>
                  <w:vAlign w:val="center"/>
                </w:tcPr>
                <w:p w14:paraId="79931C0A">
                  <w:pPr>
                    <w:jc w:val="center"/>
                    <w:rPr>
                      <w:rFonts w:ascii="Times New Roman" w:hAnsi="Times New Roman"/>
                      <w:bCs/>
                    </w:rPr>
                  </w:pPr>
                  <w:r>
                    <w:rPr>
                      <w:rFonts w:ascii="Times New Roman" w:hAnsi="Times New Roman"/>
                      <w:bCs/>
                    </w:rPr>
                    <w:t>□</w:t>
                  </w:r>
                </w:p>
              </w:tc>
              <w:tc>
                <w:tcPr>
                  <w:tcW w:w="1250" w:type="pct"/>
                  <w:vAlign w:val="center"/>
                </w:tcPr>
                <w:p w14:paraId="1BA7A193">
                  <w:pPr>
                    <w:jc w:val="center"/>
                    <w:rPr>
                      <w:rFonts w:ascii="Times New Roman" w:hAnsi="Times New Roman"/>
                      <w:bCs/>
                    </w:rPr>
                  </w:pPr>
                  <w:r>
                    <w:rPr>
                      <w:rFonts w:ascii="Times New Roman" w:hAnsi="Times New Roman"/>
                      <w:bCs/>
                    </w:rPr>
                    <w:t>□</w:t>
                  </w:r>
                </w:p>
              </w:tc>
            </w:tr>
            <w:tr w14:paraId="1BB060CC">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35588A9E">
                  <w:pPr>
                    <w:jc w:val="center"/>
                    <w:rPr>
                      <w:rFonts w:ascii="Times New Roman" w:hAnsi="Times New Roman"/>
                      <w:bCs/>
                    </w:rPr>
                  </w:pPr>
                  <w:r>
                    <w:rPr>
                      <w:rFonts w:ascii="Times New Roman" w:hAnsi="Times New Roman"/>
                      <w:bCs/>
                    </w:rPr>
                    <w:t>冠心病</w:t>
                  </w:r>
                </w:p>
              </w:tc>
              <w:tc>
                <w:tcPr>
                  <w:tcW w:w="1250" w:type="pct"/>
                  <w:vAlign w:val="center"/>
                </w:tcPr>
                <w:p w14:paraId="20CAAEC9">
                  <w:pPr>
                    <w:jc w:val="center"/>
                    <w:rPr>
                      <w:rFonts w:ascii="Times New Roman" w:hAnsi="Times New Roman"/>
                      <w:bCs/>
                    </w:rPr>
                  </w:pPr>
                  <w:r>
                    <w:rPr>
                      <w:rFonts w:ascii="Times New Roman" w:hAnsi="Times New Roman"/>
                      <w:bCs/>
                    </w:rPr>
                    <w:t>□</w:t>
                  </w:r>
                </w:p>
              </w:tc>
              <w:tc>
                <w:tcPr>
                  <w:tcW w:w="1250" w:type="pct"/>
                  <w:vAlign w:val="center"/>
                </w:tcPr>
                <w:p w14:paraId="1AA01144">
                  <w:pPr>
                    <w:jc w:val="center"/>
                    <w:rPr>
                      <w:rFonts w:ascii="Times New Roman" w:hAnsi="Times New Roman"/>
                      <w:bCs/>
                    </w:rPr>
                  </w:pPr>
                  <w:r>
                    <w:rPr>
                      <w:rFonts w:ascii="Times New Roman" w:hAnsi="Times New Roman"/>
                      <w:bCs/>
                    </w:rPr>
                    <w:t>□</w:t>
                  </w:r>
                </w:p>
              </w:tc>
              <w:tc>
                <w:tcPr>
                  <w:tcW w:w="1250" w:type="pct"/>
                  <w:vAlign w:val="center"/>
                </w:tcPr>
                <w:p w14:paraId="09C312AE">
                  <w:pPr>
                    <w:jc w:val="center"/>
                    <w:rPr>
                      <w:rFonts w:ascii="Times New Roman" w:hAnsi="Times New Roman"/>
                      <w:bCs/>
                    </w:rPr>
                  </w:pPr>
                  <w:r>
                    <w:rPr>
                      <w:rFonts w:ascii="Times New Roman" w:hAnsi="Times New Roman"/>
                      <w:bCs/>
                    </w:rPr>
                    <w:t>□</w:t>
                  </w:r>
                </w:p>
              </w:tc>
            </w:tr>
            <w:tr w14:paraId="505CF8B2">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587E45CE">
                  <w:pPr>
                    <w:jc w:val="center"/>
                    <w:rPr>
                      <w:rFonts w:ascii="Times New Roman" w:hAnsi="Times New Roman"/>
                      <w:bCs/>
                    </w:rPr>
                  </w:pPr>
                  <w:r>
                    <w:rPr>
                      <w:rFonts w:ascii="Times New Roman" w:hAnsi="Times New Roman"/>
                      <w:bCs/>
                    </w:rPr>
                    <w:t>高血压</w:t>
                  </w:r>
                </w:p>
              </w:tc>
              <w:tc>
                <w:tcPr>
                  <w:tcW w:w="1250" w:type="pct"/>
                  <w:vAlign w:val="center"/>
                </w:tcPr>
                <w:p w14:paraId="7F48C58D">
                  <w:pPr>
                    <w:jc w:val="center"/>
                    <w:rPr>
                      <w:rFonts w:ascii="Times New Roman" w:hAnsi="Times New Roman"/>
                      <w:bCs/>
                    </w:rPr>
                  </w:pPr>
                  <w:r>
                    <w:rPr>
                      <w:rFonts w:ascii="Times New Roman" w:hAnsi="Times New Roman"/>
                      <w:bCs/>
                    </w:rPr>
                    <w:t>□</w:t>
                  </w:r>
                </w:p>
              </w:tc>
              <w:tc>
                <w:tcPr>
                  <w:tcW w:w="1250" w:type="pct"/>
                  <w:vAlign w:val="center"/>
                </w:tcPr>
                <w:p w14:paraId="25CFAAA2">
                  <w:pPr>
                    <w:jc w:val="center"/>
                    <w:rPr>
                      <w:rFonts w:ascii="Times New Roman" w:hAnsi="Times New Roman"/>
                      <w:bCs/>
                    </w:rPr>
                  </w:pPr>
                  <w:r>
                    <w:rPr>
                      <w:rFonts w:ascii="Times New Roman" w:hAnsi="Times New Roman"/>
                      <w:bCs/>
                    </w:rPr>
                    <w:t>□</w:t>
                  </w:r>
                </w:p>
              </w:tc>
              <w:tc>
                <w:tcPr>
                  <w:tcW w:w="1250" w:type="pct"/>
                  <w:vAlign w:val="center"/>
                </w:tcPr>
                <w:p w14:paraId="2AD1DECC">
                  <w:pPr>
                    <w:jc w:val="center"/>
                    <w:rPr>
                      <w:rFonts w:ascii="Times New Roman" w:hAnsi="Times New Roman"/>
                      <w:bCs/>
                    </w:rPr>
                  </w:pPr>
                  <w:r>
                    <w:rPr>
                      <w:rFonts w:ascii="Times New Roman" w:hAnsi="Times New Roman"/>
                      <w:bCs/>
                    </w:rPr>
                    <w:t>□</w:t>
                  </w:r>
                </w:p>
              </w:tc>
            </w:tr>
            <w:tr w14:paraId="343FF3A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19BDB489">
                  <w:pPr>
                    <w:jc w:val="center"/>
                    <w:rPr>
                      <w:rFonts w:ascii="Times New Roman" w:hAnsi="Times New Roman"/>
                      <w:bCs/>
                    </w:rPr>
                  </w:pPr>
                  <w:r>
                    <w:rPr>
                      <w:rFonts w:hint="eastAsia" w:ascii="Times New Roman" w:hAnsi="Times New Roman"/>
                      <w:bCs/>
                    </w:rPr>
                    <w:t>心肌梗死</w:t>
                  </w:r>
                </w:p>
              </w:tc>
              <w:tc>
                <w:tcPr>
                  <w:tcW w:w="1250" w:type="pct"/>
                  <w:vAlign w:val="center"/>
                </w:tcPr>
                <w:p w14:paraId="1DC3A684">
                  <w:pPr>
                    <w:jc w:val="center"/>
                    <w:rPr>
                      <w:rFonts w:ascii="Times New Roman" w:hAnsi="Times New Roman"/>
                      <w:bCs/>
                    </w:rPr>
                  </w:pPr>
                  <w:r>
                    <w:rPr>
                      <w:rFonts w:ascii="Times New Roman" w:hAnsi="Times New Roman"/>
                      <w:bCs/>
                    </w:rPr>
                    <w:t>□</w:t>
                  </w:r>
                </w:p>
              </w:tc>
              <w:tc>
                <w:tcPr>
                  <w:tcW w:w="1250" w:type="pct"/>
                  <w:vAlign w:val="center"/>
                </w:tcPr>
                <w:p w14:paraId="75D7D903">
                  <w:pPr>
                    <w:jc w:val="center"/>
                    <w:rPr>
                      <w:rFonts w:ascii="Times New Roman" w:hAnsi="Times New Roman"/>
                      <w:bCs/>
                    </w:rPr>
                  </w:pPr>
                  <w:r>
                    <w:rPr>
                      <w:rFonts w:ascii="Times New Roman" w:hAnsi="Times New Roman"/>
                      <w:bCs/>
                    </w:rPr>
                    <w:t>□</w:t>
                  </w:r>
                </w:p>
              </w:tc>
              <w:tc>
                <w:tcPr>
                  <w:tcW w:w="1250" w:type="pct"/>
                  <w:vAlign w:val="center"/>
                </w:tcPr>
                <w:p w14:paraId="74AD37BB">
                  <w:pPr>
                    <w:jc w:val="center"/>
                    <w:rPr>
                      <w:rFonts w:ascii="Times New Roman" w:hAnsi="Times New Roman"/>
                      <w:bCs/>
                    </w:rPr>
                  </w:pPr>
                  <w:r>
                    <w:rPr>
                      <w:rFonts w:ascii="Times New Roman" w:hAnsi="Times New Roman"/>
                      <w:bCs/>
                    </w:rPr>
                    <w:t>□</w:t>
                  </w:r>
                </w:p>
              </w:tc>
            </w:tr>
            <w:tr w14:paraId="04F6829F">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147304BE">
                  <w:pPr>
                    <w:jc w:val="center"/>
                    <w:rPr>
                      <w:rFonts w:ascii="Times New Roman" w:hAnsi="Times New Roman"/>
                      <w:bCs/>
                    </w:rPr>
                  </w:pPr>
                  <w:r>
                    <w:rPr>
                      <w:rFonts w:ascii="Times New Roman" w:hAnsi="Times New Roman"/>
                      <w:bCs/>
                    </w:rPr>
                    <w:t>炎症性肠病</w:t>
                  </w:r>
                </w:p>
              </w:tc>
              <w:tc>
                <w:tcPr>
                  <w:tcW w:w="1250" w:type="pct"/>
                  <w:vAlign w:val="center"/>
                </w:tcPr>
                <w:p w14:paraId="1B89B3E8">
                  <w:pPr>
                    <w:jc w:val="center"/>
                    <w:rPr>
                      <w:rFonts w:ascii="Times New Roman" w:hAnsi="Times New Roman"/>
                      <w:bCs/>
                    </w:rPr>
                  </w:pPr>
                  <w:r>
                    <w:rPr>
                      <w:rFonts w:ascii="Times New Roman" w:hAnsi="Times New Roman"/>
                      <w:bCs/>
                    </w:rPr>
                    <w:t>□</w:t>
                  </w:r>
                </w:p>
              </w:tc>
              <w:tc>
                <w:tcPr>
                  <w:tcW w:w="1250" w:type="pct"/>
                  <w:vAlign w:val="center"/>
                </w:tcPr>
                <w:p w14:paraId="0CC79EAE">
                  <w:pPr>
                    <w:jc w:val="center"/>
                    <w:rPr>
                      <w:rFonts w:ascii="Times New Roman" w:hAnsi="Times New Roman"/>
                      <w:bCs/>
                    </w:rPr>
                  </w:pPr>
                  <w:r>
                    <w:rPr>
                      <w:rFonts w:ascii="Times New Roman" w:hAnsi="Times New Roman"/>
                      <w:bCs/>
                    </w:rPr>
                    <w:t>□</w:t>
                  </w:r>
                </w:p>
              </w:tc>
              <w:tc>
                <w:tcPr>
                  <w:tcW w:w="1250" w:type="pct"/>
                  <w:vAlign w:val="center"/>
                </w:tcPr>
                <w:p w14:paraId="611F330E">
                  <w:pPr>
                    <w:jc w:val="center"/>
                    <w:rPr>
                      <w:rFonts w:ascii="Times New Roman" w:hAnsi="Times New Roman"/>
                      <w:bCs/>
                    </w:rPr>
                  </w:pPr>
                  <w:r>
                    <w:rPr>
                      <w:rFonts w:ascii="Times New Roman" w:hAnsi="Times New Roman"/>
                      <w:bCs/>
                    </w:rPr>
                    <w:t>□</w:t>
                  </w:r>
                </w:p>
              </w:tc>
            </w:tr>
            <w:tr w14:paraId="3FC79C74">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7FFDBBC4">
                  <w:pPr>
                    <w:jc w:val="center"/>
                    <w:rPr>
                      <w:rFonts w:ascii="Times New Roman" w:hAnsi="Times New Roman"/>
                      <w:bCs/>
                    </w:rPr>
                  </w:pPr>
                  <w:r>
                    <w:rPr>
                      <w:rFonts w:ascii="Times New Roman" w:hAnsi="Times New Roman"/>
                      <w:bCs/>
                    </w:rPr>
                    <w:t>糖尿病</w:t>
                  </w:r>
                </w:p>
              </w:tc>
              <w:tc>
                <w:tcPr>
                  <w:tcW w:w="1250" w:type="pct"/>
                  <w:vAlign w:val="center"/>
                </w:tcPr>
                <w:p w14:paraId="44193C46">
                  <w:pPr>
                    <w:jc w:val="center"/>
                    <w:rPr>
                      <w:rFonts w:ascii="Times New Roman" w:hAnsi="Times New Roman"/>
                      <w:bCs/>
                    </w:rPr>
                  </w:pPr>
                  <w:r>
                    <w:rPr>
                      <w:rFonts w:ascii="Times New Roman" w:hAnsi="Times New Roman"/>
                      <w:bCs/>
                    </w:rPr>
                    <w:t>□</w:t>
                  </w:r>
                </w:p>
              </w:tc>
              <w:tc>
                <w:tcPr>
                  <w:tcW w:w="1250" w:type="pct"/>
                  <w:vAlign w:val="center"/>
                </w:tcPr>
                <w:p w14:paraId="172A1CD4">
                  <w:pPr>
                    <w:jc w:val="center"/>
                    <w:rPr>
                      <w:rFonts w:ascii="Times New Roman" w:hAnsi="Times New Roman"/>
                      <w:bCs/>
                    </w:rPr>
                  </w:pPr>
                  <w:r>
                    <w:rPr>
                      <w:rFonts w:ascii="Times New Roman" w:hAnsi="Times New Roman"/>
                      <w:bCs/>
                    </w:rPr>
                    <w:t>□</w:t>
                  </w:r>
                </w:p>
              </w:tc>
              <w:tc>
                <w:tcPr>
                  <w:tcW w:w="1250" w:type="pct"/>
                  <w:vAlign w:val="center"/>
                </w:tcPr>
                <w:p w14:paraId="45A0AADC">
                  <w:pPr>
                    <w:jc w:val="center"/>
                    <w:rPr>
                      <w:rFonts w:ascii="Times New Roman" w:hAnsi="Times New Roman"/>
                      <w:bCs/>
                    </w:rPr>
                  </w:pPr>
                  <w:r>
                    <w:rPr>
                      <w:rFonts w:ascii="Times New Roman" w:hAnsi="Times New Roman"/>
                      <w:bCs/>
                    </w:rPr>
                    <w:t>□</w:t>
                  </w:r>
                </w:p>
              </w:tc>
            </w:tr>
            <w:tr w14:paraId="398345C1">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67C9E282">
                  <w:pPr>
                    <w:jc w:val="center"/>
                    <w:rPr>
                      <w:rFonts w:ascii="Times New Roman" w:hAnsi="Times New Roman"/>
                      <w:bCs/>
                    </w:rPr>
                  </w:pPr>
                  <w:r>
                    <w:rPr>
                      <w:rFonts w:ascii="Times New Roman" w:hAnsi="Times New Roman"/>
                      <w:bCs/>
                    </w:rPr>
                    <w:t>高尿酸血症</w:t>
                  </w:r>
                </w:p>
              </w:tc>
              <w:tc>
                <w:tcPr>
                  <w:tcW w:w="1250" w:type="pct"/>
                  <w:vAlign w:val="center"/>
                </w:tcPr>
                <w:p w14:paraId="4703834C">
                  <w:pPr>
                    <w:jc w:val="center"/>
                    <w:rPr>
                      <w:rFonts w:ascii="Times New Roman" w:hAnsi="Times New Roman"/>
                      <w:bCs/>
                    </w:rPr>
                  </w:pPr>
                  <w:r>
                    <w:rPr>
                      <w:rFonts w:ascii="Times New Roman" w:hAnsi="Times New Roman"/>
                      <w:bCs/>
                    </w:rPr>
                    <w:t>□</w:t>
                  </w:r>
                </w:p>
              </w:tc>
              <w:tc>
                <w:tcPr>
                  <w:tcW w:w="1250" w:type="pct"/>
                  <w:vAlign w:val="center"/>
                </w:tcPr>
                <w:p w14:paraId="6CD0CDED">
                  <w:pPr>
                    <w:jc w:val="center"/>
                    <w:rPr>
                      <w:rFonts w:ascii="Times New Roman" w:hAnsi="Times New Roman"/>
                      <w:bCs/>
                    </w:rPr>
                  </w:pPr>
                  <w:r>
                    <w:rPr>
                      <w:rFonts w:ascii="Times New Roman" w:hAnsi="Times New Roman"/>
                      <w:bCs/>
                    </w:rPr>
                    <w:t>□</w:t>
                  </w:r>
                </w:p>
              </w:tc>
              <w:tc>
                <w:tcPr>
                  <w:tcW w:w="1250" w:type="pct"/>
                  <w:vAlign w:val="center"/>
                </w:tcPr>
                <w:p w14:paraId="2178FCB4">
                  <w:pPr>
                    <w:jc w:val="center"/>
                    <w:rPr>
                      <w:rFonts w:ascii="Times New Roman" w:hAnsi="Times New Roman"/>
                      <w:bCs/>
                    </w:rPr>
                  </w:pPr>
                  <w:r>
                    <w:rPr>
                      <w:rFonts w:ascii="Times New Roman" w:hAnsi="Times New Roman"/>
                      <w:bCs/>
                    </w:rPr>
                    <w:t>□</w:t>
                  </w:r>
                </w:p>
              </w:tc>
            </w:tr>
            <w:tr w14:paraId="117A0054">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7C17D813">
                  <w:pPr>
                    <w:jc w:val="center"/>
                    <w:rPr>
                      <w:rFonts w:ascii="Times New Roman" w:hAnsi="Times New Roman"/>
                      <w:bCs/>
                    </w:rPr>
                  </w:pPr>
                  <w:r>
                    <w:rPr>
                      <w:rFonts w:ascii="Times New Roman" w:hAnsi="Times New Roman"/>
                      <w:bCs/>
                    </w:rPr>
                    <w:t>高脂血症</w:t>
                  </w:r>
                </w:p>
              </w:tc>
              <w:tc>
                <w:tcPr>
                  <w:tcW w:w="1250" w:type="pct"/>
                  <w:vAlign w:val="center"/>
                </w:tcPr>
                <w:p w14:paraId="39C93E60">
                  <w:pPr>
                    <w:jc w:val="center"/>
                    <w:rPr>
                      <w:rFonts w:ascii="Times New Roman" w:hAnsi="Times New Roman"/>
                      <w:bCs/>
                    </w:rPr>
                  </w:pPr>
                  <w:r>
                    <w:rPr>
                      <w:rFonts w:ascii="Times New Roman" w:hAnsi="Times New Roman"/>
                      <w:bCs/>
                    </w:rPr>
                    <w:t>□</w:t>
                  </w:r>
                </w:p>
              </w:tc>
              <w:tc>
                <w:tcPr>
                  <w:tcW w:w="1250" w:type="pct"/>
                  <w:vAlign w:val="center"/>
                </w:tcPr>
                <w:p w14:paraId="786AAAE2">
                  <w:pPr>
                    <w:jc w:val="center"/>
                    <w:rPr>
                      <w:rFonts w:ascii="Times New Roman" w:hAnsi="Times New Roman"/>
                      <w:bCs/>
                    </w:rPr>
                  </w:pPr>
                  <w:r>
                    <w:rPr>
                      <w:rFonts w:ascii="Times New Roman" w:hAnsi="Times New Roman"/>
                      <w:bCs/>
                    </w:rPr>
                    <w:t>□</w:t>
                  </w:r>
                </w:p>
              </w:tc>
              <w:tc>
                <w:tcPr>
                  <w:tcW w:w="1250" w:type="pct"/>
                  <w:vAlign w:val="center"/>
                </w:tcPr>
                <w:p w14:paraId="2F2AA147">
                  <w:pPr>
                    <w:jc w:val="center"/>
                    <w:rPr>
                      <w:rFonts w:ascii="Times New Roman" w:hAnsi="Times New Roman"/>
                      <w:bCs/>
                    </w:rPr>
                  </w:pPr>
                  <w:r>
                    <w:rPr>
                      <w:rFonts w:ascii="Times New Roman" w:hAnsi="Times New Roman"/>
                      <w:bCs/>
                    </w:rPr>
                    <w:t>□</w:t>
                  </w:r>
                </w:p>
              </w:tc>
            </w:tr>
            <w:tr w14:paraId="19CFE8E0">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106B60B3">
                  <w:pPr>
                    <w:jc w:val="center"/>
                    <w:rPr>
                      <w:rFonts w:ascii="Times New Roman" w:hAnsi="Times New Roman"/>
                      <w:bCs/>
                    </w:rPr>
                  </w:pPr>
                  <w:r>
                    <w:rPr>
                      <w:rFonts w:ascii="Times New Roman" w:hAnsi="Times New Roman"/>
                      <w:bCs/>
                    </w:rPr>
                    <w:t>脂肪肝</w:t>
                  </w:r>
                </w:p>
              </w:tc>
              <w:tc>
                <w:tcPr>
                  <w:tcW w:w="1250" w:type="pct"/>
                  <w:vAlign w:val="center"/>
                </w:tcPr>
                <w:p w14:paraId="02695FC3">
                  <w:pPr>
                    <w:jc w:val="center"/>
                    <w:rPr>
                      <w:rFonts w:ascii="Times New Roman" w:hAnsi="Times New Roman"/>
                      <w:bCs/>
                    </w:rPr>
                  </w:pPr>
                  <w:r>
                    <w:rPr>
                      <w:rFonts w:ascii="Times New Roman" w:hAnsi="Times New Roman"/>
                      <w:bCs/>
                    </w:rPr>
                    <w:t>□</w:t>
                  </w:r>
                </w:p>
              </w:tc>
              <w:tc>
                <w:tcPr>
                  <w:tcW w:w="1250" w:type="pct"/>
                  <w:vAlign w:val="center"/>
                </w:tcPr>
                <w:p w14:paraId="1F8B802D">
                  <w:pPr>
                    <w:jc w:val="center"/>
                    <w:rPr>
                      <w:rFonts w:ascii="Times New Roman" w:hAnsi="Times New Roman"/>
                      <w:bCs/>
                    </w:rPr>
                  </w:pPr>
                  <w:r>
                    <w:rPr>
                      <w:rFonts w:ascii="Times New Roman" w:hAnsi="Times New Roman"/>
                      <w:bCs/>
                    </w:rPr>
                    <w:t>□</w:t>
                  </w:r>
                </w:p>
              </w:tc>
              <w:tc>
                <w:tcPr>
                  <w:tcW w:w="1250" w:type="pct"/>
                  <w:vAlign w:val="center"/>
                </w:tcPr>
                <w:p w14:paraId="45C10B00">
                  <w:pPr>
                    <w:jc w:val="center"/>
                    <w:rPr>
                      <w:rFonts w:ascii="Times New Roman" w:hAnsi="Times New Roman"/>
                      <w:bCs/>
                    </w:rPr>
                  </w:pPr>
                  <w:r>
                    <w:rPr>
                      <w:rFonts w:ascii="Times New Roman" w:hAnsi="Times New Roman"/>
                      <w:bCs/>
                    </w:rPr>
                    <w:t>□</w:t>
                  </w:r>
                </w:p>
              </w:tc>
            </w:tr>
            <w:tr w14:paraId="64A3860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47" w:hRule="atLeast"/>
              </w:trPr>
              <w:tc>
                <w:tcPr>
                  <w:tcW w:w="1250" w:type="pct"/>
                  <w:vAlign w:val="center"/>
                </w:tcPr>
                <w:p w14:paraId="5825A61A">
                  <w:pPr>
                    <w:jc w:val="center"/>
                    <w:rPr>
                      <w:rFonts w:ascii="Times New Roman" w:hAnsi="Times New Roman"/>
                      <w:bCs/>
                    </w:rPr>
                  </w:pPr>
                  <w:r>
                    <w:rPr>
                      <w:rFonts w:ascii="Times New Roman" w:hAnsi="Times New Roman"/>
                      <w:bCs/>
                    </w:rPr>
                    <w:t>慢性肾</w:t>
                  </w:r>
                  <w:r>
                    <w:rPr>
                      <w:rFonts w:hint="eastAsia" w:ascii="Times New Roman" w:hAnsi="Times New Roman"/>
                      <w:bCs/>
                    </w:rPr>
                    <w:t>病</w:t>
                  </w:r>
                </w:p>
              </w:tc>
              <w:tc>
                <w:tcPr>
                  <w:tcW w:w="1250" w:type="pct"/>
                  <w:vAlign w:val="center"/>
                </w:tcPr>
                <w:p w14:paraId="37620D49">
                  <w:pPr>
                    <w:jc w:val="center"/>
                    <w:rPr>
                      <w:rFonts w:ascii="Times New Roman" w:hAnsi="Times New Roman"/>
                      <w:bCs/>
                    </w:rPr>
                  </w:pPr>
                  <w:r>
                    <w:rPr>
                      <w:rFonts w:ascii="Times New Roman" w:hAnsi="Times New Roman"/>
                      <w:bCs/>
                    </w:rPr>
                    <w:t>□</w:t>
                  </w:r>
                </w:p>
              </w:tc>
              <w:tc>
                <w:tcPr>
                  <w:tcW w:w="1250" w:type="pct"/>
                  <w:vAlign w:val="center"/>
                </w:tcPr>
                <w:p w14:paraId="47A47B31">
                  <w:pPr>
                    <w:jc w:val="center"/>
                    <w:rPr>
                      <w:rFonts w:ascii="Times New Roman" w:hAnsi="Times New Roman"/>
                      <w:bCs/>
                    </w:rPr>
                  </w:pPr>
                  <w:r>
                    <w:rPr>
                      <w:rFonts w:ascii="Times New Roman" w:hAnsi="Times New Roman"/>
                      <w:bCs/>
                    </w:rPr>
                    <w:t>□</w:t>
                  </w:r>
                </w:p>
              </w:tc>
              <w:tc>
                <w:tcPr>
                  <w:tcW w:w="1250" w:type="pct"/>
                  <w:vAlign w:val="center"/>
                </w:tcPr>
                <w:p w14:paraId="0C16E032">
                  <w:pPr>
                    <w:jc w:val="center"/>
                    <w:rPr>
                      <w:rFonts w:ascii="Times New Roman" w:hAnsi="Times New Roman"/>
                      <w:bCs/>
                    </w:rPr>
                  </w:pPr>
                  <w:r>
                    <w:rPr>
                      <w:rFonts w:ascii="Times New Roman" w:hAnsi="Times New Roman"/>
                      <w:bCs/>
                    </w:rPr>
                    <w:t>□</w:t>
                  </w:r>
                </w:p>
              </w:tc>
            </w:tr>
            <w:tr w14:paraId="46139763">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7059864B">
                  <w:pPr>
                    <w:jc w:val="center"/>
                    <w:rPr>
                      <w:rFonts w:ascii="Times New Roman" w:hAnsi="Times New Roman"/>
                      <w:bCs/>
                    </w:rPr>
                  </w:pPr>
                  <w:r>
                    <w:rPr>
                      <w:rFonts w:hint="eastAsia" w:ascii="Times New Roman" w:hAnsi="Times New Roman"/>
                      <w:bCs/>
                    </w:rPr>
                    <w:t>焦虑症</w:t>
                  </w:r>
                </w:p>
              </w:tc>
              <w:tc>
                <w:tcPr>
                  <w:tcW w:w="1250" w:type="pct"/>
                  <w:vAlign w:val="center"/>
                </w:tcPr>
                <w:p w14:paraId="3581DD96">
                  <w:pPr>
                    <w:jc w:val="center"/>
                    <w:rPr>
                      <w:rFonts w:ascii="Times New Roman" w:hAnsi="Times New Roman"/>
                      <w:bCs/>
                    </w:rPr>
                  </w:pPr>
                  <w:r>
                    <w:rPr>
                      <w:rFonts w:ascii="Times New Roman" w:hAnsi="Times New Roman"/>
                      <w:bCs/>
                    </w:rPr>
                    <w:t>□</w:t>
                  </w:r>
                </w:p>
              </w:tc>
              <w:tc>
                <w:tcPr>
                  <w:tcW w:w="1250" w:type="pct"/>
                  <w:vAlign w:val="center"/>
                </w:tcPr>
                <w:p w14:paraId="521EA486">
                  <w:pPr>
                    <w:jc w:val="center"/>
                    <w:rPr>
                      <w:rFonts w:ascii="Times New Roman" w:hAnsi="Times New Roman"/>
                      <w:bCs/>
                    </w:rPr>
                  </w:pPr>
                  <w:r>
                    <w:rPr>
                      <w:rFonts w:ascii="Times New Roman" w:hAnsi="Times New Roman"/>
                      <w:bCs/>
                    </w:rPr>
                    <w:t>□</w:t>
                  </w:r>
                </w:p>
              </w:tc>
              <w:tc>
                <w:tcPr>
                  <w:tcW w:w="1250" w:type="pct"/>
                  <w:vAlign w:val="center"/>
                </w:tcPr>
                <w:p w14:paraId="7C9A8B22">
                  <w:pPr>
                    <w:jc w:val="center"/>
                    <w:rPr>
                      <w:rFonts w:ascii="Times New Roman" w:hAnsi="Times New Roman"/>
                      <w:bCs/>
                    </w:rPr>
                  </w:pPr>
                  <w:r>
                    <w:rPr>
                      <w:rFonts w:ascii="Times New Roman" w:hAnsi="Times New Roman"/>
                      <w:bCs/>
                    </w:rPr>
                    <w:t>□</w:t>
                  </w:r>
                </w:p>
                <w:p w14:paraId="4FD88B1D">
                  <w:pPr>
                    <w:rPr>
                      <w:rFonts w:ascii="Times New Roman" w:hAnsi="Times New Roman"/>
                    </w:rPr>
                  </w:pPr>
                </w:p>
                <w:p w14:paraId="415DC9CD">
                  <w:pPr>
                    <w:rPr>
                      <w:rFonts w:ascii="Times New Roman" w:hAnsi="Times New Roman"/>
                    </w:rPr>
                  </w:pPr>
                </w:p>
              </w:tc>
            </w:tr>
            <w:tr w14:paraId="6DF0E0E7">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78A3899A">
                  <w:pPr>
                    <w:jc w:val="center"/>
                    <w:rPr>
                      <w:rFonts w:ascii="Times New Roman" w:hAnsi="Times New Roman"/>
                      <w:bCs/>
                    </w:rPr>
                  </w:pPr>
                  <w:r>
                    <w:rPr>
                      <w:rFonts w:hint="eastAsia" w:ascii="Times New Roman" w:hAnsi="Times New Roman"/>
                      <w:bCs/>
                    </w:rPr>
                    <w:t>抑郁症</w:t>
                  </w:r>
                </w:p>
              </w:tc>
              <w:tc>
                <w:tcPr>
                  <w:tcW w:w="1250" w:type="pct"/>
                  <w:vAlign w:val="center"/>
                </w:tcPr>
                <w:p w14:paraId="34E2D494">
                  <w:pPr>
                    <w:jc w:val="center"/>
                    <w:rPr>
                      <w:rFonts w:ascii="Times New Roman" w:hAnsi="Times New Roman"/>
                      <w:bCs/>
                    </w:rPr>
                  </w:pPr>
                  <w:r>
                    <w:rPr>
                      <w:rFonts w:ascii="Times New Roman" w:hAnsi="Times New Roman"/>
                      <w:bCs/>
                    </w:rPr>
                    <w:t>□</w:t>
                  </w:r>
                </w:p>
              </w:tc>
              <w:tc>
                <w:tcPr>
                  <w:tcW w:w="1250" w:type="pct"/>
                  <w:vAlign w:val="center"/>
                </w:tcPr>
                <w:p w14:paraId="7D020083">
                  <w:pPr>
                    <w:jc w:val="center"/>
                    <w:rPr>
                      <w:rFonts w:ascii="Times New Roman" w:hAnsi="Times New Roman"/>
                      <w:bCs/>
                    </w:rPr>
                  </w:pPr>
                  <w:r>
                    <w:rPr>
                      <w:rFonts w:ascii="Times New Roman" w:hAnsi="Times New Roman"/>
                      <w:bCs/>
                    </w:rPr>
                    <w:t>□</w:t>
                  </w:r>
                </w:p>
              </w:tc>
              <w:tc>
                <w:tcPr>
                  <w:tcW w:w="1250" w:type="pct"/>
                  <w:vAlign w:val="center"/>
                </w:tcPr>
                <w:p w14:paraId="50DA9E1F">
                  <w:pPr>
                    <w:jc w:val="center"/>
                    <w:rPr>
                      <w:rFonts w:ascii="Times New Roman" w:hAnsi="Times New Roman"/>
                      <w:bCs/>
                    </w:rPr>
                  </w:pPr>
                  <w:r>
                    <w:rPr>
                      <w:rFonts w:ascii="Times New Roman" w:hAnsi="Times New Roman"/>
                      <w:bCs/>
                    </w:rPr>
                    <w:t>□</w:t>
                  </w:r>
                </w:p>
              </w:tc>
            </w:tr>
            <w:tr w14:paraId="0F8523BA">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4CF0EF5C">
                  <w:pPr>
                    <w:jc w:val="center"/>
                    <w:rPr>
                      <w:rFonts w:ascii="Times New Roman" w:hAnsi="Times New Roman"/>
                      <w:bCs/>
                    </w:rPr>
                  </w:pPr>
                  <w:r>
                    <w:rPr>
                      <w:rFonts w:hint="eastAsia" w:ascii="Times New Roman" w:hAnsi="Times New Roman"/>
                      <w:bCs/>
                    </w:rPr>
                    <w:t>葡萄膜炎</w:t>
                  </w:r>
                </w:p>
              </w:tc>
              <w:tc>
                <w:tcPr>
                  <w:tcW w:w="1250" w:type="pct"/>
                  <w:vAlign w:val="center"/>
                </w:tcPr>
                <w:p w14:paraId="521B768F">
                  <w:pPr>
                    <w:jc w:val="center"/>
                    <w:rPr>
                      <w:rFonts w:ascii="Times New Roman" w:hAnsi="Times New Roman"/>
                      <w:bCs/>
                    </w:rPr>
                  </w:pPr>
                  <w:r>
                    <w:rPr>
                      <w:rFonts w:ascii="Times New Roman" w:hAnsi="Times New Roman"/>
                      <w:bCs/>
                    </w:rPr>
                    <w:t>□</w:t>
                  </w:r>
                </w:p>
              </w:tc>
              <w:tc>
                <w:tcPr>
                  <w:tcW w:w="1250" w:type="pct"/>
                  <w:vAlign w:val="center"/>
                </w:tcPr>
                <w:p w14:paraId="02A03980">
                  <w:pPr>
                    <w:jc w:val="center"/>
                    <w:rPr>
                      <w:rFonts w:ascii="Times New Roman" w:hAnsi="Times New Roman"/>
                      <w:bCs/>
                    </w:rPr>
                  </w:pPr>
                  <w:r>
                    <w:rPr>
                      <w:rFonts w:ascii="Times New Roman" w:hAnsi="Times New Roman"/>
                      <w:bCs/>
                    </w:rPr>
                    <w:t>□</w:t>
                  </w:r>
                </w:p>
              </w:tc>
              <w:tc>
                <w:tcPr>
                  <w:tcW w:w="1250" w:type="pct"/>
                  <w:vAlign w:val="center"/>
                </w:tcPr>
                <w:p w14:paraId="57CA860A">
                  <w:pPr>
                    <w:jc w:val="center"/>
                    <w:rPr>
                      <w:rFonts w:ascii="Times New Roman" w:hAnsi="Times New Roman"/>
                      <w:bCs/>
                    </w:rPr>
                  </w:pPr>
                  <w:r>
                    <w:rPr>
                      <w:rFonts w:ascii="Times New Roman" w:hAnsi="Times New Roman"/>
                      <w:bCs/>
                    </w:rPr>
                    <w:t>□</w:t>
                  </w:r>
                </w:p>
              </w:tc>
            </w:tr>
            <w:tr w14:paraId="4F2C0255">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vAlign w:val="center"/>
                </w:tcPr>
                <w:p w14:paraId="01B844E1">
                  <w:pPr>
                    <w:rPr>
                      <w:rFonts w:ascii="Times New Roman" w:hAnsi="Times New Roman"/>
                      <w:bCs/>
                      <w:u w:val="single"/>
                    </w:rPr>
                  </w:pPr>
                  <w:r>
                    <w:rPr>
                      <w:rFonts w:ascii="Times New Roman" w:hAnsi="Times New Roman"/>
                      <w:bCs/>
                    </w:rPr>
                    <w:t>其他：</w:t>
                  </w:r>
                  <w:r>
                    <w:rPr>
                      <w:rFonts w:hint="eastAsia" w:ascii="Times New Roman" w:hAnsi="Times New Roman"/>
                      <w:bCs/>
                      <w:u w:val="single"/>
                    </w:rPr>
                    <w:t xml:space="preserve">           </w:t>
                  </w:r>
                </w:p>
              </w:tc>
              <w:tc>
                <w:tcPr>
                  <w:tcW w:w="1250" w:type="pct"/>
                  <w:vAlign w:val="center"/>
                </w:tcPr>
                <w:p w14:paraId="153728F5">
                  <w:pPr>
                    <w:jc w:val="center"/>
                    <w:rPr>
                      <w:rFonts w:ascii="Times New Roman" w:hAnsi="Times New Roman"/>
                      <w:bCs/>
                    </w:rPr>
                  </w:pPr>
                  <w:r>
                    <w:rPr>
                      <w:rFonts w:ascii="Times New Roman" w:hAnsi="Times New Roman"/>
                      <w:bCs/>
                    </w:rPr>
                    <w:t>□</w:t>
                  </w:r>
                </w:p>
              </w:tc>
              <w:tc>
                <w:tcPr>
                  <w:tcW w:w="1250" w:type="pct"/>
                  <w:vAlign w:val="center"/>
                </w:tcPr>
                <w:p w14:paraId="002B01D9">
                  <w:pPr>
                    <w:jc w:val="center"/>
                    <w:rPr>
                      <w:rFonts w:ascii="Times New Roman" w:hAnsi="Times New Roman"/>
                      <w:bCs/>
                    </w:rPr>
                  </w:pPr>
                  <w:r>
                    <w:rPr>
                      <w:rFonts w:ascii="Times New Roman" w:hAnsi="Times New Roman"/>
                      <w:bCs/>
                    </w:rPr>
                    <w:t>□</w:t>
                  </w:r>
                </w:p>
              </w:tc>
              <w:tc>
                <w:tcPr>
                  <w:tcW w:w="1250" w:type="pct"/>
                  <w:vAlign w:val="center"/>
                </w:tcPr>
                <w:p w14:paraId="0CF286DA">
                  <w:pPr>
                    <w:jc w:val="center"/>
                    <w:rPr>
                      <w:rFonts w:ascii="Times New Roman" w:hAnsi="Times New Roman"/>
                      <w:bCs/>
                    </w:rPr>
                  </w:pPr>
                  <w:r>
                    <w:rPr>
                      <w:rFonts w:ascii="Times New Roman" w:hAnsi="Times New Roman"/>
                      <w:bCs/>
                    </w:rPr>
                    <w:t>□</w:t>
                  </w:r>
                </w:p>
              </w:tc>
            </w:tr>
            <w:tr w14:paraId="6ACABCFF">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08" w:hRule="atLeast"/>
              </w:trPr>
              <w:tc>
                <w:tcPr>
                  <w:tcW w:w="1250" w:type="pct"/>
                  <w:tcBorders>
                    <w:left w:val="nil"/>
                    <w:bottom w:val="nil"/>
                    <w:right w:val="nil"/>
                  </w:tcBorders>
                  <w:vAlign w:val="center"/>
                </w:tcPr>
                <w:p w14:paraId="66625461">
                  <w:pPr>
                    <w:jc w:val="center"/>
                    <w:rPr>
                      <w:rFonts w:ascii="Times New Roman" w:hAnsi="Times New Roman"/>
                      <w:bCs/>
                    </w:rPr>
                  </w:pPr>
                </w:p>
              </w:tc>
              <w:tc>
                <w:tcPr>
                  <w:tcW w:w="1250" w:type="pct"/>
                  <w:tcBorders>
                    <w:left w:val="nil"/>
                    <w:bottom w:val="nil"/>
                    <w:right w:val="nil"/>
                  </w:tcBorders>
                  <w:vAlign w:val="center"/>
                </w:tcPr>
                <w:p w14:paraId="654BF22A">
                  <w:pPr>
                    <w:jc w:val="center"/>
                    <w:rPr>
                      <w:rFonts w:ascii="Times New Roman" w:hAnsi="Times New Roman"/>
                      <w:bCs/>
                    </w:rPr>
                  </w:pPr>
                </w:p>
              </w:tc>
              <w:tc>
                <w:tcPr>
                  <w:tcW w:w="1250" w:type="pct"/>
                  <w:tcBorders>
                    <w:left w:val="nil"/>
                    <w:bottom w:val="nil"/>
                    <w:right w:val="nil"/>
                  </w:tcBorders>
                  <w:vAlign w:val="center"/>
                </w:tcPr>
                <w:p w14:paraId="2D9628CC">
                  <w:pPr>
                    <w:jc w:val="center"/>
                    <w:rPr>
                      <w:rFonts w:ascii="Times New Roman" w:hAnsi="Times New Roman"/>
                      <w:bCs/>
                    </w:rPr>
                  </w:pPr>
                </w:p>
              </w:tc>
              <w:tc>
                <w:tcPr>
                  <w:tcW w:w="1250" w:type="pct"/>
                  <w:tcBorders>
                    <w:left w:val="nil"/>
                    <w:bottom w:val="nil"/>
                    <w:right w:val="nil"/>
                  </w:tcBorders>
                  <w:vAlign w:val="center"/>
                </w:tcPr>
                <w:p w14:paraId="74A7F764">
                  <w:pPr>
                    <w:jc w:val="center"/>
                    <w:rPr>
                      <w:rFonts w:ascii="Times New Roman" w:hAnsi="Times New Roman"/>
                      <w:bCs/>
                    </w:rPr>
                  </w:pPr>
                </w:p>
              </w:tc>
            </w:tr>
          </w:tbl>
          <w:p w14:paraId="7EC184A2">
            <w:pPr>
              <w:tabs>
                <w:tab w:val="left" w:pos="2325"/>
              </w:tabs>
              <w:rPr>
                <w:rFonts w:ascii="Times New Roman" w:hAnsi="Times New Roman" w:eastAsiaTheme="minorEastAsia"/>
                <w:color w:val="000000"/>
                <w:spacing w:val="-7"/>
                <w:position w:val="1"/>
                <w:szCs w:val="21"/>
              </w:rPr>
            </w:pPr>
          </w:p>
        </w:tc>
      </w:tr>
      <w:tr w14:paraId="26D29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Pr>
        <w:tc>
          <w:tcPr>
            <w:tcW w:w="9286" w:type="dxa"/>
            <w:gridSpan w:val="18"/>
            <w:shd w:val="clear" w:color="auto" w:fill="BEBEBE" w:themeFill="background1" w:themeFillShade="BF"/>
            <w:vAlign w:val="center"/>
          </w:tcPr>
          <w:p w14:paraId="6162D001">
            <w:pPr>
              <w:spacing w:before="156" w:beforeLines="50" w:after="156" w:afterLines="50" w:line="360" w:lineRule="auto"/>
              <w:rPr>
                <w:rFonts w:ascii="Times New Roman" w:hAnsi="Times New Roman"/>
                <w:szCs w:val="18"/>
              </w:rPr>
            </w:pPr>
            <w:r>
              <w:rPr>
                <w:rFonts w:hint="eastAsia" w:ascii="Times New Roman" w:hAnsi="Times New Roman"/>
                <w:b/>
                <w:szCs w:val="18"/>
              </w:rPr>
              <w:t>特殊部位银屑病</w:t>
            </w:r>
          </w:p>
        </w:tc>
      </w:tr>
      <w:tr w14:paraId="2B3D6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Pr>
        <w:tc>
          <w:tcPr>
            <w:tcW w:w="9286" w:type="dxa"/>
            <w:gridSpan w:val="18"/>
            <w:vAlign w:val="center"/>
          </w:tcPr>
          <w:p w14:paraId="76FB8C2C">
            <w:pPr>
              <w:spacing w:before="156" w:beforeLines="50" w:after="156" w:afterLines="50" w:line="360" w:lineRule="auto"/>
              <w:rPr>
                <w:rFonts w:ascii="Times New Roman" w:hAnsi="Times New Roman"/>
                <w:szCs w:val="18"/>
              </w:rPr>
            </w:pPr>
            <w:bookmarkStart w:id="52" w:name="OLE_LINK168"/>
            <w:r>
              <w:rPr>
                <w:rFonts w:ascii="Times New Roman" w:hAnsi="Times New Roman"/>
                <w:szCs w:val="21"/>
              </w:rPr>
              <w:t>□</w:t>
            </w:r>
            <w:bookmarkEnd w:id="52"/>
            <w:r>
              <w:rPr>
                <w:rFonts w:hint="eastAsia" w:ascii="Times New Roman" w:hAnsi="Times New Roman"/>
                <w:szCs w:val="18"/>
              </w:rPr>
              <w:t xml:space="preserve">头皮  </w:t>
            </w:r>
            <w:r>
              <w:rPr>
                <w:rFonts w:ascii="Times New Roman" w:hAnsi="Times New Roman"/>
                <w:szCs w:val="21"/>
              </w:rPr>
              <w:t>□</w:t>
            </w:r>
            <w:r>
              <w:rPr>
                <w:rFonts w:hint="eastAsia" w:ascii="Times New Roman" w:hAnsi="Times New Roman"/>
                <w:szCs w:val="18"/>
              </w:rPr>
              <w:t xml:space="preserve">指/趾甲  </w:t>
            </w:r>
            <w:r>
              <w:rPr>
                <w:rFonts w:ascii="Times New Roman" w:hAnsi="Times New Roman"/>
                <w:szCs w:val="21"/>
              </w:rPr>
              <w:t>□</w:t>
            </w:r>
            <w:r>
              <w:rPr>
                <w:rFonts w:hint="eastAsia" w:ascii="Times New Roman" w:hAnsi="Times New Roman"/>
                <w:szCs w:val="18"/>
              </w:rPr>
              <w:t xml:space="preserve">掌跖  </w:t>
            </w:r>
            <w:r>
              <w:rPr>
                <w:rFonts w:ascii="Times New Roman" w:hAnsi="Times New Roman"/>
                <w:szCs w:val="21"/>
              </w:rPr>
              <w:t>□</w:t>
            </w:r>
            <w:r>
              <w:rPr>
                <w:rFonts w:hint="eastAsia" w:ascii="Times New Roman" w:hAnsi="Times New Roman"/>
                <w:szCs w:val="18"/>
              </w:rPr>
              <w:t xml:space="preserve">反向型（如腹股沟、腋窝、肛周、乳房下等）  </w:t>
            </w:r>
            <w:r>
              <w:rPr>
                <w:rFonts w:ascii="Times New Roman" w:hAnsi="Times New Roman"/>
                <w:szCs w:val="21"/>
              </w:rPr>
              <w:t>□</w:t>
            </w:r>
            <w:r>
              <w:rPr>
                <w:rFonts w:hint="eastAsia" w:ascii="Times New Roman" w:hAnsi="Times New Roman"/>
                <w:szCs w:val="18"/>
              </w:rPr>
              <w:t xml:space="preserve">生殖器  </w:t>
            </w:r>
            <w:r>
              <w:rPr>
                <w:rFonts w:ascii="Times New Roman" w:hAnsi="Times New Roman"/>
                <w:szCs w:val="21"/>
              </w:rPr>
              <w:t>□</w:t>
            </w:r>
            <w:r>
              <w:rPr>
                <w:rFonts w:hint="eastAsia" w:ascii="Times New Roman" w:hAnsi="Times New Roman"/>
                <w:szCs w:val="21"/>
              </w:rPr>
              <w:t>无</w:t>
            </w:r>
          </w:p>
        </w:tc>
      </w:tr>
      <w:tr w14:paraId="1EA37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70" w:type="dxa"/>
        </w:trPr>
        <w:tc>
          <w:tcPr>
            <w:tcW w:w="9286" w:type="dxa"/>
            <w:gridSpan w:val="18"/>
            <w:shd w:val="clear" w:color="auto" w:fill="D8D8D8" w:themeFill="background1" w:themeFillShade="D9"/>
            <w:vAlign w:val="center"/>
          </w:tcPr>
          <w:p w14:paraId="6DB39D39">
            <w:pPr>
              <w:spacing w:before="156" w:beforeLines="50" w:after="156" w:afterLines="50"/>
              <w:rPr>
                <w:rFonts w:ascii="Times New Roman" w:hAnsi="Times New Roman"/>
                <w:b/>
                <w:szCs w:val="18"/>
              </w:rPr>
            </w:pPr>
            <w:r>
              <w:rPr>
                <w:rFonts w:ascii="Times New Roman" w:hAnsi="Times New Roman"/>
                <w:b/>
                <w:szCs w:val="18"/>
              </w:rPr>
              <w:t>皮损体表面积评分（BSA）</w:t>
            </w:r>
          </w:p>
        </w:tc>
      </w:tr>
      <w:tr w14:paraId="17951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00BC6E05">
            <w:pPr>
              <w:spacing w:before="156" w:beforeLines="50" w:after="156" w:afterLines="50"/>
              <w:jc w:val="center"/>
              <w:rPr>
                <w:rFonts w:ascii="Times New Roman" w:hAnsi="Times New Roman"/>
                <w:b/>
                <w:bCs/>
                <w:szCs w:val="18"/>
              </w:rPr>
            </w:pPr>
            <w:r>
              <w:rPr>
                <w:rFonts w:ascii="Times New Roman" w:hAnsi="Times New Roman"/>
                <w:b/>
                <w:bCs/>
                <w:szCs w:val="18"/>
              </w:rPr>
              <w:t>部位</w:t>
            </w:r>
          </w:p>
        </w:tc>
        <w:tc>
          <w:tcPr>
            <w:tcW w:w="1537" w:type="dxa"/>
            <w:gridSpan w:val="2"/>
            <w:vAlign w:val="center"/>
          </w:tcPr>
          <w:p w14:paraId="57D55D87">
            <w:pPr>
              <w:spacing w:before="156" w:beforeLines="50" w:after="156" w:afterLines="50"/>
              <w:jc w:val="center"/>
              <w:rPr>
                <w:rFonts w:ascii="Times New Roman" w:hAnsi="Times New Roman"/>
                <w:b/>
                <w:bCs/>
                <w:szCs w:val="18"/>
              </w:rPr>
            </w:pPr>
            <w:r>
              <w:rPr>
                <w:rFonts w:ascii="Times New Roman" w:hAnsi="Times New Roman"/>
                <w:b/>
                <w:bCs/>
                <w:szCs w:val="18"/>
              </w:rPr>
              <w:t>头/颈</w:t>
            </w:r>
          </w:p>
        </w:tc>
        <w:tc>
          <w:tcPr>
            <w:tcW w:w="1537" w:type="dxa"/>
            <w:gridSpan w:val="3"/>
            <w:vAlign w:val="center"/>
          </w:tcPr>
          <w:p w14:paraId="2F71E839">
            <w:pPr>
              <w:spacing w:before="156" w:beforeLines="50" w:after="156" w:afterLines="50"/>
              <w:jc w:val="center"/>
              <w:rPr>
                <w:rFonts w:ascii="Times New Roman" w:hAnsi="Times New Roman"/>
                <w:b/>
                <w:bCs/>
                <w:szCs w:val="18"/>
              </w:rPr>
            </w:pPr>
            <w:r>
              <w:rPr>
                <w:rFonts w:ascii="Times New Roman" w:hAnsi="Times New Roman"/>
                <w:b/>
                <w:bCs/>
                <w:szCs w:val="18"/>
              </w:rPr>
              <w:t>上肢</w:t>
            </w:r>
          </w:p>
        </w:tc>
        <w:tc>
          <w:tcPr>
            <w:tcW w:w="1537" w:type="dxa"/>
            <w:gridSpan w:val="4"/>
            <w:vAlign w:val="center"/>
          </w:tcPr>
          <w:p w14:paraId="3FE6B264">
            <w:pPr>
              <w:spacing w:before="156" w:beforeLines="50" w:after="156" w:afterLines="50"/>
              <w:jc w:val="center"/>
              <w:rPr>
                <w:rFonts w:ascii="Times New Roman" w:hAnsi="Times New Roman"/>
                <w:b/>
                <w:bCs/>
                <w:szCs w:val="18"/>
              </w:rPr>
            </w:pPr>
            <w:r>
              <w:rPr>
                <w:rFonts w:ascii="Times New Roman" w:hAnsi="Times New Roman"/>
                <w:b/>
                <w:bCs/>
                <w:szCs w:val="18"/>
              </w:rPr>
              <w:t>躯干</w:t>
            </w:r>
          </w:p>
          <w:p w14:paraId="10567E72">
            <w:pPr>
              <w:spacing w:before="156" w:beforeLines="50" w:after="156" w:afterLines="50"/>
              <w:jc w:val="center"/>
              <w:rPr>
                <w:rFonts w:ascii="Times New Roman" w:hAnsi="Times New Roman"/>
                <w:b/>
                <w:bCs/>
                <w:szCs w:val="18"/>
              </w:rPr>
            </w:pPr>
            <w:r>
              <w:rPr>
                <w:rFonts w:ascii="Times New Roman" w:hAnsi="Times New Roman"/>
                <w:b/>
                <w:bCs/>
                <w:szCs w:val="18"/>
              </w:rPr>
              <w:t>（包括腋窝及会阴）</w:t>
            </w:r>
          </w:p>
        </w:tc>
        <w:tc>
          <w:tcPr>
            <w:tcW w:w="1544" w:type="dxa"/>
            <w:gridSpan w:val="5"/>
            <w:vAlign w:val="center"/>
          </w:tcPr>
          <w:p w14:paraId="613DA644">
            <w:pPr>
              <w:spacing w:before="156" w:beforeLines="50" w:after="156" w:afterLines="50"/>
              <w:jc w:val="center"/>
              <w:rPr>
                <w:rFonts w:ascii="Times New Roman" w:hAnsi="Times New Roman"/>
                <w:b/>
                <w:bCs/>
                <w:szCs w:val="18"/>
              </w:rPr>
            </w:pPr>
            <w:r>
              <w:rPr>
                <w:rFonts w:ascii="Times New Roman" w:hAnsi="Times New Roman"/>
                <w:b/>
                <w:bCs/>
                <w:szCs w:val="18"/>
              </w:rPr>
              <w:t>下肢</w:t>
            </w:r>
          </w:p>
          <w:p w14:paraId="15206A27">
            <w:pPr>
              <w:spacing w:before="156" w:beforeLines="50" w:after="156" w:afterLines="50"/>
              <w:jc w:val="center"/>
              <w:rPr>
                <w:rFonts w:ascii="Times New Roman" w:hAnsi="Times New Roman"/>
                <w:b/>
                <w:bCs/>
                <w:szCs w:val="18"/>
              </w:rPr>
            </w:pPr>
            <w:r>
              <w:rPr>
                <w:rFonts w:ascii="Times New Roman" w:hAnsi="Times New Roman"/>
                <w:b/>
                <w:bCs/>
                <w:szCs w:val="18"/>
              </w:rPr>
              <w:t>（包括臀部）</w:t>
            </w:r>
          </w:p>
        </w:tc>
      </w:tr>
      <w:tr w14:paraId="00CE1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4EF0E551">
            <w:pPr>
              <w:spacing w:before="156" w:beforeLines="50" w:after="156" w:afterLines="50"/>
              <w:jc w:val="center"/>
              <w:rPr>
                <w:rFonts w:ascii="Times New Roman" w:hAnsi="Times New Roman"/>
                <w:szCs w:val="18"/>
              </w:rPr>
            </w:pPr>
            <w:r>
              <w:rPr>
                <w:rFonts w:ascii="Times New Roman" w:hAnsi="Times New Roman"/>
                <w:szCs w:val="18"/>
              </w:rPr>
              <w:t>占全身体表面积比例</w:t>
            </w:r>
          </w:p>
        </w:tc>
        <w:tc>
          <w:tcPr>
            <w:tcW w:w="1537" w:type="dxa"/>
            <w:gridSpan w:val="2"/>
            <w:vAlign w:val="center"/>
          </w:tcPr>
          <w:p w14:paraId="0A9A2DF8">
            <w:pPr>
              <w:spacing w:before="156" w:beforeLines="50" w:after="156" w:afterLines="50"/>
              <w:jc w:val="center"/>
              <w:rPr>
                <w:rFonts w:ascii="Times New Roman" w:hAnsi="Times New Roman"/>
                <w:szCs w:val="18"/>
              </w:rPr>
            </w:pPr>
            <w:r>
              <w:rPr>
                <w:rFonts w:ascii="Times New Roman" w:hAnsi="Times New Roman"/>
                <w:szCs w:val="18"/>
              </w:rPr>
              <w:t>10%</w:t>
            </w:r>
          </w:p>
        </w:tc>
        <w:tc>
          <w:tcPr>
            <w:tcW w:w="1537" w:type="dxa"/>
            <w:gridSpan w:val="3"/>
            <w:vAlign w:val="center"/>
          </w:tcPr>
          <w:p w14:paraId="57E238E4">
            <w:pPr>
              <w:spacing w:before="156" w:beforeLines="50" w:after="156" w:afterLines="50"/>
              <w:jc w:val="center"/>
              <w:rPr>
                <w:rFonts w:ascii="Times New Roman" w:hAnsi="Times New Roman"/>
                <w:szCs w:val="18"/>
              </w:rPr>
            </w:pPr>
            <w:r>
              <w:rPr>
                <w:rFonts w:ascii="Times New Roman" w:hAnsi="Times New Roman"/>
                <w:szCs w:val="18"/>
              </w:rPr>
              <w:t>20%</w:t>
            </w:r>
          </w:p>
        </w:tc>
        <w:tc>
          <w:tcPr>
            <w:tcW w:w="1537" w:type="dxa"/>
            <w:gridSpan w:val="4"/>
            <w:vAlign w:val="center"/>
          </w:tcPr>
          <w:p w14:paraId="1CAD6CB4">
            <w:pPr>
              <w:spacing w:before="156" w:beforeLines="50" w:after="156" w:afterLines="50"/>
              <w:jc w:val="center"/>
              <w:rPr>
                <w:rFonts w:ascii="Times New Roman" w:hAnsi="Times New Roman"/>
                <w:szCs w:val="18"/>
              </w:rPr>
            </w:pPr>
            <w:r>
              <w:rPr>
                <w:rFonts w:ascii="Times New Roman" w:hAnsi="Times New Roman"/>
                <w:szCs w:val="18"/>
              </w:rPr>
              <w:t>30%</w:t>
            </w:r>
          </w:p>
        </w:tc>
        <w:tc>
          <w:tcPr>
            <w:tcW w:w="1544" w:type="dxa"/>
            <w:gridSpan w:val="5"/>
            <w:vAlign w:val="center"/>
          </w:tcPr>
          <w:p w14:paraId="4430021E">
            <w:pPr>
              <w:spacing w:before="156" w:beforeLines="50" w:after="156" w:afterLines="50"/>
              <w:jc w:val="center"/>
              <w:rPr>
                <w:rFonts w:ascii="Times New Roman" w:hAnsi="Times New Roman"/>
                <w:szCs w:val="18"/>
              </w:rPr>
            </w:pPr>
            <w:r>
              <w:rPr>
                <w:rFonts w:ascii="Times New Roman" w:hAnsi="Times New Roman"/>
                <w:szCs w:val="18"/>
              </w:rPr>
              <w:t>40%</w:t>
            </w:r>
          </w:p>
        </w:tc>
      </w:tr>
      <w:tr w14:paraId="0691F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7CB1AE54">
            <w:pPr>
              <w:spacing w:before="156" w:beforeLines="50" w:after="156" w:afterLines="50"/>
              <w:jc w:val="center"/>
              <w:rPr>
                <w:rFonts w:ascii="Times New Roman" w:hAnsi="Times New Roman"/>
                <w:szCs w:val="18"/>
              </w:rPr>
            </w:pPr>
            <w:r>
              <w:rPr>
                <w:rFonts w:ascii="Times New Roman" w:hAnsi="Times New Roman"/>
                <w:szCs w:val="18"/>
              </w:rPr>
              <w:t>相当于手掌面积数</w:t>
            </w:r>
          </w:p>
        </w:tc>
        <w:tc>
          <w:tcPr>
            <w:tcW w:w="1537" w:type="dxa"/>
            <w:gridSpan w:val="2"/>
            <w:vAlign w:val="center"/>
          </w:tcPr>
          <w:p w14:paraId="4779CC45">
            <w:pPr>
              <w:spacing w:before="156" w:beforeLines="50" w:after="156" w:afterLines="50"/>
              <w:jc w:val="center"/>
              <w:rPr>
                <w:rFonts w:ascii="Times New Roman" w:hAnsi="Times New Roman"/>
                <w:szCs w:val="18"/>
              </w:rPr>
            </w:pPr>
            <w:r>
              <w:rPr>
                <w:rFonts w:ascii="Times New Roman" w:hAnsi="Times New Roman"/>
                <w:szCs w:val="18"/>
              </w:rPr>
              <w:t>10个</w:t>
            </w:r>
          </w:p>
        </w:tc>
        <w:tc>
          <w:tcPr>
            <w:tcW w:w="1537" w:type="dxa"/>
            <w:gridSpan w:val="3"/>
            <w:vAlign w:val="center"/>
          </w:tcPr>
          <w:p w14:paraId="269E4CE8">
            <w:pPr>
              <w:spacing w:before="156" w:beforeLines="50" w:after="156" w:afterLines="50"/>
              <w:jc w:val="center"/>
              <w:rPr>
                <w:rFonts w:ascii="Times New Roman" w:hAnsi="Times New Roman"/>
                <w:szCs w:val="18"/>
              </w:rPr>
            </w:pPr>
            <w:r>
              <w:rPr>
                <w:rFonts w:ascii="Times New Roman" w:hAnsi="Times New Roman"/>
                <w:szCs w:val="18"/>
              </w:rPr>
              <w:t>20个</w:t>
            </w:r>
          </w:p>
        </w:tc>
        <w:tc>
          <w:tcPr>
            <w:tcW w:w="1537" w:type="dxa"/>
            <w:gridSpan w:val="4"/>
            <w:vAlign w:val="center"/>
          </w:tcPr>
          <w:p w14:paraId="21F931F5">
            <w:pPr>
              <w:spacing w:before="156" w:beforeLines="50" w:after="156" w:afterLines="50"/>
              <w:jc w:val="center"/>
              <w:rPr>
                <w:rFonts w:ascii="Times New Roman" w:hAnsi="Times New Roman"/>
                <w:szCs w:val="18"/>
              </w:rPr>
            </w:pPr>
            <w:r>
              <w:rPr>
                <w:rFonts w:ascii="Times New Roman" w:hAnsi="Times New Roman"/>
                <w:szCs w:val="18"/>
              </w:rPr>
              <w:t>30个</w:t>
            </w:r>
          </w:p>
        </w:tc>
        <w:tc>
          <w:tcPr>
            <w:tcW w:w="1544" w:type="dxa"/>
            <w:gridSpan w:val="5"/>
            <w:vAlign w:val="center"/>
          </w:tcPr>
          <w:p w14:paraId="6FFE3707">
            <w:pPr>
              <w:spacing w:before="156" w:beforeLines="50" w:after="156" w:afterLines="50"/>
              <w:jc w:val="center"/>
              <w:rPr>
                <w:rFonts w:ascii="Times New Roman" w:hAnsi="Times New Roman"/>
                <w:szCs w:val="18"/>
              </w:rPr>
            </w:pPr>
            <w:r>
              <w:rPr>
                <w:rFonts w:ascii="Times New Roman" w:hAnsi="Times New Roman"/>
                <w:szCs w:val="18"/>
              </w:rPr>
              <w:t>40个</w:t>
            </w:r>
          </w:p>
        </w:tc>
      </w:tr>
      <w:tr w14:paraId="0C138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9302" w:type="dxa"/>
            <w:gridSpan w:val="19"/>
            <w:vAlign w:val="center"/>
          </w:tcPr>
          <w:p w14:paraId="2982701B">
            <w:pPr>
              <w:spacing w:before="156" w:beforeLines="50" w:after="156" w:afterLines="50"/>
              <w:rPr>
                <w:rFonts w:ascii="Times New Roman" w:hAnsi="Times New Roman"/>
                <w:szCs w:val="18"/>
              </w:rPr>
            </w:pPr>
            <w:r>
              <w:rPr>
                <w:rFonts w:hint="eastAsia" w:ascii="Times New Roman" w:hAnsi="Times New Roman"/>
                <w:szCs w:val="18"/>
              </w:rPr>
              <w:t>注：受试者</w:t>
            </w:r>
            <w:r>
              <w:rPr>
                <w:rFonts w:ascii="Times New Roman" w:hAnsi="Times New Roman"/>
                <w:szCs w:val="18"/>
              </w:rPr>
              <w:t>1</w:t>
            </w:r>
            <w:r>
              <w:rPr>
                <w:rFonts w:hint="eastAsia" w:ascii="Times New Roman" w:hAnsi="Times New Roman"/>
                <w:szCs w:val="18"/>
              </w:rPr>
              <w:t>个手掌的面积为</w:t>
            </w:r>
            <w:r>
              <w:rPr>
                <w:rFonts w:ascii="Times New Roman" w:hAnsi="Times New Roman"/>
                <w:szCs w:val="18"/>
              </w:rPr>
              <w:t>1%</w:t>
            </w:r>
            <w:r>
              <w:rPr>
                <w:rFonts w:hint="eastAsia" w:ascii="Times New Roman" w:hAnsi="Times New Roman"/>
                <w:szCs w:val="18"/>
              </w:rPr>
              <w:t>，全身</w:t>
            </w:r>
            <w:r>
              <w:rPr>
                <w:rFonts w:ascii="Times New Roman" w:hAnsi="Times New Roman"/>
                <w:szCs w:val="18"/>
              </w:rPr>
              <w:t>BSA=100%</w:t>
            </w:r>
            <w:r>
              <w:rPr>
                <w:rFonts w:hint="eastAsia" w:ascii="Times New Roman" w:hAnsi="Times New Roman"/>
                <w:szCs w:val="18"/>
              </w:rPr>
              <w:t>（</w:t>
            </w:r>
            <w:r>
              <w:rPr>
                <w:rFonts w:ascii="Times New Roman" w:hAnsi="Times New Roman"/>
                <w:szCs w:val="18"/>
              </w:rPr>
              <w:t>100</w:t>
            </w:r>
            <w:r>
              <w:rPr>
                <w:rFonts w:hint="eastAsia" w:ascii="Times New Roman" w:hAnsi="Times New Roman"/>
                <w:szCs w:val="18"/>
              </w:rPr>
              <w:t>个手掌）；当皮损面积较小或者皮损为中空型，不适用手掌法，需结合目测法评估</w:t>
            </w:r>
            <w:r>
              <w:rPr>
                <w:rFonts w:ascii="Times New Roman" w:hAnsi="Times New Roman"/>
                <w:szCs w:val="18"/>
              </w:rPr>
              <w:t>BSA</w:t>
            </w:r>
            <w:r>
              <w:rPr>
                <w:rFonts w:hint="eastAsia" w:ascii="Times New Roman" w:hAnsi="Times New Roman"/>
                <w:szCs w:val="18"/>
              </w:rPr>
              <w:t>。</w:t>
            </w:r>
          </w:p>
        </w:tc>
      </w:tr>
      <w:tr w14:paraId="46D91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644D0AE6">
            <w:pPr>
              <w:spacing w:before="156" w:beforeLines="50" w:after="156" w:afterLines="50"/>
              <w:jc w:val="center"/>
              <w:rPr>
                <w:rFonts w:ascii="Times New Roman" w:hAnsi="Times New Roman"/>
                <w:b/>
                <w:bCs/>
                <w:szCs w:val="18"/>
              </w:rPr>
            </w:pPr>
            <w:r>
              <w:rPr>
                <w:rFonts w:ascii="Times New Roman" w:hAnsi="Times New Roman"/>
                <w:b/>
                <w:bCs/>
                <w:szCs w:val="18"/>
              </w:rPr>
              <w:t>受累体表面积相当于手掌数</w:t>
            </w:r>
          </w:p>
        </w:tc>
        <w:tc>
          <w:tcPr>
            <w:tcW w:w="1537" w:type="dxa"/>
            <w:gridSpan w:val="2"/>
            <w:vAlign w:val="center"/>
          </w:tcPr>
          <w:p w14:paraId="7AA8146F">
            <w:pPr>
              <w:spacing w:before="156" w:beforeLines="50" w:after="156" w:afterLines="50"/>
              <w:rPr>
                <w:rFonts w:ascii="Times New Roman" w:hAnsi="Times New Roman"/>
                <w:szCs w:val="18"/>
              </w:rPr>
            </w:pPr>
          </w:p>
        </w:tc>
        <w:tc>
          <w:tcPr>
            <w:tcW w:w="1537" w:type="dxa"/>
            <w:gridSpan w:val="3"/>
            <w:vAlign w:val="center"/>
          </w:tcPr>
          <w:p w14:paraId="1D24E255">
            <w:pPr>
              <w:spacing w:before="156" w:beforeLines="50" w:after="156" w:afterLines="50"/>
              <w:rPr>
                <w:rFonts w:ascii="Times New Roman" w:hAnsi="Times New Roman"/>
                <w:szCs w:val="18"/>
              </w:rPr>
            </w:pPr>
          </w:p>
        </w:tc>
        <w:tc>
          <w:tcPr>
            <w:tcW w:w="1537" w:type="dxa"/>
            <w:gridSpan w:val="4"/>
            <w:vAlign w:val="center"/>
          </w:tcPr>
          <w:p w14:paraId="2B0BA209">
            <w:pPr>
              <w:spacing w:before="156" w:beforeLines="50" w:after="156" w:afterLines="50"/>
              <w:rPr>
                <w:rFonts w:ascii="Times New Roman" w:hAnsi="Times New Roman"/>
                <w:szCs w:val="18"/>
              </w:rPr>
            </w:pPr>
          </w:p>
        </w:tc>
        <w:tc>
          <w:tcPr>
            <w:tcW w:w="1544" w:type="dxa"/>
            <w:gridSpan w:val="5"/>
            <w:vAlign w:val="center"/>
          </w:tcPr>
          <w:p w14:paraId="7853EDDC">
            <w:pPr>
              <w:spacing w:before="156" w:beforeLines="50" w:after="156" w:afterLines="50"/>
              <w:rPr>
                <w:rFonts w:ascii="Times New Roman" w:hAnsi="Times New Roman"/>
                <w:szCs w:val="18"/>
              </w:rPr>
            </w:pPr>
          </w:p>
        </w:tc>
      </w:tr>
      <w:tr w14:paraId="2200D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10B20788">
            <w:pPr>
              <w:spacing w:before="156" w:beforeLines="50" w:after="156" w:afterLines="50"/>
              <w:jc w:val="center"/>
              <w:rPr>
                <w:rFonts w:ascii="Times New Roman" w:hAnsi="Times New Roman"/>
                <w:b/>
                <w:bCs/>
                <w:szCs w:val="18"/>
              </w:rPr>
            </w:pPr>
            <w:r>
              <w:rPr>
                <w:rFonts w:ascii="Times New Roman" w:hAnsi="Times New Roman"/>
                <w:b/>
                <w:bCs/>
                <w:szCs w:val="18"/>
              </w:rPr>
              <w:t>总体表受累面积（BSA）</w:t>
            </w:r>
          </w:p>
        </w:tc>
        <w:tc>
          <w:tcPr>
            <w:tcW w:w="6155" w:type="dxa"/>
            <w:gridSpan w:val="14"/>
            <w:vAlign w:val="center"/>
          </w:tcPr>
          <w:p w14:paraId="18D79878">
            <w:pPr>
              <w:spacing w:before="156" w:beforeLines="50" w:after="156" w:afterLines="50"/>
              <w:jc w:val="center"/>
              <w:rPr>
                <w:rFonts w:ascii="Times New Roman" w:hAnsi="Times New Roman"/>
                <w:b/>
                <w:bCs/>
                <w:szCs w:val="18"/>
              </w:rPr>
            </w:pPr>
            <w:r>
              <w:rPr>
                <w:rFonts w:ascii="Times New Roman" w:hAnsi="Times New Roman"/>
                <w:b/>
                <w:bCs/>
                <w:szCs w:val="18"/>
              </w:rPr>
              <w:t xml:space="preserve">     %</w:t>
            </w:r>
          </w:p>
        </w:tc>
      </w:tr>
      <w:tr w14:paraId="600EE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9302" w:type="dxa"/>
            <w:gridSpan w:val="19"/>
            <w:shd w:val="clear" w:color="auto" w:fill="D8D8D8" w:themeFill="background1" w:themeFillShade="D9"/>
            <w:vAlign w:val="center"/>
          </w:tcPr>
          <w:p w14:paraId="168DFC25">
            <w:pPr>
              <w:spacing w:before="156" w:beforeLines="50" w:after="156" w:afterLines="50"/>
              <w:rPr>
                <w:rFonts w:ascii="Times New Roman" w:hAnsi="Times New Roman"/>
                <w:b/>
                <w:szCs w:val="18"/>
              </w:rPr>
            </w:pPr>
            <w:r>
              <w:rPr>
                <w:rFonts w:ascii="Times New Roman" w:hAnsi="Times New Roman"/>
                <w:b/>
                <w:szCs w:val="18"/>
              </w:rPr>
              <w:t>银屑病皮损面积和严重程度指数评分（PASI）</w:t>
            </w:r>
          </w:p>
        </w:tc>
      </w:tr>
      <w:tr w14:paraId="6AF96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36BE7AAD">
            <w:pPr>
              <w:spacing w:before="156" w:beforeLines="50" w:after="156" w:afterLines="50"/>
              <w:jc w:val="center"/>
              <w:rPr>
                <w:rFonts w:ascii="Times New Roman" w:hAnsi="Times New Roman"/>
                <w:b/>
                <w:bCs/>
                <w:szCs w:val="18"/>
              </w:rPr>
            </w:pPr>
            <w:r>
              <w:rPr>
                <w:rFonts w:ascii="Times New Roman" w:hAnsi="Times New Roman"/>
                <w:b/>
                <w:bCs/>
                <w:szCs w:val="18"/>
              </w:rPr>
              <w:t>皮损面积评价</w:t>
            </w:r>
          </w:p>
        </w:tc>
        <w:tc>
          <w:tcPr>
            <w:tcW w:w="1432" w:type="dxa"/>
            <w:gridSpan w:val="2"/>
            <w:vAlign w:val="center"/>
          </w:tcPr>
          <w:p w14:paraId="4475117E">
            <w:pPr>
              <w:spacing w:before="156" w:beforeLines="50" w:after="156" w:afterLines="50"/>
              <w:jc w:val="center"/>
              <w:rPr>
                <w:rFonts w:ascii="Times New Roman" w:hAnsi="Times New Roman"/>
                <w:b/>
                <w:bCs/>
                <w:szCs w:val="18"/>
              </w:rPr>
            </w:pPr>
            <w:r>
              <w:rPr>
                <w:rFonts w:ascii="Times New Roman" w:hAnsi="Times New Roman"/>
                <w:b/>
                <w:bCs/>
                <w:szCs w:val="18"/>
              </w:rPr>
              <w:t>头/颈</w:t>
            </w:r>
          </w:p>
        </w:tc>
        <w:tc>
          <w:tcPr>
            <w:tcW w:w="1432" w:type="dxa"/>
            <w:gridSpan w:val="3"/>
            <w:vAlign w:val="center"/>
          </w:tcPr>
          <w:p w14:paraId="5A2CF606">
            <w:pPr>
              <w:spacing w:before="156" w:beforeLines="50" w:after="156" w:afterLines="50"/>
              <w:jc w:val="center"/>
              <w:rPr>
                <w:rFonts w:ascii="Times New Roman" w:hAnsi="Times New Roman"/>
                <w:b/>
                <w:bCs/>
                <w:szCs w:val="18"/>
              </w:rPr>
            </w:pPr>
            <w:r>
              <w:rPr>
                <w:rFonts w:ascii="Times New Roman" w:hAnsi="Times New Roman"/>
                <w:b/>
                <w:bCs/>
                <w:szCs w:val="18"/>
              </w:rPr>
              <w:t>上肢</w:t>
            </w:r>
          </w:p>
        </w:tc>
        <w:tc>
          <w:tcPr>
            <w:tcW w:w="1432" w:type="dxa"/>
            <w:gridSpan w:val="4"/>
            <w:vAlign w:val="center"/>
          </w:tcPr>
          <w:p w14:paraId="09E72990">
            <w:pPr>
              <w:spacing w:before="156" w:beforeLines="50" w:after="156" w:afterLines="50"/>
              <w:jc w:val="center"/>
              <w:rPr>
                <w:rFonts w:ascii="Times New Roman" w:hAnsi="Times New Roman"/>
                <w:b/>
                <w:bCs/>
                <w:szCs w:val="18"/>
              </w:rPr>
            </w:pPr>
            <w:r>
              <w:rPr>
                <w:rFonts w:ascii="Times New Roman" w:hAnsi="Times New Roman"/>
                <w:b/>
                <w:bCs/>
                <w:szCs w:val="18"/>
              </w:rPr>
              <w:t>躯干</w:t>
            </w:r>
          </w:p>
          <w:p w14:paraId="04322393">
            <w:pPr>
              <w:spacing w:before="156" w:beforeLines="50" w:after="156" w:afterLines="50"/>
              <w:jc w:val="center"/>
              <w:rPr>
                <w:rFonts w:ascii="Times New Roman" w:hAnsi="Times New Roman"/>
                <w:b/>
                <w:bCs/>
                <w:szCs w:val="18"/>
              </w:rPr>
            </w:pPr>
            <w:r>
              <w:rPr>
                <w:rFonts w:ascii="Times New Roman" w:hAnsi="Times New Roman"/>
                <w:b/>
                <w:bCs/>
                <w:szCs w:val="18"/>
              </w:rPr>
              <w:t>（包括腋窝及会阴）</w:t>
            </w:r>
          </w:p>
        </w:tc>
        <w:tc>
          <w:tcPr>
            <w:tcW w:w="1439" w:type="dxa"/>
            <w:gridSpan w:val="4"/>
            <w:vAlign w:val="center"/>
          </w:tcPr>
          <w:p w14:paraId="128B82F7">
            <w:pPr>
              <w:spacing w:before="156" w:beforeLines="50" w:after="156" w:afterLines="50"/>
              <w:jc w:val="center"/>
              <w:rPr>
                <w:rFonts w:ascii="Times New Roman" w:hAnsi="Times New Roman"/>
                <w:b/>
                <w:bCs/>
                <w:szCs w:val="18"/>
              </w:rPr>
            </w:pPr>
            <w:r>
              <w:rPr>
                <w:rFonts w:ascii="Times New Roman" w:hAnsi="Times New Roman"/>
                <w:b/>
                <w:bCs/>
                <w:szCs w:val="18"/>
              </w:rPr>
              <w:t>下肢</w:t>
            </w:r>
          </w:p>
          <w:p w14:paraId="0D2BF8ED">
            <w:pPr>
              <w:spacing w:before="156" w:beforeLines="50" w:after="156" w:afterLines="50"/>
              <w:jc w:val="center"/>
              <w:rPr>
                <w:rFonts w:ascii="Times New Roman" w:hAnsi="Times New Roman"/>
                <w:b/>
                <w:bCs/>
                <w:szCs w:val="18"/>
              </w:rPr>
            </w:pPr>
            <w:r>
              <w:rPr>
                <w:rFonts w:ascii="Times New Roman" w:hAnsi="Times New Roman"/>
                <w:b/>
                <w:bCs/>
                <w:szCs w:val="18"/>
              </w:rPr>
              <w:t>（包括臀部）</w:t>
            </w:r>
          </w:p>
        </w:tc>
      </w:tr>
      <w:tr w14:paraId="4C1A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7C48AB39">
            <w:pPr>
              <w:spacing w:before="156" w:beforeLines="50" w:after="156" w:afterLines="50"/>
              <w:jc w:val="center"/>
              <w:rPr>
                <w:rFonts w:ascii="Times New Roman" w:hAnsi="Times New Roman"/>
                <w:szCs w:val="18"/>
              </w:rPr>
            </w:pPr>
            <w:r>
              <w:rPr>
                <w:rFonts w:ascii="Times New Roman" w:hAnsi="Times New Roman"/>
                <w:b/>
                <w:bCs/>
                <w:szCs w:val="18"/>
              </w:rPr>
              <w:t>受累部分占此部位体表面积百分比</w:t>
            </w:r>
          </w:p>
        </w:tc>
        <w:tc>
          <w:tcPr>
            <w:tcW w:w="1432" w:type="dxa"/>
            <w:gridSpan w:val="2"/>
            <w:vAlign w:val="center"/>
          </w:tcPr>
          <w:p w14:paraId="0ADD9E86">
            <w:pPr>
              <w:spacing w:before="156" w:beforeLines="50" w:after="156" w:afterLines="50"/>
              <w:rPr>
                <w:rFonts w:ascii="Times New Roman" w:hAnsi="Times New Roman"/>
                <w:szCs w:val="18"/>
              </w:rPr>
            </w:pPr>
          </w:p>
        </w:tc>
        <w:tc>
          <w:tcPr>
            <w:tcW w:w="1432" w:type="dxa"/>
            <w:gridSpan w:val="3"/>
            <w:vAlign w:val="center"/>
          </w:tcPr>
          <w:p w14:paraId="7317350C">
            <w:pPr>
              <w:spacing w:before="156" w:beforeLines="50" w:after="156" w:afterLines="50"/>
              <w:rPr>
                <w:rFonts w:ascii="Times New Roman" w:hAnsi="Times New Roman"/>
                <w:szCs w:val="18"/>
              </w:rPr>
            </w:pPr>
          </w:p>
        </w:tc>
        <w:tc>
          <w:tcPr>
            <w:tcW w:w="1432" w:type="dxa"/>
            <w:gridSpan w:val="4"/>
            <w:vAlign w:val="center"/>
          </w:tcPr>
          <w:p w14:paraId="5C5AFA4E">
            <w:pPr>
              <w:spacing w:before="156" w:beforeLines="50" w:after="156" w:afterLines="50"/>
              <w:rPr>
                <w:rFonts w:ascii="Times New Roman" w:hAnsi="Times New Roman"/>
                <w:szCs w:val="18"/>
              </w:rPr>
            </w:pPr>
          </w:p>
        </w:tc>
        <w:tc>
          <w:tcPr>
            <w:tcW w:w="1439" w:type="dxa"/>
            <w:gridSpan w:val="4"/>
            <w:vAlign w:val="center"/>
          </w:tcPr>
          <w:p w14:paraId="2941605F">
            <w:pPr>
              <w:spacing w:before="156" w:beforeLines="50" w:after="156" w:afterLines="50"/>
              <w:rPr>
                <w:rFonts w:ascii="Times New Roman" w:hAnsi="Times New Roman"/>
                <w:szCs w:val="18"/>
              </w:rPr>
            </w:pPr>
          </w:p>
        </w:tc>
      </w:tr>
      <w:tr w14:paraId="03E34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412D4F15">
            <w:pPr>
              <w:spacing w:before="156" w:beforeLines="50" w:after="156" w:afterLines="50"/>
              <w:jc w:val="center"/>
              <w:rPr>
                <w:rFonts w:ascii="Times New Roman" w:hAnsi="Times New Roman"/>
                <w:szCs w:val="18"/>
              </w:rPr>
            </w:pPr>
            <w:r>
              <w:rPr>
                <w:rFonts w:ascii="Times New Roman" w:hAnsi="Times New Roman"/>
                <w:b/>
                <w:bCs/>
                <w:szCs w:val="18"/>
              </w:rPr>
              <w:t>皮损面积评分（A）</w:t>
            </w:r>
          </w:p>
        </w:tc>
        <w:tc>
          <w:tcPr>
            <w:tcW w:w="1740" w:type="dxa"/>
            <w:gridSpan w:val="3"/>
            <w:vAlign w:val="center"/>
          </w:tcPr>
          <w:p w14:paraId="023FBBD7">
            <w:pPr>
              <w:rPr>
                <w:rFonts w:ascii="Times New Roman" w:hAnsi="Times New Roman"/>
                <w:szCs w:val="18"/>
              </w:rPr>
            </w:pPr>
            <w:r>
              <w:rPr>
                <w:rFonts w:ascii="Times New Roman" w:hAnsi="Times New Roman"/>
                <w:szCs w:val="18"/>
              </w:rPr>
              <w:t>0分：0%</w:t>
            </w:r>
          </w:p>
          <w:p w14:paraId="6215C719">
            <w:pPr>
              <w:rPr>
                <w:rFonts w:ascii="Times New Roman" w:hAnsi="Times New Roman"/>
                <w:szCs w:val="18"/>
              </w:rPr>
            </w:pPr>
            <w:r>
              <w:rPr>
                <w:rFonts w:ascii="Times New Roman" w:hAnsi="Times New Roman"/>
                <w:szCs w:val="18"/>
              </w:rPr>
              <w:t>1分：＜10%</w:t>
            </w:r>
          </w:p>
          <w:p w14:paraId="7883F96D">
            <w:pPr>
              <w:rPr>
                <w:rFonts w:ascii="Times New Roman" w:hAnsi="Times New Roman"/>
                <w:szCs w:val="18"/>
              </w:rPr>
            </w:pPr>
            <w:r>
              <w:rPr>
                <w:rFonts w:ascii="Times New Roman" w:hAnsi="Times New Roman"/>
                <w:szCs w:val="18"/>
              </w:rPr>
              <w:t>2分：10-29%</w:t>
            </w:r>
          </w:p>
          <w:p w14:paraId="7A04B84A">
            <w:pPr>
              <w:rPr>
                <w:rFonts w:ascii="Times New Roman" w:hAnsi="Times New Roman"/>
                <w:szCs w:val="18"/>
              </w:rPr>
            </w:pPr>
            <w:r>
              <w:rPr>
                <w:rFonts w:ascii="Times New Roman" w:hAnsi="Times New Roman"/>
                <w:szCs w:val="18"/>
              </w:rPr>
              <w:t>3分：30-49%</w:t>
            </w:r>
          </w:p>
          <w:p w14:paraId="221EEC17">
            <w:pPr>
              <w:rPr>
                <w:rFonts w:ascii="Times New Roman" w:hAnsi="Times New Roman"/>
                <w:szCs w:val="18"/>
              </w:rPr>
            </w:pPr>
            <w:r>
              <w:rPr>
                <w:rFonts w:ascii="Times New Roman" w:hAnsi="Times New Roman"/>
                <w:szCs w:val="18"/>
              </w:rPr>
              <w:t>4分：50-69%</w:t>
            </w:r>
          </w:p>
          <w:p w14:paraId="1753F5EA">
            <w:pPr>
              <w:rPr>
                <w:rFonts w:ascii="Times New Roman" w:hAnsi="Times New Roman"/>
                <w:szCs w:val="18"/>
              </w:rPr>
            </w:pPr>
            <w:r>
              <w:rPr>
                <w:rFonts w:ascii="Times New Roman" w:hAnsi="Times New Roman"/>
                <w:szCs w:val="18"/>
              </w:rPr>
              <w:t>5分：70-89%</w:t>
            </w:r>
          </w:p>
          <w:p w14:paraId="0B0DD765">
            <w:pPr>
              <w:rPr>
                <w:rFonts w:ascii="Times New Roman" w:hAnsi="Times New Roman"/>
                <w:szCs w:val="18"/>
              </w:rPr>
            </w:pPr>
            <w:r>
              <w:rPr>
                <w:rFonts w:ascii="Times New Roman" w:hAnsi="Times New Roman"/>
                <w:szCs w:val="18"/>
              </w:rPr>
              <w:t>6分：90-100%</w:t>
            </w:r>
          </w:p>
        </w:tc>
        <w:tc>
          <w:tcPr>
            <w:tcW w:w="1432" w:type="dxa"/>
            <w:gridSpan w:val="2"/>
            <w:vAlign w:val="center"/>
          </w:tcPr>
          <w:p w14:paraId="2D0CF8D0">
            <w:pPr>
              <w:spacing w:before="156" w:beforeLines="50" w:after="156" w:afterLines="50"/>
              <w:rPr>
                <w:rFonts w:ascii="Times New Roman" w:hAnsi="Times New Roman"/>
                <w:szCs w:val="18"/>
              </w:rPr>
            </w:pPr>
          </w:p>
        </w:tc>
        <w:tc>
          <w:tcPr>
            <w:tcW w:w="1432" w:type="dxa"/>
            <w:gridSpan w:val="3"/>
            <w:vAlign w:val="center"/>
          </w:tcPr>
          <w:p w14:paraId="65B2031A">
            <w:pPr>
              <w:spacing w:before="156" w:beforeLines="50" w:after="156" w:afterLines="50"/>
              <w:rPr>
                <w:rFonts w:ascii="Times New Roman" w:hAnsi="Times New Roman"/>
                <w:szCs w:val="18"/>
              </w:rPr>
            </w:pPr>
          </w:p>
        </w:tc>
        <w:tc>
          <w:tcPr>
            <w:tcW w:w="1432" w:type="dxa"/>
            <w:gridSpan w:val="4"/>
            <w:vAlign w:val="center"/>
          </w:tcPr>
          <w:p w14:paraId="792DD77B">
            <w:pPr>
              <w:spacing w:before="156" w:beforeLines="50" w:after="156" w:afterLines="50"/>
              <w:rPr>
                <w:rFonts w:ascii="Times New Roman" w:hAnsi="Times New Roman"/>
                <w:szCs w:val="18"/>
              </w:rPr>
            </w:pPr>
          </w:p>
        </w:tc>
        <w:tc>
          <w:tcPr>
            <w:tcW w:w="1439" w:type="dxa"/>
            <w:gridSpan w:val="4"/>
            <w:vAlign w:val="center"/>
          </w:tcPr>
          <w:p w14:paraId="6EB07E1F">
            <w:pPr>
              <w:spacing w:before="156" w:beforeLines="50" w:after="156" w:afterLines="50"/>
              <w:rPr>
                <w:rFonts w:ascii="Times New Roman" w:hAnsi="Times New Roman"/>
                <w:szCs w:val="18"/>
              </w:rPr>
            </w:pPr>
          </w:p>
        </w:tc>
      </w:tr>
      <w:tr w14:paraId="6B6B4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42713616">
            <w:pPr>
              <w:spacing w:before="156" w:beforeLines="50" w:after="156" w:afterLines="50"/>
              <w:jc w:val="center"/>
              <w:rPr>
                <w:rFonts w:ascii="Times New Roman" w:hAnsi="Times New Roman"/>
                <w:szCs w:val="18"/>
              </w:rPr>
            </w:pPr>
            <w:r>
              <w:rPr>
                <w:rFonts w:ascii="Times New Roman" w:hAnsi="Times New Roman"/>
                <w:b/>
                <w:bCs/>
                <w:szCs w:val="18"/>
              </w:rPr>
              <w:t>体表面积占全身比例（B）</w:t>
            </w:r>
          </w:p>
        </w:tc>
        <w:tc>
          <w:tcPr>
            <w:tcW w:w="1432" w:type="dxa"/>
            <w:gridSpan w:val="2"/>
            <w:vAlign w:val="center"/>
          </w:tcPr>
          <w:p w14:paraId="0C34C8DB">
            <w:pPr>
              <w:spacing w:before="156" w:beforeLines="50" w:after="156" w:afterLines="50"/>
              <w:jc w:val="center"/>
              <w:rPr>
                <w:rFonts w:ascii="Times New Roman" w:hAnsi="Times New Roman"/>
                <w:szCs w:val="18"/>
              </w:rPr>
            </w:pPr>
            <w:r>
              <w:rPr>
                <w:rFonts w:ascii="Times New Roman" w:hAnsi="Times New Roman"/>
                <w:szCs w:val="18"/>
              </w:rPr>
              <w:t>10%</w:t>
            </w:r>
          </w:p>
        </w:tc>
        <w:tc>
          <w:tcPr>
            <w:tcW w:w="1432" w:type="dxa"/>
            <w:gridSpan w:val="3"/>
            <w:vAlign w:val="center"/>
          </w:tcPr>
          <w:p w14:paraId="600A2B62">
            <w:pPr>
              <w:spacing w:before="156" w:beforeLines="50" w:after="156" w:afterLines="50"/>
              <w:jc w:val="center"/>
              <w:rPr>
                <w:rFonts w:ascii="Times New Roman" w:hAnsi="Times New Roman"/>
                <w:szCs w:val="18"/>
              </w:rPr>
            </w:pPr>
            <w:r>
              <w:rPr>
                <w:rFonts w:ascii="Times New Roman" w:hAnsi="Times New Roman"/>
                <w:szCs w:val="18"/>
              </w:rPr>
              <w:t>20%</w:t>
            </w:r>
          </w:p>
        </w:tc>
        <w:tc>
          <w:tcPr>
            <w:tcW w:w="1432" w:type="dxa"/>
            <w:gridSpan w:val="4"/>
            <w:vAlign w:val="center"/>
          </w:tcPr>
          <w:p w14:paraId="012F46CA">
            <w:pPr>
              <w:spacing w:before="156" w:beforeLines="50" w:after="156" w:afterLines="50"/>
              <w:jc w:val="center"/>
              <w:rPr>
                <w:rFonts w:ascii="Times New Roman" w:hAnsi="Times New Roman"/>
                <w:szCs w:val="18"/>
              </w:rPr>
            </w:pPr>
            <w:r>
              <w:rPr>
                <w:rFonts w:ascii="Times New Roman" w:hAnsi="Times New Roman"/>
                <w:szCs w:val="18"/>
              </w:rPr>
              <w:t>30%</w:t>
            </w:r>
          </w:p>
        </w:tc>
        <w:tc>
          <w:tcPr>
            <w:tcW w:w="1439" w:type="dxa"/>
            <w:gridSpan w:val="4"/>
            <w:vAlign w:val="center"/>
          </w:tcPr>
          <w:p w14:paraId="0DBB7459">
            <w:pPr>
              <w:spacing w:before="156" w:beforeLines="50" w:after="156" w:afterLines="50"/>
              <w:jc w:val="center"/>
              <w:rPr>
                <w:rFonts w:ascii="Times New Roman" w:hAnsi="Times New Roman"/>
                <w:szCs w:val="18"/>
              </w:rPr>
            </w:pPr>
            <w:r>
              <w:rPr>
                <w:rFonts w:ascii="Times New Roman" w:hAnsi="Times New Roman"/>
                <w:szCs w:val="18"/>
              </w:rPr>
              <w:t>40%</w:t>
            </w:r>
          </w:p>
        </w:tc>
      </w:tr>
      <w:tr w14:paraId="1ACA0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0C8F3B6F">
            <w:pPr>
              <w:spacing w:before="156" w:beforeLines="50" w:after="156" w:afterLines="50"/>
              <w:jc w:val="center"/>
              <w:rPr>
                <w:rFonts w:ascii="Times New Roman" w:hAnsi="Times New Roman"/>
                <w:szCs w:val="18"/>
              </w:rPr>
            </w:pPr>
            <w:r>
              <w:rPr>
                <w:rFonts w:ascii="Times New Roman" w:hAnsi="Times New Roman"/>
                <w:b/>
                <w:bCs/>
                <w:szCs w:val="18"/>
              </w:rPr>
              <w:t>斑块特征</w:t>
            </w:r>
          </w:p>
        </w:tc>
        <w:tc>
          <w:tcPr>
            <w:tcW w:w="1740" w:type="dxa"/>
            <w:gridSpan w:val="3"/>
            <w:vAlign w:val="center"/>
          </w:tcPr>
          <w:p w14:paraId="6DE7BEA7">
            <w:pPr>
              <w:spacing w:before="156" w:beforeLines="50" w:after="156" w:afterLines="50"/>
              <w:jc w:val="center"/>
              <w:rPr>
                <w:rFonts w:ascii="Times New Roman" w:hAnsi="Times New Roman"/>
                <w:szCs w:val="18"/>
              </w:rPr>
            </w:pPr>
            <w:r>
              <w:rPr>
                <w:rFonts w:ascii="Times New Roman" w:hAnsi="Times New Roman"/>
                <w:b/>
                <w:bCs/>
                <w:szCs w:val="18"/>
              </w:rPr>
              <w:t>严重程度评分</w:t>
            </w:r>
          </w:p>
        </w:tc>
        <w:tc>
          <w:tcPr>
            <w:tcW w:w="1432" w:type="dxa"/>
            <w:gridSpan w:val="2"/>
            <w:vAlign w:val="center"/>
          </w:tcPr>
          <w:p w14:paraId="6E8A08BF">
            <w:pPr>
              <w:spacing w:before="156" w:beforeLines="50" w:after="156" w:afterLines="50"/>
              <w:jc w:val="center"/>
              <w:rPr>
                <w:rFonts w:ascii="Times New Roman" w:hAnsi="Times New Roman"/>
                <w:szCs w:val="18"/>
              </w:rPr>
            </w:pPr>
            <w:r>
              <w:rPr>
                <w:rFonts w:ascii="Times New Roman" w:hAnsi="Times New Roman"/>
                <w:b/>
                <w:bCs/>
                <w:szCs w:val="18"/>
              </w:rPr>
              <w:t>头/颈</w:t>
            </w:r>
          </w:p>
        </w:tc>
        <w:tc>
          <w:tcPr>
            <w:tcW w:w="1432" w:type="dxa"/>
            <w:gridSpan w:val="3"/>
            <w:vAlign w:val="center"/>
          </w:tcPr>
          <w:p w14:paraId="407E7FCC">
            <w:pPr>
              <w:spacing w:before="156" w:beforeLines="50" w:after="156" w:afterLines="50"/>
              <w:jc w:val="center"/>
              <w:rPr>
                <w:rFonts w:ascii="Times New Roman" w:hAnsi="Times New Roman"/>
                <w:szCs w:val="18"/>
              </w:rPr>
            </w:pPr>
            <w:r>
              <w:rPr>
                <w:rFonts w:ascii="Times New Roman" w:hAnsi="Times New Roman"/>
                <w:b/>
                <w:bCs/>
                <w:szCs w:val="18"/>
              </w:rPr>
              <w:t>上肢</w:t>
            </w:r>
          </w:p>
        </w:tc>
        <w:tc>
          <w:tcPr>
            <w:tcW w:w="1432" w:type="dxa"/>
            <w:gridSpan w:val="4"/>
            <w:vAlign w:val="center"/>
          </w:tcPr>
          <w:p w14:paraId="4FF98B0D">
            <w:pPr>
              <w:spacing w:before="156" w:beforeLines="50" w:after="156" w:afterLines="50"/>
              <w:jc w:val="center"/>
              <w:rPr>
                <w:rFonts w:ascii="Times New Roman" w:hAnsi="Times New Roman"/>
                <w:b/>
                <w:bCs/>
                <w:szCs w:val="18"/>
              </w:rPr>
            </w:pPr>
            <w:r>
              <w:rPr>
                <w:rFonts w:ascii="Times New Roman" w:hAnsi="Times New Roman"/>
                <w:b/>
                <w:bCs/>
                <w:szCs w:val="18"/>
              </w:rPr>
              <w:t>躯干</w:t>
            </w:r>
          </w:p>
          <w:p w14:paraId="335858AD">
            <w:pPr>
              <w:spacing w:before="156" w:beforeLines="50" w:after="156" w:afterLines="50"/>
              <w:jc w:val="center"/>
              <w:rPr>
                <w:rFonts w:ascii="Times New Roman" w:hAnsi="Times New Roman"/>
                <w:szCs w:val="18"/>
              </w:rPr>
            </w:pPr>
            <w:r>
              <w:rPr>
                <w:rFonts w:ascii="Times New Roman" w:hAnsi="Times New Roman"/>
                <w:b/>
                <w:bCs/>
                <w:szCs w:val="18"/>
              </w:rPr>
              <w:t>（包括腋窝及会阴）</w:t>
            </w:r>
          </w:p>
        </w:tc>
        <w:tc>
          <w:tcPr>
            <w:tcW w:w="1439" w:type="dxa"/>
            <w:gridSpan w:val="4"/>
            <w:vAlign w:val="center"/>
          </w:tcPr>
          <w:p w14:paraId="5F4EAE5A">
            <w:pPr>
              <w:spacing w:before="156" w:beforeLines="50" w:after="156" w:afterLines="50"/>
              <w:jc w:val="center"/>
              <w:rPr>
                <w:rFonts w:ascii="Times New Roman" w:hAnsi="Times New Roman"/>
                <w:b/>
                <w:bCs/>
                <w:szCs w:val="18"/>
              </w:rPr>
            </w:pPr>
            <w:r>
              <w:rPr>
                <w:rFonts w:ascii="Times New Roman" w:hAnsi="Times New Roman"/>
                <w:b/>
                <w:bCs/>
                <w:szCs w:val="18"/>
              </w:rPr>
              <w:t>下肢</w:t>
            </w:r>
          </w:p>
          <w:p w14:paraId="688393CD">
            <w:pPr>
              <w:spacing w:before="156" w:beforeLines="50" w:after="156" w:afterLines="50"/>
              <w:jc w:val="center"/>
              <w:rPr>
                <w:rFonts w:ascii="Times New Roman" w:hAnsi="Times New Roman"/>
                <w:szCs w:val="18"/>
              </w:rPr>
            </w:pPr>
            <w:r>
              <w:rPr>
                <w:rFonts w:ascii="Times New Roman" w:hAnsi="Times New Roman"/>
                <w:b/>
                <w:bCs/>
                <w:szCs w:val="18"/>
              </w:rPr>
              <w:t>（包括臀部）</w:t>
            </w:r>
          </w:p>
        </w:tc>
      </w:tr>
      <w:tr w14:paraId="7B0A6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53C428D5">
            <w:pPr>
              <w:spacing w:before="156" w:beforeLines="50" w:after="156" w:afterLines="50"/>
              <w:jc w:val="center"/>
              <w:rPr>
                <w:rFonts w:ascii="Times New Roman" w:hAnsi="Times New Roman"/>
                <w:szCs w:val="18"/>
              </w:rPr>
            </w:pPr>
            <w:r>
              <w:rPr>
                <w:rFonts w:ascii="Times New Roman" w:hAnsi="Times New Roman"/>
                <w:szCs w:val="18"/>
              </w:rPr>
              <w:t>红斑</w:t>
            </w:r>
          </w:p>
        </w:tc>
        <w:tc>
          <w:tcPr>
            <w:tcW w:w="1740" w:type="dxa"/>
            <w:gridSpan w:val="3"/>
            <w:vMerge w:val="restart"/>
            <w:vAlign w:val="center"/>
          </w:tcPr>
          <w:p w14:paraId="275F65F2">
            <w:pPr>
              <w:rPr>
                <w:rFonts w:ascii="Times New Roman" w:hAnsi="Times New Roman"/>
                <w:szCs w:val="18"/>
              </w:rPr>
            </w:pPr>
            <w:r>
              <w:rPr>
                <w:rFonts w:ascii="Times New Roman" w:hAnsi="Times New Roman"/>
                <w:szCs w:val="18"/>
              </w:rPr>
              <w:t>0分：无症状</w:t>
            </w:r>
          </w:p>
          <w:p w14:paraId="11D6C457">
            <w:pPr>
              <w:rPr>
                <w:rFonts w:ascii="Times New Roman" w:hAnsi="Times New Roman"/>
                <w:szCs w:val="18"/>
              </w:rPr>
            </w:pPr>
            <w:r>
              <w:rPr>
                <w:rFonts w:ascii="Times New Roman" w:hAnsi="Times New Roman"/>
                <w:szCs w:val="18"/>
              </w:rPr>
              <w:t>1分：轻度</w:t>
            </w:r>
          </w:p>
          <w:p w14:paraId="773705C2">
            <w:pPr>
              <w:rPr>
                <w:rFonts w:ascii="Times New Roman" w:hAnsi="Times New Roman"/>
                <w:szCs w:val="18"/>
              </w:rPr>
            </w:pPr>
            <w:r>
              <w:rPr>
                <w:rFonts w:ascii="Times New Roman" w:hAnsi="Times New Roman"/>
                <w:szCs w:val="18"/>
              </w:rPr>
              <w:t>2分：中度</w:t>
            </w:r>
          </w:p>
          <w:p w14:paraId="14E4E09C">
            <w:pPr>
              <w:rPr>
                <w:rFonts w:ascii="Times New Roman" w:hAnsi="Times New Roman"/>
                <w:szCs w:val="18"/>
              </w:rPr>
            </w:pPr>
            <w:r>
              <w:rPr>
                <w:rFonts w:ascii="Times New Roman" w:hAnsi="Times New Roman"/>
                <w:szCs w:val="18"/>
              </w:rPr>
              <w:t>3分：重度</w:t>
            </w:r>
          </w:p>
          <w:p w14:paraId="2B898156">
            <w:pPr>
              <w:rPr>
                <w:rFonts w:ascii="Times New Roman" w:hAnsi="Times New Roman"/>
                <w:szCs w:val="18"/>
              </w:rPr>
            </w:pPr>
            <w:r>
              <w:rPr>
                <w:rFonts w:ascii="Times New Roman" w:hAnsi="Times New Roman"/>
                <w:szCs w:val="18"/>
              </w:rPr>
              <w:t>4分：极其严重</w:t>
            </w:r>
          </w:p>
        </w:tc>
        <w:tc>
          <w:tcPr>
            <w:tcW w:w="1432" w:type="dxa"/>
            <w:gridSpan w:val="2"/>
            <w:vAlign w:val="center"/>
          </w:tcPr>
          <w:p w14:paraId="553390B7">
            <w:pPr>
              <w:spacing w:before="156" w:beforeLines="50" w:after="156" w:afterLines="50"/>
              <w:rPr>
                <w:rFonts w:ascii="Times New Roman" w:hAnsi="Times New Roman"/>
                <w:szCs w:val="18"/>
              </w:rPr>
            </w:pPr>
          </w:p>
        </w:tc>
        <w:tc>
          <w:tcPr>
            <w:tcW w:w="1432" w:type="dxa"/>
            <w:gridSpan w:val="3"/>
            <w:vAlign w:val="center"/>
          </w:tcPr>
          <w:p w14:paraId="36439978">
            <w:pPr>
              <w:spacing w:before="156" w:beforeLines="50" w:after="156" w:afterLines="50"/>
              <w:rPr>
                <w:rFonts w:ascii="Times New Roman" w:hAnsi="Times New Roman"/>
                <w:szCs w:val="18"/>
              </w:rPr>
            </w:pPr>
          </w:p>
        </w:tc>
        <w:tc>
          <w:tcPr>
            <w:tcW w:w="1432" w:type="dxa"/>
            <w:gridSpan w:val="4"/>
            <w:vAlign w:val="center"/>
          </w:tcPr>
          <w:p w14:paraId="5A635407">
            <w:pPr>
              <w:spacing w:before="156" w:beforeLines="50" w:after="156" w:afterLines="50"/>
              <w:rPr>
                <w:rFonts w:ascii="Times New Roman" w:hAnsi="Times New Roman"/>
                <w:szCs w:val="18"/>
              </w:rPr>
            </w:pPr>
          </w:p>
        </w:tc>
        <w:tc>
          <w:tcPr>
            <w:tcW w:w="1439" w:type="dxa"/>
            <w:gridSpan w:val="4"/>
            <w:vAlign w:val="center"/>
          </w:tcPr>
          <w:p w14:paraId="2F9B7CAA">
            <w:pPr>
              <w:spacing w:before="156" w:beforeLines="50" w:after="156" w:afterLines="50"/>
              <w:rPr>
                <w:rFonts w:ascii="Times New Roman" w:hAnsi="Times New Roman"/>
                <w:szCs w:val="18"/>
              </w:rPr>
            </w:pPr>
          </w:p>
        </w:tc>
      </w:tr>
      <w:tr w14:paraId="5B8EA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58A05B24">
            <w:pPr>
              <w:spacing w:before="156" w:beforeLines="50" w:after="156" w:afterLines="50"/>
              <w:jc w:val="center"/>
              <w:rPr>
                <w:rFonts w:ascii="Times New Roman" w:hAnsi="Times New Roman"/>
                <w:szCs w:val="18"/>
              </w:rPr>
            </w:pPr>
            <w:r>
              <w:rPr>
                <w:rFonts w:ascii="Times New Roman" w:hAnsi="Times New Roman"/>
                <w:szCs w:val="18"/>
              </w:rPr>
              <w:t>浸润</w:t>
            </w:r>
          </w:p>
        </w:tc>
        <w:tc>
          <w:tcPr>
            <w:tcW w:w="1740" w:type="dxa"/>
            <w:gridSpan w:val="3"/>
            <w:vMerge w:val="continue"/>
            <w:vAlign w:val="center"/>
          </w:tcPr>
          <w:p w14:paraId="1AD55111">
            <w:pPr>
              <w:spacing w:before="156" w:beforeLines="50" w:after="156" w:afterLines="50"/>
              <w:rPr>
                <w:rFonts w:ascii="Times New Roman" w:hAnsi="Times New Roman"/>
                <w:szCs w:val="18"/>
              </w:rPr>
            </w:pPr>
          </w:p>
        </w:tc>
        <w:tc>
          <w:tcPr>
            <w:tcW w:w="1432" w:type="dxa"/>
            <w:gridSpan w:val="2"/>
            <w:vAlign w:val="center"/>
          </w:tcPr>
          <w:p w14:paraId="0493BC9D">
            <w:pPr>
              <w:spacing w:before="156" w:beforeLines="50" w:after="156" w:afterLines="50"/>
              <w:rPr>
                <w:rFonts w:ascii="Times New Roman" w:hAnsi="Times New Roman"/>
                <w:szCs w:val="18"/>
              </w:rPr>
            </w:pPr>
          </w:p>
        </w:tc>
        <w:tc>
          <w:tcPr>
            <w:tcW w:w="1432" w:type="dxa"/>
            <w:gridSpan w:val="3"/>
            <w:vAlign w:val="center"/>
          </w:tcPr>
          <w:p w14:paraId="32B798CB">
            <w:pPr>
              <w:spacing w:before="156" w:beforeLines="50" w:after="156" w:afterLines="50"/>
              <w:rPr>
                <w:rFonts w:ascii="Times New Roman" w:hAnsi="Times New Roman"/>
                <w:szCs w:val="18"/>
              </w:rPr>
            </w:pPr>
          </w:p>
        </w:tc>
        <w:tc>
          <w:tcPr>
            <w:tcW w:w="1432" w:type="dxa"/>
            <w:gridSpan w:val="4"/>
            <w:vAlign w:val="center"/>
          </w:tcPr>
          <w:p w14:paraId="486D81B5">
            <w:pPr>
              <w:spacing w:before="156" w:beforeLines="50" w:after="156" w:afterLines="50"/>
              <w:rPr>
                <w:rFonts w:ascii="Times New Roman" w:hAnsi="Times New Roman"/>
                <w:szCs w:val="18"/>
              </w:rPr>
            </w:pPr>
          </w:p>
        </w:tc>
        <w:tc>
          <w:tcPr>
            <w:tcW w:w="1439" w:type="dxa"/>
            <w:gridSpan w:val="4"/>
            <w:vAlign w:val="center"/>
          </w:tcPr>
          <w:p w14:paraId="2C15CE0D">
            <w:pPr>
              <w:spacing w:before="156" w:beforeLines="50" w:after="156" w:afterLines="50"/>
              <w:rPr>
                <w:rFonts w:ascii="Times New Roman" w:hAnsi="Times New Roman"/>
                <w:szCs w:val="18"/>
              </w:rPr>
            </w:pPr>
          </w:p>
        </w:tc>
      </w:tr>
      <w:tr w14:paraId="3E538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0A751AB0">
            <w:pPr>
              <w:spacing w:before="156" w:beforeLines="50" w:after="156" w:afterLines="50"/>
              <w:jc w:val="center"/>
              <w:rPr>
                <w:rFonts w:ascii="Times New Roman" w:hAnsi="Times New Roman"/>
                <w:szCs w:val="18"/>
              </w:rPr>
            </w:pPr>
            <w:r>
              <w:rPr>
                <w:rFonts w:ascii="Times New Roman" w:hAnsi="Times New Roman"/>
                <w:szCs w:val="18"/>
              </w:rPr>
              <w:t>脱屑</w:t>
            </w:r>
          </w:p>
        </w:tc>
        <w:tc>
          <w:tcPr>
            <w:tcW w:w="1740" w:type="dxa"/>
            <w:gridSpan w:val="3"/>
            <w:vMerge w:val="continue"/>
            <w:vAlign w:val="center"/>
          </w:tcPr>
          <w:p w14:paraId="498D7574">
            <w:pPr>
              <w:spacing w:before="156" w:beforeLines="50" w:after="156" w:afterLines="50"/>
              <w:rPr>
                <w:rFonts w:ascii="Times New Roman" w:hAnsi="Times New Roman"/>
                <w:szCs w:val="18"/>
              </w:rPr>
            </w:pPr>
          </w:p>
        </w:tc>
        <w:tc>
          <w:tcPr>
            <w:tcW w:w="1432" w:type="dxa"/>
            <w:gridSpan w:val="2"/>
            <w:vAlign w:val="center"/>
          </w:tcPr>
          <w:p w14:paraId="52DFC0BA">
            <w:pPr>
              <w:spacing w:before="156" w:beforeLines="50" w:after="156" w:afterLines="50"/>
              <w:rPr>
                <w:rFonts w:ascii="Times New Roman" w:hAnsi="Times New Roman"/>
                <w:szCs w:val="18"/>
              </w:rPr>
            </w:pPr>
          </w:p>
        </w:tc>
        <w:tc>
          <w:tcPr>
            <w:tcW w:w="1432" w:type="dxa"/>
            <w:gridSpan w:val="3"/>
            <w:vAlign w:val="center"/>
          </w:tcPr>
          <w:p w14:paraId="6CF17463">
            <w:pPr>
              <w:spacing w:before="156" w:beforeLines="50" w:after="156" w:afterLines="50"/>
              <w:rPr>
                <w:rFonts w:ascii="Times New Roman" w:hAnsi="Times New Roman"/>
                <w:szCs w:val="18"/>
              </w:rPr>
            </w:pPr>
          </w:p>
        </w:tc>
        <w:tc>
          <w:tcPr>
            <w:tcW w:w="1432" w:type="dxa"/>
            <w:gridSpan w:val="4"/>
            <w:vAlign w:val="center"/>
          </w:tcPr>
          <w:p w14:paraId="060AEB7C">
            <w:pPr>
              <w:spacing w:before="156" w:beforeLines="50" w:after="156" w:afterLines="50"/>
              <w:rPr>
                <w:rFonts w:ascii="Times New Roman" w:hAnsi="Times New Roman"/>
                <w:szCs w:val="18"/>
              </w:rPr>
            </w:pPr>
          </w:p>
        </w:tc>
        <w:tc>
          <w:tcPr>
            <w:tcW w:w="1439" w:type="dxa"/>
            <w:gridSpan w:val="4"/>
            <w:vAlign w:val="center"/>
          </w:tcPr>
          <w:p w14:paraId="6BF8AEB7">
            <w:pPr>
              <w:spacing w:before="156" w:beforeLines="50" w:after="156" w:afterLines="50"/>
              <w:rPr>
                <w:rFonts w:ascii="Times New Roman" w:hAnsi="Times New Roman"/>
                <w:szCs w:val="18"/>
              </w:rPr>
            </w:pPr>
          </w:p>
        </w:tc>
      </w:tr>
      <w:tr w14:paraId="4CFF0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9302" w:type="dxa"/>
            <w:gridSpan w:val="19"/>
            <w:vAlign w:val="center"/>
          </w:tcPr>
          <w:p w14:paraId="251FB8BE">
            <w:pPr>
              <w:spacing w:before="156" w:beforeLines="50" w:after="156" w:afterLines="50"/>
              <w:rPr>
                <w:rFonts w:ascii="Times New Roman" w:hAnsi="Times New Roman"/>
                <w:szCs w:val="18"/>
              </w:rPr>
            </w:pPr>
            <w:r>
              <w:rPr>
                <w:rFonts w:ascii="Times New Roman" w:hAnsi="Times New Roman"/>
                <w:i/>
                <w:iCs/>
                <w:szCs w:val="18"/>
              </w:rPr>
              <w:t>注：请将每个部位的三项评分相加，对应填入下行皮损严重评分（C）中</w:t>
            </w:r>
          </w:p>
        </w:tc>
      </w:tr>
      <w:tr w14:paraId="2E142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6E59944C">
            <w:pPr>
              <w:spacing w:before="156" w:beforeLines="50" w:after="156" w:afterLines="50"/>
              <w:jc w:val="center"/>
              <w:rPr>
                <w:rFonts w:ascii="Times New Roman" w:hAnsi="Times New Roman"/>
                <w:b/>
                <w:bCs/>
                <w:szCs w:val="18"/>
              </w:rPr>
            </w:pPr>
            <w:r>
              <w:rPr>
                <w:rFonts w:ascii="Times New Roman" w:hAnsi="Times New Roman"/>
                <w:b/>
                <w:bCs/>
                <w:szCs w:val="18"/>
              </w:rPr>
              <w:t>皮损严重程度评分（C）</w:t>
            </w:r>
          </w:p>
        </w:tc>
        <w:tc>
          <w:tcPr>
            <w:tcW w:w="1432" w:type="dxa"/>
            <w:gridSpan w:val="2"/>
            <w:vAlign w:val="center"/>
          </w:tcPr>
          <w:p w14:paraId="7D9B2B7B">
            <w:pPr>
              <w:spacing w:before="156" w:beforeLines="50" w:after="156" w:afterLines="50"/>
              <w:rPr>
                <w:rFonts w:ascii="Times New Roman" w:hAnsi="Times New Roman"/>
                <w:szCs w:val="18"/>
              </w:rPr>
            </w:pPr>
          </w:p>
        </w:tc>
        <w:tc>
          <w:tcPr>
            <w:tcW w:w="1432" w:type="dxa"/>
            <w:gridSpan w:val="3"/>
            <w:vAlign w:val="center"/>
          </w:tcPr>
          <w:p w14:paraId="44E001E6">
            <w:pPr>
              <w:spacing w:before="156" w:beforeLines="50" w:after="156" w:afterLines="50"/>
              <w:rPr>
                <w:rFonts w:ascii="Times New Roman" w:hAnsi="Times New Roman"/>
                <w:szCs w:val="18"/>
              </w:rPr>
            </w:pPr>
          </w:p>
        </w:tc>
        <w:tc>
          <w:tcPr>
            <w:tcW w:w="1432" w:type="dxa"/>
            <w:gridSpan w:val="4"/>
            <w:vAlign w:val="center"/>
          </w:tcPr>
          <w:p w14:paraId="60B5A3E7">
            <w:pPr>
              <w:spacing w:before="156" w:beforeLines="50" w:after="156" w:afterLines="50"/>
              <w:rPr>
                <w:rFonts w:ascii="Times New Roman" w:hAnsi="Times New Roman"/>
                <w:szCs w:val="18"/>
              </w:rPr>
            </w:pPr>
          </w:p>
        </w:tc>
        <w:tc>
          <w:tcPr>
            <w:tcW w:w="1439" w:type="dxa"/>
            <w:gridSpan w:val="4"/>
            <w:vAlign w:val="center"/>
          </w:tcPr>
          <w:p w14:paraId="335DBC78">
            <w:pPr>
              <w:spacing w:before="156" w:beforeLines="50" w:after="156" w:afterLines="50"/>
              <w:rPr>
                <w:rFonts w:ascii="Times New Roman" w:hAnsi="Times New Roman"/>
                <w:szCs w:val="18"/>
              </w:rPr>
            </w:pPr>
          </w:p>
        </w:tc>
      </w:tr>
      <w:tr w14:paraId="14C1F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557BAF2F">
            <w:pPr>
              <w:spacing w:before="156" w:beforeLines="50" w:after="156" w:afterLines="50"/>
              <w:jc w:val="center"/>
              <w:rPr>
                <w:rFonts w:ascii="Times New Roman" w:hAnsi="Times New Roman"/>
                <w:b/>
                <w:bCs/>
                <w:szCs w:val="18"/>
              </w:rPr>
            </w:pPr>
            <w:r>
              <w:rPr>
                <w:rFonts w:ascii="Times New Roman" w:hAnsi="Times New Roman"/>
                <w:b/>
                <w:bCs/>
                <w:szCs w:val="18"/>
              </w:rPr>
              <w:t>各部位PASI得分=A*B*C</w:t>
            </w:r>
          </w:p>
        </w:tc>
        <w:tc>
          <w:tcPr>
            <w:tcW w:w="1432" w:type="dxa"/>
            <w:gridSpan w:val="2"/>
            <w:vAlign w:val="center"/>
          </w:tcPr>
          <w:p w14:paraId="04FC8A80">
            <w:pPr>
              <w:spacing w:before="156" w:beforeLines="50" w:after="156" w:afterLines="50"/>
              <w:rPr>
                <w:rFonts w:ascii="Times New Roman" w:hAnsi="Times New Roman"/>
                <w:szCs w:val="18"/>
              </w:rPr>
            </w:pPr>
          </w:p>
        </w:tc>
        <w:tc>
          <w:tcPr>
            <w:tcW w:w="1432" w:type="dxa"/>
            <w:gridSpan w:val="3"/>
            <w:vAlign w:val="center"/>
          </w:tcPr>
          <w:p w14:paraId="6759FD9B">
            <w:pPr>
              <w:spacing w:before="156" w:beforeLines="50" w:after="156" w:afterLines="50"/>
              <w:rPr>
                <w:rFonts w:ascii="Times New Roman" w:hAnsi="Times New Roman"/>
                <w:szCs w:val="18"/>
              </w:rPr>
            </w:pPr>
          </w:p>
        </w:tc>
        <w:tc>
          <w:tcPr>
            <w:tcW w:w="1432" w:type="dxa"/>
            <w:gridSpan w:val="4"/>
            <w:vAlign w:val="center"/>
          </w:tcPr>
          <w:p w14:paraId="02630A7D">
            <w:pPr>
              <w:spacing w:before="156" w:beforeLines="50" w:after="156" w:afterLines="50"/>
              <w:rPr>
                <w:rFonts w:ascii="Times New Roman" w:hAnsi="Times New Roman"/>
                <w:szCs w:val="18"/>
              </w:rPr>
            </w:pPr>
          </w:p>
        </w:tc>
        <w:tc>
          <w:tcPr>
            <w:tcW w:w="1439" w:type="dxa"/>
            <w:gridSpan w:val="4"/>
            <w:vAlign w:val="center"/>
          </w:tcPr>
          <w:p w14:paraId="2C961575">
            <w:pPr>
              <w:spacing w:before="156" w:beforeLines="50" w:after="156" w:afterLines="50"/>
              <w:rPr>
                <w:rFonts w:ascii="Times New Roman" w:hAnsi="Times New Roman"/>
                <w:szCs w:val="18"/>
              </w:rPr>
            </w:pPr>
          </w:p>
        </w:tc>
      </w:tr>
      <w:tr w14:paraId="1047B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7143B86F">
            <w:pPr>
              <w:spacing w:before="156" w:beforeLines="50" w:after="156" w:afterLines="50"/>
              <w:jc w:val="center"/>
              <w:rPr>
                <w:rFonts w:ascii="Times New Roman" w:hAnsi="Times New Roman"/>
                <w:b/>
                <w:bCs/>
                <w:szCs w:val="18"/>
              </w:rPr>
            </w:pPr>
            <w:r>
              <w:rPr>
                <w:rFonts w:ascii="Times New Roman" w:hAnsi="Times New Roman"/>
                <w:b/>
                <w:bCs/>
                <w:szCs w:val="18"/>
              </w:rPr>
              <w:t>PASI总分=各部位PASI得分相加</w:t>
            </w:r>
          </w:p>
        </w:tc>
        <w:tc>
          <w:tcPr>
            <w:tcW w:w="5735" w:type="dxa"/>
            <w:gridSpan w:val="13"/>
            <w:vAlign w:val="center"/>
          </w:tcPr>
          <w:p w14:paraId="4E077CB3">
            <w:pPr>
              <w:spacing w:before="156" w:beforeLines="50" w:after="156" w:afterLines="50"/>
              <w:rPr>
                <w:rFonts w:ascii="Times New Roman" w:hAnsi="Times New Roman"/>
                <w:szCs w:val="18"/>
              </w:rPr>
            </w:pPr>
          </w:p>
        </w:tc>
      </w:tr>
      <w:tr w14:paraId="64F62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567" w:hRule="exact"/>
        </w:trPr>
        <w:tc>
          <w:tcPr>
            <w:tcW w:w="9342" w:type="dxa"/>
            <w:gridSpan w:val="20"/>
            <w:shd w:val="clear" w:color="auto" w:fill="CCCCCC"/>
          </w:tcPr>
          <w:p w14:paraId="2ADC6AB3">
            <w:pPr>
              <w:spacing w:before="156" w:beforeLines="50" w:after="156" w:afterLines="50"/>
              <w:rPr>
                <w:rFonts w:ascii="Times New Roman" w:hAnsi="Times New Roman"/>
              </w:rPr>
            </w:pPr>
            <w:r>
              <w:rPr>
                <w:rFonts w:ascii="Times New Roman" w:hAnsi="Times New Roman"/>
                <w:b/>
              </w:rPr>
              <w:t>医师整体评估（PGA）</w:t>
            </w:r>
          </w:p>
        </w:tc>
      </w:tr>
      <w:tr w14:paraId="72A37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680" w:hRule="exact"/>
        </w:trPr>
        <w:tc>
          <w:tcPr>
            <w:tcW w:w="1185" w:type="dxa"/>
            <w:gridSpan w:val="2"/>
            <w:vAlign w:val="center"/>
          </w:tcPr>
          <w:p w14:paraId="53540D9D">
            <w:pPr>
              <w:spacing w:before="156" w:beforeLines="50" w:after="156" w:afterLines="50"/>
              <w:rPr>
                <w:rFonts w:ascii="Times New Roman" w:hAnsi="Times New Roman"/>
                <w:szCs w:val="21"/>
                <w:lang w:val="sq-AL"/>
              </w:rPr>
            </w:pPr>
            <w:r>
              <w:rPr>
                <w:rFonts w:ascii="Times New Roman" w:hAnsi="Times New Roman"/>
                <w:szCs w:val="21"/>
                <w:lang w:val="sq-AL"/>
              </w:rPr>
              <w:t>项目</w:t>
            </w:r>
          </w:p>
        </w:tc>
        <w:tc>
          <w:tcPr>
            <w:tcW w:w="1476" w:type="dxa"/>
            <w:gridSpan w:val="2"/>
          </w:tcPr>
          <w:p w14:paraId="5A9B1C45">
            <w:pPr>
              <w:spacing w:before="156" w:beforeLines="50" w:after="156" w:afterLines="50"/>
              <w:rPr>
                <w:rFonts w:ascii="Times New Roman" w:hAnsi="Times New Roman"/>
                <w:szCs w:val="21"/>
                <w:lang w:val="sq-AL"/>
              </w:rPr>
            </w:pPr>
            <w:r>
              <w:rPr>
                <w:rFonts w:ascii="Times New Roman" w:hAnsi="Times New Roman"/>
                <w:szCs w:val="21"/>
                <w:lang w:val="sq-AL"/>
              </w:rPr>
              <w:t>评分</w:t>
            </w:r>
          </w:p>
        </w:tc>
        <w:tc>
          <w:tcPr>
            <w:tcW w:w="6681" w:type="dxa"/>
            <w:gridSpan w:val="16"/>
            <w:vAlign w:val="center"/>
          </w:tcPr>
          <w:p w14:paraId="0B9873E9">
            <w:pPr>
              <w:spacing w:before="156" w:beforeLines="50" w:after="156" w:afterLines="50"/>
              <w:rPr>
                <w:rFonts w:ascii="Times New Roman" w:hAnsi="Times New Roman"/>
                <w:szCs w:val="21"/>
                <w:lang w:val="sq-AL"/>
              </w:rPr>
            </w:pPr>
            <w:r>
              <w:rPr>
                <w:rFonts w:ascii="Times New Roman" w:hAnsi="Times New Roman"/>
                <w:szCs w:val="21"/>
                <w:lang w:val="sq-AL"/>
              </w:rPr>
              <w:t>注释</w:t>
            </w:r>
          </w:p>
        </w:tc>
      </w:tr>
      <w:tr w14:paraId="30E37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2322" w:hRule="exact"/>
        </w:trPr>
        <w:tc>
          <w:tcPr>
            <w:tcW w:w="1185" w:type="dxa"/>
            <w:gridSpan w:val="2"/>
            <w:vAlign w:val="center"/>
          </w:tcPr>
          <w:p w14:paraId="0495C378">
            <w:pPr>
              <w:spacing w:before="156" w:beforeLines="50" w:after="156" w:afterLines="50"/>
              <w:rPr>
                <w:rFonts w:ascii="Times New Roman" w:hAnsi="Times New Roman"/>
                <w:szCs w:val="21"/>
                <w:lang w:val="sq-AL"/>
              </w:rPr>
            </w:pPr>
            <w:r>
              <w:rPr>
                <w:rFonts w:ascii="Times New Roman" w:hAnsi="Times New Roman"/>
                <w:szCs w:val="21"/>
                <w:lang w:val="sq-AL"/>
              </w:rPr>
              <w:t>红斑（E）</w:t>
            </w:r>
          </w:p>
        </w:tc>
        <w:tc>
          <w:tcPr>
            <w:tcW w:w="1476" w:type="dxa"/>
            <w:gridSpan w:val="2"/>
            <w:vAlign w:val="center"/>
          </w:tcPr>
          <w:p w14:paraId="00787A63">
            <w:pPr>
              <w:spacing w:before="156" w:beforeLines="50" w:after="156" w:afterLines="50"/>
              <w:rPr>
                <w:rFonts w:ascii="Times New Roman" w:hAnsi="Times New Roman"/>
                <w:szCs w:val="21"/>
              </w:rPr>
            </w:pPr>
            <w:r>
              <w:rPr>
                <w:rFonts w:ascii="Times New Roman" w:hAnsi="Times New Roman"/>
                <w:szCs w:val="21"/>
              </w:rPr>
              <w:t>□ 0    □ 1</w:t>
            </w:r>
          </w:p>
          <w:p w14:paraId="28FBC663">
            <w:pPr>
              <w:spacing w:before="156" w:beforeLines="50" w:after="156" w:afterLines="50"/>
              <w:rPr>
                <w:rFonts w:ascii="Times New Roman" w:hAnsi="Times New Roman"/>
                <w:szCs w:val="21"/>
              </w:rPr>
            </w:pPr>
            <w:r>
              <w:rPr>
                <w:rFonts w:ascii="Times New Roman" w:hAnsi="Times New Roman"/>
                <w:szCs w:val="21"/>
              </w:rPr>
              <w:t>□ 2    □ 3</w:t>
            </w:r>
          </w:p>
          <w:p w14:paraId="5DF69410">
            <w:pPr>
              <w:spacing w:before="156" w:beforeLines="50" w:after="156" w:afterLines="50"/>
              <w:rPr>
                <w:rFonts w:ascii="Times New Roman" w:hAnsi="Times New Roman"/>
                <w:szCs w:val="21"/>
                <w:lang w:val="sq-AL"/>
              </w:rPr>
            </w:pPr>
            <w:r>
              <w:rPr>
                <w:rFonts w:ascii="Times New Roman" w:hAnsi="Times New Roman"/>
                <w:szCs w:val="21"/>
              </w:rPr>
              <w:t xml:space="preserve">□ 4    </w:t>
            </w:r>
          </w:p>
        </w:tc>
        <w:tc>
          <w:tcPr>
            <w:tcW w:w="6681" w:type="dxa"/>
            <w:gridSpan w:val="16"/>
            <w:vAlign w:val="center"/>
          </w:tcPr>
          <w:p w14:paraId="579B15D2">
            <w:pPr>
              <w:rPr>
                <w:rFonts w:ascii="Times New Roman" w:hAnsi="Times New Roman"/>
              </w:rPr>
            </w:pPr>
            <w:r>
              <w:rPr>
                <w:rFonts w:ascii="Times New Roman" w:hAnsi="Times New Roman"/>
              </w:rPr>
              <w:t>0 = 无红斑证据，可能存在色素过度沉着</w:t>
            </w:r>
          </w:p>
          <w:p w14:paraId="73A0FFF0">
            <w:pPr>
              <w:rPr>
                <w:rFonts w:ascii="Times New Roman" w:hAnsi="Times New Roman"/>
              </w:rPr>
            </w:pPr>
            <w:r>
              <w:rPr>
                <w:rFonts w:ascii="Times New Roman" w:hAnsi="Times New Roman"/>
              </w:rPr>
              <w:t>1 = 微弱红斑</w:t>
            </w:r>
          </w:p>
          <w:p w14:paraId="0287948D">
            <w:pPr>
              <w:rPr>
                <w:rFonts w:ascii="Times New Roman" w:hAnsi="Times New Roman"/>
              </w:rPr>
            </w:pPr>
            <w:r>
              <w:rPr>
                <w:rFonts w:ascii="Times New Roman" w:hAnsi="Times New Roman"/>
              </w:rPr>
              <w:t>2 = 颜色为淡红色</w:t>
            </w:r>
          </w:p>
          <w:p w14:paraId="265A8A2A">
            <w:pPr>
              <w:rPr>
                <w:rFonts w:ascii="Times New Roman" w:hAnsi="Times New Roman"/>
              </w:rPr>
            </w:pPr>
            <w:r>
              <w:rPr>
                <w:rFonts w:ascii="Times New Roman" w:hAnsi="Times New Roman"/>
              </w:rPr>
              <w:t>3 = 颜色为中度红色</w:t>
            </w:r>
          </w:p>
          <w:p w14:paraId="7A7335CA">
            <w:pPr>
              <w:rPr>
                <w:rFonts w:ascii="Times New Roman" w:hAnsi="Times New Roman"/>
                <w:szCs w:val="21"/>
                <w:lang w:val="sq-AL"/>
              </w:rPr>
            </w:pPr>
            <w:r>
              <w:rPr>
                <w:rFonts w:ascii="Times New Roman" w:hAnsi="Times New Roman"/>
              </w:rPr>
              <w:t>4 = 颜色为亮红色</w:t>
            </w:r>
          </w:p>
        </w:tc>
      </w:tr>
      <w:tr w14:paraId="649A8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2322" w:hRule="exact"/>
        </w:trPr>
        <w:tc>
          <w:tcPr>
            <w:tcW w:w="1185" w:type="dxa"/>
            <w:gridSpan w:val="2"/>
            <w:vAlign w:val="center"/>
          </w:tcPr>
          <w:p w14:paraId="2064C035">
            <w:pPr>
              <w:spacing w:before="156" w:beforeLines="50" w:after="156" w:afterLines="50"/>
              <w:rPr>
                <w:rFonts w:ascii="Times New Roman" w:hAnsi="Times New Roman"/>
                <w:szCs w:val="21"/>
                <w:lang w:val="sq-AL"/>
              </w:rPr>
            </w:pPr>
            <w:r>
              <w:rPr>
                <w:rFonts w:ascii="Times New Roman" w:hAnsi="Times New Roman"/>
                <w:szCs w:val="21"/>
                <w:lang w:val="sq-AL"/>
              </w:rPr>
              <w:t>浸润（I）</w:t>
            </w:r>
          </w:p>
        </w:tc>
        <w:tc>
          <w:tcPr>
            <w:tcW w:w="1476" w:type="dxa"/>
            <w:gridSpan w:val="2"/>
            <w:vAlign w:val="center"/>
          </w:tcPr>
          <w:p w14:paraId="542E846C">
            <w:pPr>
              <w:spacing w:before="156" w:beforeLines="50" w:after="156" w:afterLines="50"/>
              <w:rPr>
                <w:rFonts w:ascii="Times New Roman" w:hAnsi="Times New Roman"/>
                <w:szCs w:val="21"/>
              </w:rPr>
            </w:pPr>
            <w:r>
              <w:rPr>
                <w:rFonts w:ascii="Times New Roman" w:hAnsi="Times New Roman"/>
                <w:szCs w:val="21"/>
              </w:rPr>
              <w:t>□ 0    □ 1</w:t>
            </w:r>
          </w:p>
          <w:p w14:paraId="179B14E7">
            <w:pPr>
              <w:spacing w:before="156" w:beforeLines="50" w:after="156" w:afterLines="50"/>
              <w:rPr>
                <w:rFonts w:ascii="Times New Roman" w:hAnsi="Times New Roman"/>
                <w:szCs w:val="21"/>
              </w:rPr>
            </w:pPr>
            <w:r>
              <w:rPr>
                <w:rFonts w:ascii="Times New Roman" w:hAnsi="Times New Roman"/>
                <w:szCs w:val="21"/>
              </w:rPr>
              <w:t>□ 2    □ 3</w:t>
            </w:r>
          </w:p>
          <w:p w14:paraId="337DAA73">
            <w:pPr>
              <w:spacing w:before="156" w:beforeLines="50" w:after="156" w:afterLines="50"/>
              <w:rPr>
                <w:rFonts w:ascii="Times New Roman" w:hAnsi="Times New Roman"/>
                <w:szCs w:val="21"/>
              </w:rPr>
            </w:pPr>
            <w:r>
              <w:rPr>
                <w:rFonts w:ascii="Times New Roman" w:hAnsi="Times New Roman"/>
                <w:szCs w:val="21"/>
              </w:rPr>
              <w:t xml:space="preserve">□ 4    </w:t>
            </w:r>
          </w:p>
        </w:tc>
        <w:tc>
          <w:tcPr>
            <w:tcW w:w="6681" w:type="dxa"/>
            <w:gridSpan w:val="16"/>
            <w:vAlign w:val="center"/>
          </w:tcPr>
          <w:p w14:paraId="7700D105">
            <w:pPr>
              <w:rPr>
                <w:rFonts w:ascii="Times New Roman" w:hAnsi="Times New Roman"/>
              </w:rPr>
            </w:pPr>
            <w:r>
              <w:rPr>
                <w:rFonts w:ascii="Times New Roman" w:hAnsi="Times New Roman"/>
              </w:rPr>
              <w:t>0 = 无斑块突出之证据</w:t>
            </w:r>
          </w:p>
          <w:p w14:paraId="755FA573">
            <w:pPr>
              <w:rPr>
                <w:rFonts w:ascii="Times New Roman" w:hAnsi="Times New Roman"/>
              </w:rPr>
            </w:pPr>
            <w:r>
              <w:rPr>
                <w:rFonts w:ascii="Times New Roman" w:hAnsi="Times New Roman"/>
              </w:rPr>
              <w:t>1 = 最小斑块升高，几乎不明显 = 0.25 mm</w:t>
            </w:r>
          </w:p>
          <w:p w14:paraId="715B17B3">
            <w:pPr>
              <w:rPr>
                <w:rFonts w:ascii="Times New Roman" w:hAnsi="Times New Roman"/>
              </w:rPr>
            </w:pPr>
            <w:r>
              <w:rPr>
                <w:rFonts w:ascii="Times New Roman" w:hAnsi="Times New Roman"/>
              </w:rPr>
              <w:t>2 = 轻度斑块升高，轻微但明确升高，边缘不清晰 = 0.5 mm</w:t>
            </w:r>
          </w:p>
          <w:p w14:paraId="4EA90FA9">
            <w:pPr>
              <w:rPr>
                <w:rFonts w:ascii="Times New Roman" w:hAnsi="Times New Roman"/>
              </w:rPr>
            </w:pPr>
            <w:r>
              <w:rPr>
                <w:rFonts w:ascii="Times New Roman" w:hAnsi="Times New Roman"/>
              </w:rPr>
              <w:t>3 = 中度斑块升高，伴有清晰边缘的升高 = 0.75 mm</w:t>
            </w:r>
          </w:p>
          <w:p w14:paraId="46CA93F2">
            <w:pPr>
              <w:rPr>
                <w:rFonts w:ascii="Times New Roman" w:hAnsi="Times New Roman"/>
              </w:rPr>
            </w:pPr>
            <w:r>
              <w:rPr>
                <w:rFonts w:ascii="Times New Roman" w:hAnsi="Times New Roman"/>
              </w:rPr>
              <w:t>4 = 严重斑块升高，硬/尖锐的边缘≥ 1 mm</w:t>
            </w:r>
          </w:p>
        </w:tc>
      </w:tr>
      <w:tr w14:paraId="09254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2418" w:hRule="exact"/>
        </w:trPr>
        <w:tc>
          <w:tcPr>
            <w:tcW w:w="1185" w:type="dxa"/>
            <w:gridSpan w:val="2"/>
            <w:vAlign w:val="center"/>
          </w:tcPr>
          <w:p w14:paraId="16E0D1EB">
            <w:pPr>
              <w:spacing w:before="156" w:beforeLines="50" w:after="156" w:afterLines="50"/>
              <w:rPr>
                <w:rFonts w:ascii="Times New Roman" w:hAnsi="Times New Roman"/>
                <w:szCs w:val="21"/>
                <w:lang w:val="sq-AL"/>
              </w:rPr>
            </w:pPr>
            <w:r>
              <w:rPr>
                <w:rFonts w:ascii="Times New Roman" w:hAnsi="Times New Roman"/>
                <w:szCs w:val="21"/>
                <w:lang w:val="sq-AL"/>
              </w:rPr>
              <w:t>鳞屑（S）</w:t>
            </w:r>
          </w:p>
        </w:tc>
        <w:tc>
          <w:tcPr>
            <w:tcW w:w="1476" w:type="dxa"/>
            <w:gridSpan w:val="2"/>
            <w:vAlign w:val="center"/>
          </w:tcPr>
          <w:p w14:paraId="49E1DB85">
            <w:pPr>
              <w:spacing w:before="156" w:beforeLines="50" w:after="156" w:afterLines="50"/>
              <w:rPr>
                <w:rFonts w:ascii="Times New Roman" w:hAnsi="Times New Roman"/>
                <w:szCs w:val="21"/>
              </w:rPr>
            </w:pPr>
            <w:r>
              <w:rPr>
                <w:rFonts w:ascii="Times New Roman" w:hAnsi="Times New Roman"/>
                <w:szCs w:val="21"/>
              </w:rPr>
              <w:t>□ 0    □ 1</w:t>
            </w:r>
          </w:p>
          <w:p w14:paraId="78AF4B2A">
            <w:pPr>
              <w:spacing w:before="156" w:beforeLines="50" w:after="156" w:afterLines="50"/>
              <w:rPr>
                <w:rFonts w:ascii="Times New Roman" w:hAnsi="Times New Roman"/>
                <w:szCs w:val="21"/>
              </w:rPr>
            </w:pPr>
            <w:r>
              <w:rPr>
                <w:rFonts w:ascii="Times New Roman" w:hAnsi="Times New Roman"/>
                <w:szCs w:val="21"/>
              </w:rPr>
              <w:t>□ 2    □ 3</w:t>
            </w:r>
          </w:p>
          <w:p w14:paraId="77E37FE4">
            <w:pPr>
              <w:spacing w:before="156" w:beforeLines="50" w:after="156" w:afterLines="50"/>
              <w:rPr>
                <w:rFonts w:ascii="Times New Roman" w:hAnsi="Times New Roman"/>
                <w:szCs w:val="21"/>
                <w:lang w:val="sq-AL"/>
              </w:rPr>
            </w:pPr>
            <w:r>
              <w:rPr>
                <w:rFonts w:ascii="Times New Roman" w:hAnsi="Times New Roman"/>
                <w:szCs w:val="21"/>
              </w:rPr>
              <w:t xml:space="preserve">□ 4    </w:t>
            </w:r>
          </w:p>
        </w:tc>
        <w:tc>
          <w:tcPr>
            <w:tcW w:w="6681" w:type="dxa"/>
            <w:gridSpan w:val="16"/>
            <w:vAlign w:val="center"/>
          </w:tcPr>
          <w:p w14:paraId="6DAE54EC">
            <w:pPr>
              <w:rPr>
                <w:rFonts w:ascii="Times New Roman" w:hAnsi="Times New Roman"/>
              </w:rPr>
            </w:pPr>
            <w:r>
              <w:rPr>
                <w:rFonts w:ascii="Times New Roman" w:hAnsi="Times New Roman"/>
              </w:rPr>
              <w:t>0 = 无鳞屑证据</w:t>
            </w:r>
          </w:p>
          <w:p w14:paraId="53FCCEC1">
            <w:pPr>
              <w:rPr>
                <w:rFonts w:ascii="Times New Roman" w:hAnsi="Times New Roman"/>
              </w:rPr>
            </w:pPr>
            <w:r>
              <w:rPr>
                <w:rFonts w:ascii="Times New Roman" w:hAnsi="Times New Roman"/>
              </w:rPr>
              <w:t>1 = 最小；偶尔有细小的鳞屑</w:t>
            </w:r>
          </w:p>
          <w:p w14:paraId="2494A70B">
            <w:pPr>
              <w:rPr>
                <w:rFonts w:ascii="Times New Roman" w:hAnsi="Times New Roman"/>
              </w:rPr>
            </w:pPr>
            <w:r>
              <w:rPr>
                <w:rFonts w:ascii="Times New Roman" w:hAnsi="Times New Roman"/>
              </w:rPr>
              <w:t>2 = 轻度；主要是细小的鳞屑</w:t>
            </w:r>
          </w:p>
          <w:p w14:paraId="75D91E2B">
            <w:pPr>
              <w:rPr>
                <w:rFonts w:ascii="Times New Roman" w:hAnsi="Times New Roman"/>
              </w:rPr>
            </w:pPr>
            <w:r>
              <w:rPr>
                <w:rFonts w:ascii="Times New Roman" w:hAnsi="Times New Roman"/>
              </w:rPr>
              <w:t>3 = 中度，主要是大块鳞屑</w:t>
            </w:r>
          </w:p>
          <w:p w14:paraId="25675B46">
            <w:pPr>
              <w:rPr>
                <w:rFonts w:ascii="Times New Roman" w:hAnsi="Times New Roman"/>
              </w:rPr>
            </w:pPr>
            <w:r>
              <w:rPr>
                <w:rFonts w:ascii="Times New Roman" w:hAnsi="Times New Roman"/>
              </w:rPr>
              <w:t>4 = 重度，主要是厚块鳞屑</w:t>
            </w:r>
          </w:p>
        </w:tc>
      </w:tr>
      <w:tr w14:paraId="2FF4F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970" w:hRule="exact"/>
        </w:trPr>
        <w:tc>
          <w:tcPr>
            <w:tcW w:w="9342" w:type="dxa"/>
            <w:gridSpan w:val="20"/>
            <w:vAlign w:val="center"/>
          </w:tcPr>
          <w:p w14:paraId="75E62F61">
            <w:pPr>
              <w:spacing w:before="156" w:beforeLines="50" w:after="156" w:afterLines="50"/>
              <w:rPr>
                <w:rFonts w:ascii="Times New Roman" w:hAnsi="Times New Roman"/>
                <w:szCs w:val="21"/>
              </w:rPr>
            </w:pPr>
            <w:r>
              <w:rPr>
                <w:rFonts w:ascii="Times New Roman" w:hAnsi="Times New Roman"/>
                <w:szCs w:val="21"/>
                <w:lang w:val="sq-AL"/>
              </w:rPr>
              <w:t>总均值：I+E+S=</w:t>
            </w:r>
            <w:r>
              <w:rPr>
                <w:rFonts w:ascii="Times New Roman" w:hAnsi="Times New Roman"/>
                <w:szCs w:val="21"/>
              </w:rPr>
              <w:t>_________/3=_________</w:t>
            </w:r>
          </w:p>
          <w:p w14:paraId="1AB49DF1">
            <w:pPr>
              <w:spacing w:before="156" w:beforeLines="50" w:after="156" w:afterLines="50"/>
              <w:rPr>
                <w:rFonts w:ascii="Times New Roman" w:hAnsi="Times New Roman"/>
                <w:szCs w:val="21"/>
                <w:u w:val="single"/>
              </w:rPr>
            </w:pPr>
            <w:r>
              <w:rPr>
                <w:rFonts w:ascii="Times New Roman" w:hAnsi="Times New Roman"/>
                <w:szCs w:val="21"/>
              </w:rPr>
              <w:t>PGA得分：</w:t>
            </w:r>
            <w:r>
              <w:rPr>
                <w:rFonts w:ascii="Times New Roman" w:hAnsi="Times New Roman"/>
                <w:szCs w:val="21"/>
                <w:u w:val="single"/>
              </w:rPr>
              <w:t xml:space="preserve">        </w:t>
            </w:r>
          </w:p>
          <w:p w14:paraId="1E1BEA37">
            <w:pPr>
              <w:spacing w:before="156" w:beforeLines="50" w:after="156" w:afterLines="50"/>
              <w:rPr>
                <w:rFonts w:ascii="Times New Roman" w:hAnsi="Times New Roman"/>
                <w:szCs w:val="21"/>
                <w:lang w:val="sq-AL"/>
              </w:rPr>
            </w:pPr>
            <w:r>
              <w:rPr>
                <w:rFonts w:ascii="Times New Roman" w:hAnsi="Times New Roman"/>
                <w:szCs w:val="21"/>
                <w:lang w:val="sq-AL"/>
              </w:rPr>
              <w:t>e</w:t>
            </w:r>
          </w:p>
        </w:tc>
      </w:tr>
      <w:tr w14:paraId="7F36A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60" w:hRule="atLeast"/>
        </w:trPr>
        <w:tc>
          <w:tcPr>
            <w:tcW w:w="9342" w:type="dxa"/>
            <w:gridSpan w:val="20"/>
            <w:shd w:val="clear" w:color="auto" w:fill="D7D7D7" w:themeFill="background1" w:themeFillShade="D8"/>
            <w:vAlign w:val="center"/>
          </w:tcPr>
          <w:p w14:paraId="634C3FC0">
            <w:pPr>
              <w:spacing w:line="360" w:lineRule="auto"/>
              <w:rPr>
                <w:rFonts w:ascii="Times New Roman" w:hAnsi="Times New Roman"/>
                <w:b/>
                <w:szCs w:val="21"/>
              </w:rPr>
            </w:pPr>
            <w:r>
              <w:rPr>
                <w:rFonts w:ascii="Times New Roman" w:hAnsi="Times New Roman"/>
                <w:b/>
                <w:szCs w:val="21"/>
              </w:rPr>
              <w:t>皮肤病生活质量指数（DLQI）</w:t>
            </w:r>
          </w:p>
        </w:tc>
      </w:tr>
      <w:tr w14:paraId="3F4C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60" w:hRule="atLeast"/>
        </w:trPr>
        <w:tc>
          <w:tcPr>
            <w:tcW w:w="9342" w:type="dxa"/>
            <w:gridSpan w:val="20"/>
            <w:vAlign w:val="center"/>
          </w:tcPr>
          <w:p w14:paraId="6DDFD71D">
            <w:pPr>
              <w:spacing w:before="156" w:beforeLines="50" w:after="156" w:afterLines="50"/>
              <w:rPr>
                <w:rFonts w:ascii="Times New Roman" w:hAnsi="Times New Roman"/>
                <w:b/>
                <w:szCs w:val="21"/>
              </w:rPr>
            </w:pPr>
            <w:r>
              <w:rPr>
                <w:rFonts w:ascii="Times New Roman" w:hAnsi="Times New Roman"/>
                <w:b/>
                <w:szCs w:val="21"/>
              </w:rPr>
              <w:t>这份问卷的目的是衡量过去一周内您的皮肤问题对您的生活造成了多大影响。</w:t>
            </w:r>
          </w:p>
        </w:tc>
      </w:tr>
      <w:tr w14:paraId="34F3C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7088" w:type="dxa"/>
            <w:gridSpan w:val="12"/>
            <w:vAlign w:val="center"/>
          </w:tcPr>
          <w:p w14:paraId="70D9043C">
            <w:pPr>
              <w:spacing w:before="156" w:beforeLines="50" w:after="156" w:afterLines="50"/>
              <w:rPr>
                <w:rFonts w:ascii="Times New Roman" w:hAnsi="Times New Roman"/>
                <w:b/>
                <w:szCs w:val="21"/>
              </w:rPr>
            </w:pPr>
            <w:r>
              <w:rPr>
                <w:rFonts w:ascii="Times New Roman" w:hAnsi="Times New Roman"/>
                <w:b/>
                <w:szCs w:val="21"/>
              </w:rPr>
              <w:t>下列问题请按照发生程度，在右面的相应选项中划“X”</w:t>
            </w:r>
          </w:p>
        </w:tc>
        <w:tc>
          <w:tcPr>
            <w:tcW w:w="567" w:type="dxa"/>
            <w:vAlign w:val="center"/>
          </w:tcPr>
          <w:p w14:paraId="50846A22">
            <w:pPr>
              <w:spacing w:before="156" w:beforeLines="50" w:after="156" w:afterLines="50"/>
              <w:rPr>
                <w:rFonts w:ascii="Times New Roman" w:hAnsi="Times New Roman"/>
                <w:b/>
                <w:szCs w:val="21"/>
              </w:rPr>
            </w:pPr>
            <w:r>
              <w:rPr>
                <w:rFonts w:ascii="Times New Roman" w:hAnsi="Times New Roman"/>
                <w:b/>
                <w:szCs w:val="21"/>
              </w:rPr>
              <w:t>极严重</w:t>
            </w:r>
          </w:p>
        </w:tc>
        <w:tc>
          <w:tcPr>
            <w:tcW w:w="567" w:type="dxa"/>
            <w:gridSpan w:val="3"/>
            <w:vAlign w:val="center"/>
          </w:tcPr>
          <w:p w14:paraId="02E86968">
            <w:pPr>
              <w:spacing w:before="156" w:beforeLines="50" w:after="156" w:afterLines="50"/>
              <w:rPr>
                <w:rFonts w:ascii="Times New Roman" w:hAnsi="Times New Roman"/>
                <w:b/>
                <w:szCs w:val="21"/>
              </w:rPr>
            </w:pPr>
            <w:r>
              <w:rPr>
                <w:rFonts w:ascii="Times New Roman" w:hAnsi="Times New Roman"/>
                <w:b/>
                <w:szCs w:val="21"/>
              </w:rPr>
              <w:t>严重</w:t>
            </w:r>
          </w:p>
        </w:tc>
        <w:tc>
          <w:tcPr>
            <w:tcW w:w="567" w:type="dxa"/>
            <w:vAlign w:val="center"/>
          </w:tcPr>
          <w:p w14:paraId="29206019">
            <w:pPr>
              <w:spacing w:before="156" w:beforeLines="50" w:after="156" w:afterLines="50"/>
              <w:rPr>
                <w:rFonts w:ascii="Times New Roman" w:hAnsi="Times New Roman"/>
                <w:b/>
                <w:szCs w:val="21"/>
              </w:rPr>
            </w:pPr>
            <w:r>
              <w:rPr>
                <w:rFonts w:ascii="Times New Roman" w:hAnsi="Times New Roman"/>
                <w:b/>
                <w:szCs w:val="21"/>
              </w:rPr>
              <w:t>轻微</w:t>
            </w:r>
          </w:p>
        </w:tc>
        <w:tc>
          <w:tcPr>
            <w:tcW w:w="567" w:type="dxa"/>
            <w:gridSpan w:val="4"/>
            <w:vAlign w:val="center"/>
          </w:tcPr>
          <w:p w14:paraId="5A136418">
            <w:pPr>
              <w:spacing w:before="156" w:beforeLines="50" w:after="156" w:afterLines="50"/>
              <w:rPr>
                <w:rFonts w:ascii="Times New Roman" w:hAnsi="Times New Roman"/>
                <w:b/>
                <w:szCs w:val="21"/>
              </w:rPr>
            </w:pPr>
            <w:r>
              <w:rPr>
                <w:rFonts w:ascii="Times New Roman" w:hAnsi="Times New Roman"/>
                <w:b/>
                <w:szCs w:val="21"/>
              </w:rPr>
              <w:t>无</w:t>
            </w:r>
          </w:p>
        </w:tc>
      </w:tr>
      <w:tr w14:paraId="1D910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067434DE">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1</w:t>
            </w:r>
          </w:p>
        </w:tc>
        <w:tc>
          <w:tcPr>
            <w:tcW w:w="6521" w:type="dxa"/>
            <w:gridSpan w:val="11"/>
            <w:vAlign w:val="center"/>
          </w:tcPr>
          <w:p w14:paraId="331CDC46">
            <w:pPr>
              <w:adjustRightInd w:val="0"/>
              <w:snapToGrid w:val="0"/>
              <w:spacing w:before="156" w:beforeLines="50" w:after="156" w:afterLines="50"/>
              <w:rPr>
                <w:rFonts w:ascii="Times New Roman" w:hAnsi="Times New Roman"/>
                <w:b/>
                <w:szCs w:val="21"/>
              </w:rPr>
            </w:pPr>
            <w:r>
              <w:rPr>
                <w:rFonts w:ascii="Times New Roman" w:hAnsi="Times New Roman"/>
              </w:rPr>
              <w:t>您是否有皮肤“发痒”或“疼痛”的感觉？</w:t>
            </w:r>
          </w:p>
        </w:tc>
        <w:tc>
          <w:tcPr>
            <w:tcW w:w="567" w:type="dxa"/>
          </w:tcPr>
          <w:p w14:paraId="753B4909">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7E6DD5C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56AF28B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18B97382">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11AFA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60DAC1C5">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2</w:t>
            </w:r>
          </w:p>
        </w:tc>
        <w:tc>
          <w:tcPr>
            <w:tcW w:w="6521" w:type="dxa"/>
            <w:gridSpan w:val="11"/>
            <w:vAlign w:val="center"/>
          </w:tcPr>
          <w:p w14:paraId="43489D73">
            <w:pPr>
              <w:adjustRightInd w:val="0"/>
              <w:snapToGrid w:val="0"/>
              <w:spacing w:before="156" w:beforeLines="50" w:after="156" w:afterLines="50"/>
              <w:rPr>
                <w:rFonts w:ascii="Times New Roman" w:hAnsi="Times New Roman"/>
                <w:b/>
                <w:szCs w:val="21"/>
              </w:rPr>
            </w:pPr>
            <w:r>
              <w:rPr>
                <w:rFonts w:ascii="Times New Roman" w:hAnsi="Times New Roman"/>
              </w:rPr>
              <w:t>您是否因为皮肤问题而产生“尴尬”、“沮丧”、“难过”等？</w:t>
            </w:r>
          </w:p>
        </w:tc>
        <w:tc>
          <w:tcPr>
            <w:tcW w:w="567" w:type="dxa"/>
          </w:tcPr>
          <w:p w14:paraId="53CD1A6B">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7E7B6C4F">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5FF7130D">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24A2B968">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09401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1A091C69">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3</w:t>
            </w:r>
          </w:p>
        </w:tc>
        <w:tc>
          <w:tcPr>
            <w:tcW w:w="6521" w:type="dxa"/>
            <w:gridSpan w:val="11"/>
            <w:vAlign w:val="center"/>
          </w:tcPr>
          <w:p w14:paraId="6A93AD3A">
            <w:pPr>
              <w:adjustRightInd w:val="0"/>
              <w:snapToGrid w:val="0"/>
              <w:spacing w:before="156" w:beforeLines="50" w:after="156" w:afterLines="50"/>
              <w:rPr>
                <w:rFonts w:ascii="Times New Roman" w:hAnsi="Times New Roman"/>
                <w:b/>
                <w:szCs w:val="21"/>
              </w:rPr>
            </w:pPr>
            <w:r>
              <w:rPr>
                <w:rFonts w:ascii="Times New Roman" w:hAnsi="Times New Roman"/>
              </w:rPr>
              <w:t>您的皮肤问题是否影响您逛街买东西、打理家务？</w:t>
            </w:r>
          </w:p>
        </w:tc>
        <w:tc>
          <w:tcPr>
            <w:tcW w:w="567" w:type="dxa"/>
          </w:tcPr>
          <w:p w14:paraId="3E69760B">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6EE2540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7BBE1D5A">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4779084C">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4264C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7A9F18D4">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4</w:t>
            </w:r>
          </w:p>
        </w:tc>
        <w:tc>
          <w:tcPr>
            <w:tcW w:w="6521" w:type="dxa"/>
            <w:gridSpan w:val="11"/>
            <w:vAlign w:val="center"/>
          </w:tcPr>
          <w:p w14:paraId="44887979">
            <w:pPr>
              <w:adjustRightInd w:val="0"/>
              <w:snapToGrid w:val="0"/>
              <w:spacing w:before="156" w:beforeLines="50" w:after="156" w:afterLines="50"/>
              <w:rPr>
                <w:rFonts w:ascii="Times New Roman" w:hAnsi="Times New Roman"/>
                <w:b/>
                <w:szCs w:val="21"/>
              </w:rPr>
            </w:pPr>
            <w:r>
              <w:rPr>
                <w:rFonts w:ascii="Times New Roman" w:hAnsi="Times New Roman"/>
              </w:rPr>
              <w:t>您是否因为皮肤不适而选择不同或特殊的衣服、鞋子？</w:t>
            </w:r>
          </w:p>
        </w:tc>
        <w:tc>
          <w:tcPr>
            <w:tcW w:w="567" w:type="dxa"/>
          </w:tcPr>
          <w:p w14:paraId="42A8E58F">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647B672E">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6D322D72">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3906512C">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7EDC3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2F5B3DA4">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5</w:t>
            </w:r>
          </w:p>
        </w:tc>
        <w:tc>
          <w:tcPr>
            <w:tcW w:w="6521" w:type="dxa"/>
            <w:gridSpan w:val="11"/>
            <w:vAlign w:val="center"/>
          </w:tcPr>
          <w:p w14:paraId="5A5888C7">
            <w:pPr>
              <w:adjustRightInd w:val="0"/>
              <w:snapToGrid w:val="0"/>
              <w:spacing w:before="156" w:beforeLines="50" w:after="156" w:afterLines="50"/>
              <w:rPr>
                <w:rFonts w:ascii="Times New Roman" w:hAnsi="Times New Roman"/>
                <w:b/>
                <w:szCs w:val="21"/>
              </w:rPr>
            </w:pPr>
            <w:r>
              <w:rPr>
                <w:rFonts w:ascii="Times New Roman" w:hAnsi="Times New Roman"/>
              </w:rPr>
              <w:t>您的皮肤问题是否影响您的社交、外出活动、或娱乐？</w:t>
            </w:r>
          </w:p>
        </w:tc>
        <w:tc>
          <w:tcPr>
            <w:tcW w:w="567" w:type="dxa"/>
          </w:tcPr>
          <w:p w14:paraId="11843015">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17355DCA">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755BBEC9">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5BB30BE5">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77C78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6189EC74">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6</w:t>
            </w:r>
          </w:p>
        </w:tc>
        <w:tc>
          <w:tcPr>
            <w:tcW w:w="6521" w:type="dxa"/>
            <w:gridSpan w:val="11"/>
            <w:vAlign w:val="center"/>
          </w:tcPr>
          <w:p w14:paraId="03410313">
            <w:pPr>
              <w:adjustRightInd w:val="0"/>
              <w:snapToGrid w:val="0"/>
              <w:spacing w:before="156" w:beforeLines="50" w:after="156" w:afterLines="50"/>
              <w:rPr>
                <w:rFonts w:ascii="Times New Roman" w:hAnsi="Times New Roman"/>
                <w:b/>
                <w:szCs w:val="21"/>
              </w:rPr>
            </w:pPr>
            <w:r>
              <w:rPr>
                <w:rFonts w:ascii="Times New Roman" w:hAnsi="Times New Roman"/>
              </w:rPr>
              <w:t>您是否因为皮肤问题而影响您做体育运动？</w:t>
            </w:r>
          </w:p>
        </w:tc>
        <w:tc>
          <w:tcPr>
            <w:tcW w:w="567" w:type="dxa"/>
          </w:tcPr>
          <w:p w14:paraId="701F96B6">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06E5C7C6">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382DA08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4973BA86">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04BAD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3C9174DE">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7</w:t>
            </w:r>
          </w:p>
        </w:tc>
        <w:tc>
          <w:tcPr>
            <w:tcW w:w="6521" w:type="dxa"/>
            <w:gridSpan w:val="11"/>
            <w:vAlign w:val="center"/>
          </w:tcPr>
          <w:p w14:paraId="333D38E6">
            <w:pPr>
              <w:adjustRightInd w:val="0"/>
              <w:snapToGrid w:val="0"/>
              <w:rPr>
                <w:rFonts w:ascii="Times New Roman" w:hAnsi="Times New Roman"/>
                <w:b/>
                <w:szCs w:val="21"/>
              </w:rPr>
            </w:pPr>
            <w:r>
              <w:rPr>
                <w:rFonts w:ascii="Times New Roman" w:hAnsi="Times New Roman"/>
              </w:rPr>
              <w:t>您的皮肤问题是否影响您的工作或者读书？您的皮肤问题在您工作或读书方面造成的问题有多大？</w:t>
            </w:r>
          </w:p>
        </w:tc>
        <w:tc>
          <w:tcPr>
            <w:tcW w:w="567" w:type="dxa"/>
          </w:tcPr>
          <w:p w14:paraId="4EBC97A3">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3412180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3530161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10CC3285">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23D5F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0F6502AF">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8</w:t>
            </w:r>
          </w:p>
        </w:tc>
        <w:tc>
          <w:tcPr>
            <w:tcW w:w="6521" w:type="dxa"/>
            <w:gridSpan w:val="11"/>
            <w:vAlign w:val="center"/>
          </w:tcPr>
          <w:p w14:paraId="3124BE81">
            <w:pPr>
              <w:adjustRightInd w:val="0"/>
              <w:snapToGrid w:val="0"/>
              <w:spacing w:before="156" w:beforeLines="50" w:after="156" w:afterLines="50"/>
              <w:rPr>
                <w:rFonts w:ascii="Times New Roman" w:hAnsi="Times New Roman"/>
                <w:b/>
                <w:szCs w:val="21"/>
              </w:rPr>
            </w:pPr>
            <w:r>
              <w:rPr>
                <w:rFonts w:ascii="Times New Roman" w:hAnsi="Times New Roman"/>
              </w:rPr>
              <w:t>您的皮肤问题是否影响您和配偶或者好朋友、亲戚之间的关系？</w:t>
            </w:r>
          </w:p>
        </w:tc>
        <w:tc>
          <w:tcPr>
            <w:tcW w:w="567" w:type="dxa"/>
          </w:tcPr>
          <w:p w14:paraId="69AD26EA">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32BAC6DC">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426BB652">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393E3DCF">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6B091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6241D8DC">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9</w:t>
            </w:r>
          </w:p>
        </w:tc>
        <w:tc>
          <w:tcPr>
            <w:tcW w:w="6521" w:type="dxa"/>
            <w:gridSpan w:val="11"/>
            <w:vAlign w:val="center"/>
          </w:tcPr>
          <w:p w14:paraId="13295168">
            <w:pPr>
              <w:adjustRightInd w:val="0"/>
              <w:snapToGrid w:val="0"/>
              <w:spacing w:before="156" w:beforeLines="50" w:after="156" w:afterLines="50"/>
              <w:rPr>
                <w:rFonts w:ascii="Times New Roman" w:hAnsi="Times New Roman"/>
                <w:b/>
                <w:szCs w:val="21"/>
              </w:rPr>
            </w:pPr>
            <w:r>
              <w:rPr>
                <w:rFonts w:ascii="Times New Roman" w:hAnsi="Times New Roman"/>
              </w:rPr>
              <w:t>您是否因为皮肤问题影响性生活？</w:t>
            </w:r>
          </w:p>
        </w:tc>
        <w:tc>
          <w:tcPr>
            <w:tcW w:w="567" w:type="dxa"/>
          </w:tcPr>
          <w:p w14:paraId="3324C252">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243F9ED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37BCF91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67ACCB88">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078E9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567" w:type="dxa"/>
            <w:vAlign w:val="center"/>
          </w:tcPr>
          <w:p w14:paraId="575D3C0B">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10</w:t>
            </w:r>
          </w:p>
        </w:tc>
        <w:tc>
          <w:tcPr>
            <w:tcW w:w="6521" w:type="dxa"/>
            <w:gridSpan w:val="11"/>
            <w:vAlign w:val="center"/>
          </w:tcPr>
          <w:p w14:paraId="2ED54DA3">
            <w:pPr>
              <w:adjustRightInd w:val="0"/>
              <w:snapToGrid w:val="0"/>
              <w:rPr>
                <w:rFonts w:ascii="Times New Roman" w:hAnsi="Times New Roman"/>
                <w:b/>
                <w:szCs w:val="21"/>
              </w:rPr>
            </w:pPr>
            <w:r>
              <w:rPr>
                <w:rFonts w:ascii="Times New Roman" w:hAnsi="Times New Roman"/>
              </w:rPr>
              <w:t>您的皮肤问题是否造成日常生活上的不便？</w:t>
            </w:r>
          </w:p>
        </w:tc>
        <w:tc>
          <w:tcPr>
            <w:tcW w:w="567" w:type="dxa"/>
          </w:tcPr>
          <w:p w14:paraId="48101F4F">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2D8E0346">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3C206BA6">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42CE834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bl>
    <w:p w14:paraId="046553DB">
      <w:pPr>
        <w:rPr>
          <w:rFonts w:hint="eastAsia"/>
        </w:rPr>
      </w:pPr>
      <w:r>
        <w:br w:type="page"/>
      </w:r>
    </w:p>
    <w:p w14:paraId="3E4EA61E">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53" w:name="_Toc226105579"/>
      <w:r>
        <w:rPr>
          <w:rFonts w:hint="eastAsia" w:ascii="Times New Roman" w:hAnsi="Times New Roman" w:eastAsia="黑体" w:cs="Times New Roman"/>
          <w:b w:val="0"/>
          <w:bCs w:val="0"/>
          <w:sz w:val="21"/>
          <w:szCs w:val="22"/>
        </w:rPr>
        <w:t>附 录 C</w:t>
      </w:r>
      <w:bookmarkEnd w:id="53"/>
    </w:p>
    <w:p w14:paraId="6A479128">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54" w:name="_Toc219884918"/>
      <w:bookmarkStart w:id="55" w:name="_Toc224237227"/>
      <w:bookmarkStart w:id="56" w:name="_Toc226105580"/>
      <w:bookmarkStart w:id="57" w:name="_Toc219924832"/>
      <w:r>
        <w:rPr>
          <w:rFonts w:hint="eastAsia" w:ascii="Times New Roman" w:hAnsi="Times New Roman" w:eastAsia="黑体" w:cs="Times New Roman"/>
          <w:b w:val="0"/>
          <w:bCs w:val="0"/>
          <w:sz w:val="21"/>
          <w:szCs w:val="22"/>
        </w:rPr>
        <w:t>（规范性）</w:t>
      </w:r>
      <w:bookmarkEnd w:id="54"/>
      <w:bookmarkEnd w:id="55"/>
      <w:bookmarkEnd w:id="56"/>
      <w:bookmarkEnd w:id="57"/>
    </w:p>
    <w:p w14:paraId="56989794">
      <w:pPr>
        <w:pStyle w:val="4"/>
        <w:adjustRightInd w:val="0"/>
        <w:snapToGrid w:val="0"/>
        <w:spacing w:before="0" w:after="0" w:line="240" w:lineRule="auto"/>
        <w:jc w:val="center"/>
        <w:rPr>
          <w:rFonts w:ascii="Times New Roman" w:hAnsi="Times New Roman" w:eastAsia="黑体" w:cs="Times New Roman"/>
          <w:b w:val="0"/>
          <w:bCs w:val="0"/>
          <w:sz w:val="21"/>
          <w:szCs w:val="22"/>
        </w:rPr>
      </w:pPr>
      <w:bookmarkStart w:id="58" w:name="_Toc219924833"/>
      <w:bookmarkStart w:id="59" w:name="_Toc226105581"/>
      <w:bookmarkStart w:id="60" w:name="_Toc219884919"/>
      <w:bookmarkStart w:id="61" w:name="_Toc224237228"/>
      <w:r>
        <w:rPr>
          <w:rFonts w:hint="eastAsia" w:ascii="Times New Roman" w:hAnsi="Times New Roman" w:eastAsia="黑体" w:cs="Times New Roman"/>
          <w:b w:val="0"/>
          <w:bCs w:val="0"/>
          <w:sz w:val="21"/>
          <w:szCs w:val="22"/>
        </w:rPr>
        <w:t>银屑病光疗患者复诊标准数据采集</w:t>
      </w:r>
      <w:bookmarkEnd w:id="58"/>
      <w:bookmarkEnd w:id="59"/>
      <w:bookmarkEnd w:id="60"/>
      <w:bookmarkEnd w:id="61"/>
    </w:p>
    <w:p w14:paraId="36FBDFC2">
      <w:pPr>
        <w:ind w:firstLine="420" w:firstLineChars="200"/>
        <w:rPr>
          <w:rFonts w:hint="eastAsia"/>
          <w:sz w:val="21"/>
          <w:szCs w:val="21"/>
          <w:lang w:val="en-US" w:eastAsia="zh-CN"/>
        </w:rPr>
      </w:pPr>
      <w:r>
        <w:rPr>
          <w:rFonts w:hint="eastAsia"/>
          <w:sz w:val="21"/>
          <w:szCs w:val="21"/>
          <w:lang w:val="en-US" w:eastAsia="zh-CN"/>
        </w:rPr>
        <w:t>表C.1列出了银屑病光疗患者复诊标准数据采集信息。</w:t>
      </w:r>
    </w:p>
    <w:p w14:paraId="62BB3B3E">
      <w:pPr>
        <w:spacing w:before="157" w:beforeLines="50" w:after="157" w:afterLines="50"/>
        <w:jc w:val="center"/>
        <w:rPr>
          <w:rFonts w:hint="eastAsia" w:ascii="黑体" w:hAnsi="黑体" w:eastAsia="黑体" w:cs="黑体"/>
          <w:sz w:val="21"/>
          <w:szCs w:val="21"/>
          <w:lang w:val="en-US" w:eastAsia="zh-CN"/>
        </w:rPr>
      </w:pPr>
      <w:r>
        <w:rPr>
          <w:rFonts w:hint="eastAsia" w:ascii="黑体" w:hAnsi="黑体" w:eastAsia="黑体" w:cs="黑体"/>
          <w:sz w:val="21"/>
          <w:szCs w:val="21"/>
          <w:lang w:val="en-US" w:eastAsia="zh-CN"/>
        </w:rPr>
        <w:t>表C.1  银屑病光疗患者复诊标准数据采集表</w:t>
      </w:r>
    </w:p>
    <w:tbl>
      <w:tblPr>
        <w:tblStyle w:val="17"/>
        <w:tblW w:w="935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476"/>
        <w:gridCol w:w="642"/>
        <w:gridCol w:w="834"/>
        <w:gridCol w:w="486"/>
        <w:gridCol w:w="420"/>
        <w:gridCol w:w="1117"/>
        <w:gridCol w:w="315"/>
        <w:gridCol w:w="1222"/>
        <w:gridCol w:w="210"/>
        <w:gridCol w:w="657"/>
        <w:gridCol w:w="567"/>
        <w:gridCol w:w="103"/>
        <w:gridCol w:w="105"/>
        <w:gridCol w:w="359"/>
        <w:gridCol w:w="567"/>
        <w:gridCol w:w="502"/>
        <w:gridCol w:w="11"/>
        <w:gridCol w:w="40"/>
        <w:gridCol w:w="14"/>
      </w:tblGrid>
      <w:tr w14:paraId="32172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shd w:val="clear" w:color="auto" w:fill="D8D8D8" w:themeFill="background1" w:themeFillShade="D9"/>
            <w:vAlign w:val="center"/>
          </w:tcPr>
          <w:p w14:paraId="77C3EAE4">
            <w:pPr>
              <w:spacing w:before="156" w:beforeLines="50" w:after="156" w:afterLines="50" w:line="360" w:lineRule="auto"/>
              <w:rPr>
                <w:rFonts w:ascii="Times New Roman" w:hAnsi="Times New Roman"/>
                <w:b/>
                <w:szCs w:val="18"/>
              </w:rPr>
            </w:pPr>
            <w:r>
              <w:rPr>
                <w:rFonts w:hint="eastAsia" w:ascii="Times New Roman" w:hAnsi="Times New Roman"/>
                <w:b/>
                <w:szCs w:val="18"/>
              </w:rPr>
              <w:t xml:space="preserve">药物及治疗记录——患者此次访视是否进行治疗方案转换 </w:t>
            </w:r>
            <w:r>
              <w:rPr>
                <w:rFonts w:ascii="Times New Roman" w:hAnsi="Times New Roman"/>
                <w:szCs w:val="21"/>
              </w:rPr>
              <w:t>□</w:t>
            </w:r>
            <w:r>
              <w:rPr>
                <w:rFonts w:hint="eastAsia" w:ascii="Times New Roman" w:hAnsi="Times New Roman"/>
                <w:szCs w:val="21"/>
              </w:rPr>
              <w:t xml:space="preserve">是  </w:t>
            </w:r>
            <w:r>
              <w:rPr>
                <w:rFonts w:ascii="Times New Roman" w:hAnsi="Times New Roman"/>
                <w:szCs w:val="21"/>
              </w:rPr>
              <w:t>□</w:t>
            </w:r>
            <w:r>
              <w:rPr>
                <w:rFonts w:hint="eastAsia" w:ascii="Times New Roman" w:hAnsi="Times New Roman"/>
                <w:szCs w:val="21"/>
              </w:rPr>
              <w:t>否</w:t>
            </w:r>
          </w:p>
        </w:tc>
      </w:tr>
      <w:tr w14:paraId="09279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vAlign w:val="center"/>
          </w:tcPr>
          <w:p w14:paraId="3E8ED8FF">
            <w:pPr>
              <w:spacing w:before="156" w:beforeLines="50" w:after="156" w:afterLines="50"/>
              <w:rPr>
                <w:rFonts w:ascii="Times New Roman" w:hAnsi="Times New Roman"/>
                <w:szCs w:val="18"/>
                <w:u w:val="single"/>
              </w:rPr>
            </w:pPr>
            <w:r>
              <w:rPr>
                <w:rFonts w:ascii="Times New Roman" w:hAnsi="Times New Roman"/>
                <w:szCs w:val="21"/>
              </w:rPr>
              <w:sym w:font="Wingdings 2" w:char="00A3"/>
            </w:r>
            <w:r>
              <w:rPr>
                <w:rFonts w:ascii="Times New Roman" w:hAnsi="Times New Roman"/>
                <w:szCs w:val="21"/>
              </w:rPr>
              <w:t xml:space="preserve">NB-UVB  </w:t>
            </w:r>
            <w:r>
              <w:rPr>
                <w:rFonts w:ascii="Times New Roman" w:hAnsi="Times New Roman"/>
                <w:szCs w:val="21"/>
              </w:rPr>
              <w:sym w:font="Wingdings 2" w:char="00A3"/>
            </w:r>
            <w:r>
              <w:rPr>
                <w:rFonts w:hint="eastAsia" w:ascii="Times New Roman" w:hAnsi="Times New Roman"/>
                <w:szCs w:val="21"/>
              </w:rPr>
              <w:t xml:space="preserve">308nm准分子激光  </w:t>
            </w:r>
            <w:r>
              <w:rPr>
                <w:rFonts w:ascii="Times New Roman" w:hAnsi="Times New Roman"/>
                <w:szCs w:val="21"/>
              </w:rPr>
              <w:sym w:font="Wingdings 2" w:char="00A3"/>
            </w:r>
            <w:r>
              <w:rPr>
                <w:rFonts w:hint="eastAsia" w:ascii="Times New Roman" w:hAnsi="Times New Roman"/>
                <w:szCs w:val="21"/>
              </w:rPr>
              <w:t xml:space="preserve">UVA1  </w:t>
            </w:r>
            <w:r>
              <w:rPr>
                <w:rFonts w:ascii="Times New Roman" w:hAnsi="Times New Roman"/>
                <w:szCs w:val="21"/>
              </w:rPr>
              <w:sym w:font="Wingdings 2" w:char="00A3"/>
            </w:r>
            <w:r>
              <w:rPr>
                <w:rFonts w:hint="eastAsia" w:ascii="Times New Roman" w:hAnsi="Times New Roman"/>
                <w:szCs w:val="21"/>
              </w:rPr>
              <w:t xml:space="preserve">家庭光疗 </w:t>
            </w:r>
            <w:r>
              <w:rPr>
                <w:rFonts w:ascii="Times New Roman" w:hAnsi="Times New Roman"/>
                <w:szCs w:val="21"/>
              </w:rPr>
              <w:t xml:space="preserve"> 频次：</w:t>
            </w:r>
            <w:r>
              <w:rPr>
                <w:rFonts w:ascii="Times New Roman" w:hAnsi="Times New Roman"/>
                <w:szCs w:val="21"/>
                <w:u w:val="single"/>
              </w:rPr>
              <w:t xml:space="preserve">       </w:t>
            </w:r>
            <w:r>
              <w:rPr>
                <w:rFonts w:ascii="Times New Roman" w:hAnsi="Times New Roman"/>
                <w:szCs w:val="21"/>
              </w:rPr>
              <w:t xml:space="preserve">   次数：</w:t>
            </w:r>
            <w:r>
              <w:rPr>
                <w:rFonts w:hint="eastAsia" w:ascii="Times New Roman" w:hAnsi="Times New Roman"/>
                <w:szCs w:val="21"/>
              </w:rPr>
              <w:t xml:space="preserve">______ </w:t>
            </w:r>
            <w:r>
              <w:rPr>
                <w:rFonts w:ascii="Times New Roman" w:hAnsi="Times New Roman"/>
                <w:szCs w:val="21"/>
              </w:rPr>
              <w:t xml:space="preserve">                      </w:t>
            </w:r>
            <w:r>
              <w:rPr>
                <w:rFonts w:ascii="Times New Roman" w:hAnsi="Times New Roman"/>
                <w:color w:val="000000" w:themeColor="text1"/>
                <w:szCs w:val="21"/>
                <w14:textFill>
                  <w14:solidFill>
                    <w14:schemeClr w14:val="tx1"/>
                  </w14:solidFill>
                </w14:textFill>
              </w:rPr>
              <w:t xml:space="preserve">         </w:t>
            </w:r>
            <w:r>
              <w:rPr>
                <w:rFonts w:ascii="Times New Roman" w:hAnsi="Times New Roman"/>
                <w:szCs w:val="21"/>
                <w:u w:val="single"/>
              </w:rPr>
              <w:t xml:space="preserve">       </w:t>
            </w:r>
          </w:p>
        </w:tc>
      </w:tr>
      <w:tr w14:paraId="2F48E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shd w:val="clear" w:color="auto" w:fill="D8D8D8" w:themeFill="background1" w:themeFillShade="D9"/>
            <w:vAlign w:val="center"/>
          </w:tcPr>
          <w:p w14:paraId="4E690DF2">
            <w:pPr>
              <w:spacing w:before="156" w:beforeLines="50" w:after="156" w:afterLines="50"/>
              <w:rPr>
                <w:rFonts w:ascii="Times New Roman" w:hAnsi="Times New Roman"/>
                <w:b/>
                <w:bCs/>
                <w:szCs w:val="21"/>
              </w:rPr>
            </w:pPr>
            <w:r>
              <w:rPr>
                <w:rFonts w:hint="eastAsia" w:ascii="Times New Roman" w:hAnsi="Times New Roman"/>
                <w:b/>
                <w:bCs/>
                <w:szCs w:val="21"/>
              </w:rPr>
              <w:t>剂量</w:t>
            </w:r>
          </w:p>
        </w:tc>
      </w:tr>
      <w:tr w14:paraId="5484D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vAlign w:val="center"/>
          </w:tcPr>
          <w:p w14:paraId="1A54C56A">
            <w:pPr>
              <w:widowControl w:val="0"/>
              <w:autoSpaceDE w:val="0"/>
              <w:autoSpaceDN w:val="0"/>
              <w:adjustRightInd w:val="0"/>
              <w:rPr>
                <w:rFonts w:hint="eastAsia" w:cs="Segoe UI Symbol"/>
                <w:color w:val="000000"/>
                <w:sz w:val="22"/>
                <w:szCs w:val="22"/>
              </w:rPr>
            </w:pPr>
            <w:r>
              <w:rPr>
                <w:rFonts w:hint="eastAsia" w:cs="Segoe UI Symbol"/>
                <w:color w:val="000000"/>
                <w:sz w:val="22"/>
                <w:szCs w:val="22"/>
                <w:lang w:bidi="ar"/>
              </w:rPr>
              <w:t xml:space="preserve">□ 起始剂量  </w:t>
            </w:r>
            <w:r>
              <w:rPr>
                <w:rFonts w:hint="eastAsia" w:ascii="Times New Roman" w:hAnsi="Times New Roman"/>
                <w:szCs w:val="21"/>
              </w:rPr>
              <w:t xml:space="preserve">______ </w:t>
            </w:r>
          </w:p>
          <w:p w14:paraId="4126367E">
            <w:pPr>
              <w:widowControl w:val="0"/>
              <w:autoSpaceDE w:val="0"/>
              <w:autoSpaceDN w:val="0"/>
              <w:adjustRightInd w:val="0"/>
              <w:rPr>
                <w:rFonts w:hint="eastAsia" w:cs="Segoe UI Symbol"/>
                <w:color w:val="000000"/>
                <w:sz w:val="22"/>
                <w:szCs w:val="22"/>
                <w:u w:val="single"/>
                <w:lang w:bidi="ar"/>
              </w:rPr>
            </w:pPr>
            <w:r>
              <w:rPr>
                <w:rFonts w:hint="eastAsia" w:cs="Segoe UI Symbol"/>
                <w:color w:val="000000"/>
                <w:sz w:val="22"/>
                <w:szCs w:val="22"/>
                <w:lang w:bidi="ar"/>
              </w:rPr>
              <w:t xml:space="preserve">□ 最后剂量  </w:t>
            </w:r>
            <w:r>
              <w:rPr>
                <w:rFonts w:hint="eastAsia" w:ascii="Times New Roman" w:hAnsi="Times New Roman"/>
                <w:szCs w:val="21"/>
              </w:rPr>
              <w:t xml:space="preserve">______ </w:t>
            </w:r>
            <w:r>
              <w:rPr>
                <w:rFonts w:ascii="Times New Roman" w:hAnsi="Times New Roman"/>
                <w:szCs w:val="18"/>
                <w:u w:val="single"/>
              </w:rPr>
              <w:t xml:space="preserve"> </w:t>
            </w:r>
            <w:r>
              <w:rPr>
                <w:rFonts w:hint="eastAsia" w:cs="Segoe UI Symbol"/>
                <w:color w:val="000000"/>
                <w:sz w:val="22"/>
                <w:szCs w:val="22"/>
                <w:u w:val="single"/>
                <w:lang w:bidi="ar"/>
              </w:rPr>
              <w:t xml:space="preserve">  </w:t>
            </w:r>
          </w:p>
          <w:p w14:paraId="72056872">
            <w:pPr>
              <w:spacing w:before="156" w:beforeLines="50" w:after="156" w:afterLines="50"/>
              <w:rPr>
                <w:rFonts w:ascii="Times New Roman" w:hAnsi="Times New Roman"/>
                <w:szCs w:val="21"/>
              </w:rPr>
            </w:pPr>
            <w:r>
              <w:rPr>
                <w:rFonts w:hint="eastAsia" w:cs="Segoe UI Symbol"/>
                <w:color w:val="000000"/>
                <w:sz w:val="22"/>
                <w:szCs w:val="22"/>
                <w:lang w:bidi="ar"/>
              </w:rPr>
              <w:t xml:space="preserve">□ 本次剂量  </w:t>
            </w:r>
            <w:r>
              <w:rPr>
                <w:rFonts w:hint="eastAsia" w:ascii="Times New Roman" w:hAnsi="Times New Roman"/>
                <w:szCs w:val="21"/>
              </w:rPr>
              <w:t xml:space="preserve">______ </w:t>
            </w:r>
            <w:r>
              <w:rPr>
                <w:rFonts w:ascii="Times New Roman" w:hAnsi="Times New Roman"/>
                <w:szCs w:val="18"/>
                <w:u w:val="single"/>
              </w:rPr>
              <w:t xml:space="preserve"> </w:t>
            </w:r>
          </w:p>
        </w:tc>
      </w:tr>
      <w:tr w14:paraId="03B7A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shd w:val="clear" w:color="auto" w:fill="D8D8D8" w:themeFill="background1" w:themeFillShade="D9"/>
            <w:vAlign w:val="center"/>
          </w:tcPr>
          <w:p w14:paraId="06C9B880">
            <w:pPr>
              <w:spacing w:before="156" w:beforeLines="50" w:after="156" w:afterLines="50" w:line="360" w:lineRule="auto"/>
              <w:rPr>
                <w:rFonts w:ascii="Times New Roman" w:hAnsi="Times New Roman"/>
                <w:b/>
                <w:szCs w:val="18"/>
              </w:rPr>
            </w:pPr>
            <w:r>
              <w:rPr>
                <w:rFonts w:ascii="Times New Roman" w:hAnsi="Times New Roman"/>
                <w:b/>
                <w:szCs w:val="18"/>
              </w:rPr>
              <w:t>一般情况</w:t>
            </w:r>
          </w:p>
        </w:tc>
      </w:tr>
      <w:tr w14:paraId="03C5F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vAlign w:val="center"/>
          </w:tcPr>
          <w:p w14:paraId="384735EF">
            <w:pPr>
              <w:spacing w:before="156" w:beforeLines="50" w:after="156" w:afterLines="50" w:line="360" w:lineRule="auto"/>
              <w:rPr>
                <w:rFonts w:ascii="Times New Roman" w:hAnsi="Times New Roman"/>
                <w:szCs w:val="18"/>
                <w:u w:val="single"/>
              </w:rPr>
            </w:pPr>
            <w:r>
              <w:rPr>
                <w:rFonts w:ascii="Times New Roman" w:hAnsi="Times New Roman"/>
                <w:szCs w:val="18"/>
              </w:rPr>
              <w:t>收缩压：</w:t>
            </w:r>
            <w:r>
              <w:rPr>
                <w:rFonts w:ascii="Times New Roman" w:hAnsi="Times New Roman"/>
                <w:szCs w:val="18"/>
                <w:u w:val="single"/>
              </w:rPr>
              <w:t xml:space="preserve">            </w:t>
            </w:r>
            <w:r>
              <w:rPr>
                <w:rFonts w:ascii="Times New Roman" w:hAnsi="Times New Roman"/>
                <w:szCs w:val="18"/>
              </w:rPr>
              <w:t xml:space="preserve">   舒张压：</w:t>
            </w:r>
            <w:r>
              <w:rPr>
                <w:rFonts w:ascii="Times New Roman" w:hAnsi="Times New Roman"/>
                <w:szCs w:val="18"/>
                <w:u w:val="single"/>
              </w:rPr>
              <w:t xml:space="preserve">             </w:t>
            </w:r>
            <w:r>
              <w:rPr>
                <w:rFonts w:ascii="Times New Roman" w:hAnsi="Times New Roman"/>
                <w:szCs w:val="18"/>
              </w:rPr>
              <w:t xml:space="preserve">   心率：</w:t>
            </w:r>
            <w:r>
              <w:rPr>
                <w:rFonts w:hint="eastAsia" w:ascii="Times New Roman" w:hAnsi="Times New Roman"/>
                <w:szCs w:val="21"/>
              </w:rPr>
              <w:t xml:space="preserve">______ </w:t>
            </w:r>
            <w:r>
              <w:rPr>
                <w:rFonts w:ascii="Times New Roman" w:hAnsi="Times New Roman"/>
                <w:szCs w:val="18"/>
                <w:u w:val="single"/>
              </w:rPr>
              <w:t xml:space="preserve">                           </w:t>
            </w:r>
          </w:p>
          <w:p w14:paraId="1EECF6D4">
            <w:pPr>
              <w:spacing w:before="156" w:beforeLines="50" w:after="156" w:afterLines="50" w:line="360" w:lineRule="auto"/>
              <w:rPr>
                <w:rFonts w:ascii="Times New Roman" w:hAnsi="Times New Roman"/>
                <w:szCs w:val="18"/>
                <w:u w:val="single"/>
              </w:rPr>
            </w:pPr>
            <w:r>
              <w:rPr>
                <w:rFonts w:ascii="Times New Roman" w:hAnsi="Times New Roman"/>
                <w:szCs w:val="18"/>
              </w:rPr>
              <w:t>体重：</w:t>
            </w:r>
            <w:r>
              <w:rPr>
                <w:rFonts w:ascii="Times New Roman" w:hAnsi="Times New Roman"/>
                <w:szCs w:val="18"/>
                <w:u w:val="single"/>
              </w:rPr>
              <w:t xml:space="preserve">            </w:t>
            </w:r>
            <w:r>
              <w:rPr>
                <w:rFonts w:ascii="Times New Roman" w:hAnsi="Times New Roman"/>
                <w:szCs w:val="18"/>
              </w:rPr>
              <w:t xml:space="preserve">   腰围：</w:t>
            </w:r>
            <w:r>
              <w:rPr>
                <w:rFonts w:ascii="Times New Roman" w:hAnsi="Times New Roman"/>
                <w:szCs w:val="18"/>
                <w:u w:val="single"/>
              </w:rPr>
              <w:t xml:space="preserve">             </w:t>
            </w:r>
            <w:r>
              <w:rPr>
                <w:rFonts w:ascii="Times New Roman" w:hAnsi="Times New Roman"/>
                <w:szCs w:val="18"/>
              </w:rPr>
              <w:t xml:space="preserve">   臀围：</w:t>
            </w:r>
            <w:r>
              <w:rPr>
                <w:rFonts w:ascii="Times New Roman" w:hAnsi="Times New Roman"/>
                <w:szCs w:val="18"/>
                <w:u w:val="single"/>
              </w:rPr>
              <w:t xml:space="preserve"> </w:t>
            </w:r>
            <w:r>
              <w:rPr>
                <w:rFonts w:hint="eastAsia" w:ascii="Times New Roman" w:hAnsi="Times New Roman"/>
                <w:szCs w:val="21"/>
              </w:rPr>
              <w:t xml:space="preserve">______ </w:t>
            </w:r>
            <w:r>
              <w:rPr>
                <w:rFonts w:ascii="Times New Roman" w:hAnsi="Times New Roman"/>
                <w:szCs w:val="18"/>
                <w:u w:val="single"/>
              </w:rPr>
              <w:t xml:space="preserve">             </w:t>
            </w:r>
          </w:p>
        </w:tc>
      </w:tr>
      <w:tr w14:paraId="29735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shd w:val="clear" w:color="auto" w:fill="D8D8D8" w:themeFill="background1" w:themeFillShade="D9"/>
            <w:vAlign w:val="center"/>
          </w:tcPr>
          <w:p w14:paraId="5CA7B90F">
            <w:pPr>
              <w:spacing w:before="156" w:beforeLines="50" w:after="156" w:afterLines="50" w:line="360" w:lineRule="auto"/>
              <w:rPr>
                <w:rFonts w:ascii="Times New Roman" w:hAnsi="Times New Roman"/>
                <w:szCs w:val="18"/>
              </w:rPr>
            </w:pPr>
            <w:r>
              <w:rPr>
                <w:rFonts w:hint="eastAsia" w:ascii="Times New Roman" w:hAnsi="Times New Roman"/>
                <w:b/>
                <w:szCs w:val="18"/>
              </w:rPr>
              <w:t>不良事件</w:t>
            </w:r>
          </w:p>
        </w:tc>
      </w:tr>
      <w:tr w14:paraId="69032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vAlign w:val="center"/>
          </w:tcPr>
          <w:p w14:paraId="486F7478">
            <w:pPr>
              <w:spacing w:before="156" w:beforeLines="50" w:after="156" w:afterLines="50" w:line="360" w:lineRule="auto"/>
              <w:rPr>
                <w:rFonts w:ascii="Times New Roman" w:hAnsi="Times New Roman"/>
                <w:szCs w:val="21"/>
              </w:rPr>
            </w:pPr>
            <w:r>
              <w:rPr>
                <w:rFonts w:hint="eastAsia" w:ascii="Times New Roman" w:hAnsi="Times New Roman"/>
                <w:szCs w:val="21"/>
              </w:rPr>
              <w:t xml:space="preserve">是否发生过红斑？  □否   □轻度  □中度  □重度   </w:t>
            </w:r>
          </w:p>
          <w:p w14:paraId="76D3EA72">
            <w:pPr>
              <w:spacing w:before="156" w:beforeLines="50" w:after="156" w:afterLines="50" w:line="360" w:lineRule="auto"/>
              <w:rPr>
                <w:rFonts w:ascii="Times New Roman" w:hAnsi="Times New Roman"/>
                <w:szCs w:val="21"/>
              </w:rPr>
            </w:pPr>
            <w:r>
              <w:rPr>
                <w:rFonts w:hint="eastAsia" w:ascii="Times New Roman" w:hAnsi="Times New Roman"/>
                <w:szCs w:val="21"/>
              </w:rPr>
              <w:t>是否发生过瘙痒？  □否   □轻度  □中度  □重度</w:t>
            </w:r>
          </w:p>
          <w:p w14:paraId="3AD602DD">
            <w:pPr>
              <w:spacing w:before="156" w:beforeLines="50" w:after="156" w:afterLines="50" w:line="360" w:lineRule="auto"/>
              <w:rPr>
                <w:rFonts w:ascii="Times New Roman" w:hAnsi="Times New Roman"/>
                <w:szCs w:val="21"/>
              </w:rPr>
            </w:pPr>
            <w:r>
              <w:rPr>
                <w:rFonts w:hint="eastAsia" w:ascii="Times New Roman" w:hAnsi="Times New Roman"/>
                <w:szCs w:val="21"/>
              </w:rPr>
              <w:t>是否发生过疼痛？  □否   □轻度  □中度  □重度</w:t>
            </w:r>
          </w:p>
          <w:p w14:paraId="3F389E0B">
            <w:pPr>
              <w:spacing w:before="156" w:beforeLines="50" w:after="156" w:afterLines="50" w:line="360" w:lineRule="auto"/>
              <w:rPr>
                <w:rFonts w:ascii="Times New Roman" w:hAnsi="Times New Roman"/>
                <w:szCs w:val="21"/>
              </w:rPr>
            </w:pPr>
            <w:r>
              <w:rPr>
                <w:rFonts w:hint="eastAsia" w:ascii="Times New Roman" w:hAnsi="Times New Roman"/>
                <w:szCs w:val="21"/>
              </w:rPr>
              <w:t xml:space="preserve">是否发生水疱？    □否   □是  </w:t>
            </w:r>
          </w:p>
          <w:p w14:paraId="7A13E9F4">
            <w:pPr>
              <w:spacing w:before="156" w:beforeLines="50" w:after="156" w:afterLines="50" w:line="360" w:lineRule="auto"/>
              <w:rPr>
                <w:rFonts w:ascii="Times New Roman" w:hAnsi="Times New Roman"/>
                <w:szCs w:val="21"/>
              </w:rPr>
            </w:pPr>
            <w:r>
              <w:rPr>
                <w:rFonts w:ascii="Times New Roman" w:hAnsi="Times New Roman"/>
                <w:szCs w:val="21"/>
              </w:rPr>
              <w:t>□</w:t>
            </w:r>
            <w:r>
              <w:rPr>
                <w:rFonts w:hint="eastAsia" w:ascii="Times New Roman" w:hAnsi="Times New Roman"/>
                <w:szCs w:val="21"/>
              </w:rPr>
              <w:t>其他：</w:t>
            </w:r>
            <w:r>
              <w:rPr>
                <w:rFonts w:hint="eastAsia" w:ascii="Times New Roman" w:hAnsi="Times New Roman"/>
                <w:szCs w:val="21"/>
                <w:u w:val="single"/>
              </w:rPr>
              <w:t xml:space="preserve">           </w:t>
            </w:r>
            <w:r>
              <w:rPr>
                <w:rFonts w:hint="eastAsia" w:ascii="Times New Roman" w:hAnsi="Times New Roman"/>
                <w:szCs w:val="21"/>
              </w:rPr>
              <w:t xml:space="preserve">   </w:t>
            </w:r>
            <w:r>
              <w:rPr>
                <w:rFonts w:ascii="Times New Roman" w:hAnsi="Times New Roman"/>
                <w:szCs w:val="21"/>
              </w:rPr>
              <w:t>□</w:t>
            </w:r>
            <w:r>
              <w:rPr>
                <w:rFonts w:hint="eastAsia" w:ascii="Times New Roman" w:hAnsi="Times New Roman"/>
                <w:szCs w:val="21"/>
              </w:rPr>
              <w:t>无</w:t>
            </w:r>
          </w:p>
        </w:tc>
      </w:tr>
      <w:tr w14:paraId="70EA0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65" w:type="dxa"/>
        </w:trPr>
        <w:tc>
          <w:tcPr>
            <w:tcW w:w="9291" w:type="dxa"/>
            <w:gridSpan w:val="17"/>
            <w:shd w:val="clear" w:color="auto" w:fill="D8D8D8" w:themeFill="background1" w:themeFillShade="D9"/>
            <w:vAlign w:val="center"/>
          </w:tcPr>
          <w:p w14:paraId="39EDBFF6">
            <w:pPr>
              <w:spacing w:before="156" w:beforeLines="50" w:after="156" w:afterLines="50"/>
              <w:rPr>
                <w:rFonts w:ascii="Times New Roman" w:hAnsi="Times New Roman"/>
                <w:b/>
                <w:szCs w:val="18"/>
              </w:rPr>
            </w:pPr>
            <w:r>
              <w:rPr>
                <w:rFonts w:ascii="Times New Roman" w:hAnsi="Times New Roman"/>
                <w:b/>
                <w:szCs w:val="18"/>
              </w:rPr>
              <w:t>皮损体表面积评分（BSA）</w:t>
            </w:r>
          </w:p>
        </w:tc>
      </w:tr>
      <w:tr w14:paraId="05635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5CA0BB98">
            <w:pPr>
              <w:spacing w:before="156" w:beforeLines="50" w:after="156" w:afterLines="50"/>
              <w:jc w:val="center"/>
              <w:rPr>
                <w:rFonts w:ascii="Times New Roman" w:hAnsi="Times New Roman"/>
                <w:b/>
                <w:bCs/>
                <w:szCs w:val="18"/>
              </w:rPr>
            </w:pPr>
            <w:r>
              <w:rPr>
                <w:rFonts w:ascii="Times New Roman" w:hAnsi="Times New Roman"/>
                <w:b/>
                <w:bCs/>
                <w:szCs w:val="18"/>
              </w:rPr>
              <w:t>部位</w:t>
            </w:r>
          </w:p>
        </w:tc>
        <w:tc>
          <w:tcPr>
            <w:tcW w:w="1537" w:type="dxa"/>
            <w:gridSpan w:val="2"/>
            <w:vAlign w:val="center"/>
          </w:tcPr>
          <w:p w14:paraId="1D499442">
            <w:pPr>
              <w:spacing w:before="156" w:beforeLines="50" w:after="156" w:afterLines="50"/>
              <w:jc w:val="center"/>
              <w:rPr>
                <w:rFonts w:ascii="Times New Roman" w:hAnsi="Times New Roman"/>
                <w:b/>
                <w:bCs/>
                <w:szCs w:val="18"/>
              </w:rPr>
            </w:pPr>
            <w:r>
              <w:rPr>
                <w:rFonts w:ascii="Times New Roman" w:hAnsi="Times New Roman"/>
                <w:b/>
                <w:bCs/>
                <w:szCs w:val="18"/>
              </w:rPr>
              <w:t>头/颈</w:t>
            </w:r>
          </w:p>
        </w:tc>
        <w:tc>
          <w:tcPr>
            <w:tcW w:w="1537" w:type="dxa"/>
            <w:gridSpan w:val="2"/>
            <w:vAlign w:val="center"/>
          </w:tcPr>
          <w:p w14:paraId="2AC959E1">
            <w:pPr>
              <w:spacing w:before="156" w:beforeLines="50" w:after="156" w:afterLines="50"/>
              <w:jc w:val="center"/>
              <w:rPr>
                <w:rFonts w:ascii="Times New Roman" w:hAnsi="Times New Roman"/>
                <w:b/>
                <w:bCs/>
                <w:szCs w:val="18"/>
              </w:rPr>
            </w:pPr>
            <w:r>
              <w:rPr>
                <w:rFonts w:ascii="Times New Roman" w:hAnsi="Times New Roman"/>
                <w:b/>
                <w:bCs/>
                <w:szCs w:val="18"/>
              </w:rPr>
              <w:t>上肢</w:t>
            </w:r>
          </w:p>
        </w:tc>
        <w:tc>
          <w:tcPr>
            <w:tcW w:w="1537" w:type="dxa"/>
            <w:gridSpan w:val="4"/>
            <w:vAlign w:val="center"/>
          </w:tcPr>
          <w:p w14:paraId="0989E588">
            <w:pPr>
              <w:spacing w:before="156" w:beforeLines="50" w:after="156" w:afterLines="50"/>
              <w:jc w:val="center"/>
              <w:rPr>
                <w:rFonts w:ascii="Times New Roman" w:hAnsi="Times New Roman"/>
                <w:b/>
                <w:bCs/>
                <w:szCs w:val="18"/>
              </w:rPr>
            </w:pPr>
            <w:r>
              <w:rPr>
                <w:rFonts w:ascii="Times New Roman" w:hAnsi="Times New Roman"/>
                <w:b/>
                <w:bCs/>
                <w:szCs w:val="18"/>
              </w:rPr>
              <w:t>躯干</w:t>
            </w:r>
          </w:p>
          <w:p w14:paraId="0A374F40">
            <w:pPr>
              <w:spacing w:before="156" w:beforeLines="50" w:after="156" w:afterLines="50"/>
              <w:jc w:val="center"/>
              <w:rPr>
                <w:rFonts w:ascii="Times New Roman" w:hAnsi="Times New Roman"/>
                <w:b/>
                <w:bCs/>
                <w:szCs w:val="18"/>
              </w:rPr>
            </w:pPr>
            <w:r>
              <w:rPr>
                <w:rFonts w:ascii="Times New Roman" w:hAnsi="Times New Roman"/>
                <w:b/>
                <w:bCs/>
                <w:szCs w:val="18"/>
              </w:rPr>
              <w:t>（包括腋窝及会阴）</w:t>
            </w:r>
          </w:p>
        </w:tc>
        <w:tc>
          <w:tcPr>
            <w:tcW w:w="1544" w:type="dxa"/>
            <w:gridSpan w:val="5"/>
            <w:vAlign w:val="center"/>
          </w:tcPr>
          <w:p w14:paraId="06E8109D">
            <w:pPr>
              <w:spacing w:before="156" w:beforeLines="50" w:after="156" w:afterLines="50"/>
              <w:jc w:val="center"/>
              <w:rPr>
                <w:rFonts w:ascii="Times New Roman" w:hAnsi="Times New Roman"/>
                <w:b/>
                <w:bCs/>
                <w:szCs w:val="18"/>
              </w:rPr>
            </w:pPr>
            <w:r>
              <w:rPr>
                <w:rFonts w:ascii="Times New Roman" w:hAnsi="Times New Roman"/>
                <w:b/>
                <w:bCs/>
                <w:szCs w:val="18"/>
              </w:rPr>
              <w:t>下肢</w:t>
            </w:r>
          </w:p>
          <w:p w14:paraId="0FD1F9A8">
            <w:pPr>
              <w:spacing w:before="156" w:beforeLines="50" w:after="156" w:afterLines="50"/>
              <w:jc w:val="center"/>
              <w:rPr>
                <w:rFonts w:ascii="Times New Roman" w:hAnsi="Times New Roman"/>
                <w:b/>
                <w:bCs/>
                <w:szCs w:val="18"/>
              </w:rPr>
            </w:pPr>
            <w:r>
              <w:rPr>
                <w:rFonts w:ascii="Times New Roman" w:hAnsi="Times New Roman"/>
                <w:b/>
                <w:bCs/>
                <w:szCs w:val="18"/>
              </w:rPr>
              <w:t>（包括臀部）</w:t>
            </w:r>
          </w:p>
        </w:tc>
      </w:tr>
      <w:tr w14:paraId="3B227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4E5B7354">
            <w:pPr>
              <w:spacing w:before="156" w:beforeLines="50" w:after="156" w:afterLines="50"/>
              <w:jc w:val="center"/>
              <w:rPr>
                <w:rFonts w:ascii="Times New Roman" w:hAnsi="Times New Roman"/>
                <w:szCs w:val="18"/>
              </w:rPr>
            </w:pPr>
            <w:r>
              <w:rPr>
                <w:rFonts w:ascii="Times New Roman" w:hAnsi="Times New Roman"/>
                <w:szCs w:val="18"/>
              </w:rPr>
              <w:t>占全身体表面积比例</w:t>
            </w:r>
          </w:p>
        </w:tc>
        <w:tc>
          <w:tcPr>
            <w:tcW w:w="1537" w:type="dxa"/>
            <w:gridSpan w:val="2"/>
            <w:vAlign w:val="center"/>
          </w:tcPr>
          <w:p w14:paraId="25644A8A">
            <w:pPr>
              <w:spacing w:before="156" w:beforeLines="50" w:after="156" w:afterLines="50"/>
              <w:jc w:val="center"/>
              <w:rPr>
                <w:rFonts w:ascii="Times New Roman" w:hAnsi="Times New Roman"/>
                <w:szCs w:val="18"/>
              </w:rPr>
            </w:pPr>
            <w:r>
              <w:rPr>
                <w:rFonts w:ascii="Times New Roman" w:hAnsi="Times New Roman"/>
                <w:szCs w:val="18"/>
              </w:rPr>
              <w:t>10%</w:t>
            </w:r>
          </w:p>
        </w:tc>
        <w:tc>
          <w:tcPr>
            <w:tcW w:w="1537" w:type="dxa"/>
            <w:gridSpan w:val="2"/>
            <w:vAlign w:val="center"/>
          </w:tcPr>
          <w:p w14:paraId="138C4EA0">
            <w:pPr>
              <w:spacing w:before="156" w:beforeLines="50" w:after="156" w:afterLines="50"/>
              <w:jc w:val="center"/>
              <w:rPr>
                <w:rFonts w:ascii="Times New Roman" w:hAnsi="Times New Roman"/>
                <w:szCs w:val="18"/>
              </w:rPr>
            </w:pPr>
            <w:r>
              <w:rPr>
                <w:rFonts w:ascii="Times New Roman" w:hAnsi="Times New Roman"/>
                <w:szCs w:val="18"/>
              </w:rPr>
              <w:t>20%</w:t>
            </w:r>
          </w:p>
        </w:tc>
        <w:tc>
          <w:tcPr>
            <w:tcW w:w="1537" w:type="dxa"/>
            <w:gridSpan w:val="4"/>
            <w:vAlign w:val="center"/>
          </w:tcPr>
          <w:p w14:paraId="08B11656">
            <w:pPr>
              <w:spacing w:before="156" w:beforeLines="50" w:after="156" w:afterLines="50"/>
              <w:jc w:val="center"/>
              <w:rPr>
                <w:rFonts w:ascii="Times New Roman" w:hAnsi="Times New Roman"/>
                <w:szCs w:val="18"/>
              </w:rPr>
            </w:pPr>
            <w:r>
              <w:rPr>
                <w:rFonts w:ascii="Times New Roman" w:hAnsi="Times New Roman"/>
                <w:szCs w:val="18"/>
              </w:rPr>
              <w:t>30%</w:t>
            </w:r>
          </w:p>
        </w:tc>
        <w:tc>
          <w:tcPr>
            <w:tcW w:w="1544" w:type="dxa"/>
            <w:gridSpan w:val="5"/>
            <w:vAlign w:val="center"/>
          </w:tcPr>
          <w:p w14:paraId="0CB29C4A">
            <w:pPr>
              <w:spacing w:before="156" w:beforeLines="50" w:after="156" w:afterLines="50"/>
              <w:jc w:val="center"/>
              <w:rPr>
                <w:rFonts w:ascii="Times New Roman" w:hAnsi="Times New Roman"/>
                <w:szCs w:val="18"/>
              </w:rPr>
            </w:pPr>
            <w:r>
              <w:rPr>
                <w:rFonts w:ascii="Times New Roman" w:hAnsi="Times New Roman"/>
                <w:szCs w:val="18"/>
              </w:rPr>
              <w:t>40%</w:t>
            </w:r>
          </w:p>
        </w:tc>
      </w:tr>
      <w:tr w14:paraId="71AA6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34E6F04D">
            <w:pPr>
              <w:spacing w:before="156" w:beforeLines="50" w:after="156" w:afterLines="50"/>
              <w:jc w:val="center"/>
              <w:rPr>
                <w:rFonts w:ascii="Times New Roman" w:hAnsi="Times New Roman"/>
                <w:szCs w:val="18"/>
              </w:rPr>
            </w:pPr>
            <w:r>
              <w:rPr>
                <w:rFonts w:ascii="Times New Roman" w:hAnsi="Times New Roman"/>
                <w:szCs w:val="18"/>
              </w:rPr>
              <w:t>相当于手掌面积数</w:t>
            </w:r>
          </w:p>
        </w:tc>
        <w:tc>
          <w:tcPr>
            <w:tcW w:w="1537" w:type="dxa"/>
            <w:gridSpan w:val="2"/>
            <w:vAlign w:val="center"/>
          </w:tcPr>
          <w:p w14:paraId="1A9D87AD">
            <w:pPr>
              <w:spacing w:before="156" w:beforeLines="50" w:after="156" w:afterLines="50"/>
              <w:jc w:val="center"/>
              <w:rPr>
                <w:rFonts w:ascii="Times New Roman" w:hAnsi="Times New Roman"/>
                <w:szCs w:val="18"/>
              </w:rPr>
            </w:pPr>
            <w:r>
              <w:rPr>
                <w:rFonts w:ascii="Times New Roman" w:hAnsi="Times New Roman"/>
                <w:szCs w:val="18"/>
              </w:rPr>
              <w:t>10个</w:t>
            </w:r>
          </w:p>
        </w:tc>
        <w:tc>
          <w:tcPr>
            <w:tcW w:w="1537" w:type="dxa"/>
            <w:gridSpan w:val="2"/>
            <w:vAlign w:val="center"/>
          </w:tcPr>
          <w:p w14:paraId="286AB930">
            <w:pPr>
              <w:spacing w:before="156" w:beforeLines="50" w:after="156" w:afterLines="50"/>
              <w:jc w:val="center"/>
              <w:rPr>
                <w:rFonts w:ascii="Times New Roman" w:hAnsi="Times New Roman"/>
                <w:szCs w:val="18"/>
              </w:rPr>
            </w:pPr>
            <w:r>
              <w:rPr>
                <w:rFonts w:ascii="Times New Roman" w:hAnsi="Times New Roman"/>
                <w:szCs w:val="18"/>
              </w:rPr>
              <w:t>20个</w:t>
            </w:r>
          </w:p>
        </w:tc>
        <w:tc>
          <w:tcPr>
            <w:tcW w:w="1537" w:type="dxa"/>
            <w:gridSpan w:val="4"/>
            <w:vAlign w:val="center"/>
          </w:tcPr>
          <w:p w14:paraId="214F28E7">
            <w:pPr>
              <w:spacing w:before="156" w:beforeLines="50" w:after="156" w:afterLines="50"/>
              <w:jc w:val="center"/>
              <w:rPr>
                <w:rFonts w:ascii="Times New Roman" w:hAnsi="Times New Roman"/>
                <w:szCs w:val="18"/>
              </w:rPr>
            </w:pPr>
            <w:r>
              <w:rPr>
                <w:rFonts w:ascii="Times New Roman" w:hAnsi="Times New Roman"/>
                <w:szCs w:val="18"/>
              </w:rPr>
              <w:t>30个</w:t>
            </w:r>
          </w:p>
        </w:tc>
        <w:tc>
          <w:tcPr>
            <w:tcW w:w="1544" w:type="dxa"/>
            <w:gridSpan w:val="5"/>
            <w:vAlign w:val="center"/>
          </w:tcPr>
          <w:p w14:paraId="74E0DDD0">
            <w:pPr>
              <w:spacing w:before="156" w:beforeLines="50" w:after="156" w:afterLines="50"/>
              <w:jc w:val="center"/>
              <w:rPr>
                <w:rFonts w:ascii="Times New Roman" w:hAnsi="Times New Roman"/>
                <w:szCs w:val="18"/>
              </w:rPr>
            </w:pPr>
            <w:r>
              <w:rPr>
                <w:rFonts w:ascii="Times New Roman" w:hAnsi="Times New Roman"/>
                <w:szCs w:val="18"/>
              </w:rPr>
              <w:t>40个</w:t>
            </w:r>
          </w:p>
        </w:tc>
      </w:tr>
      <w:tr w14:paraId="7540B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9302" w:type="dxa"/>
            <w:gridSpan w:val="18"/>
            <w:vAlign w:val="center"/>
          </w:tcPr>
          <w:p w14:paraId="307435CD">
            <w:pPr>
              <w:spacing w:before="156" w:beforeLines="50" w:after="156" w:afterLines="50"/>
              <w:rPr>
                <w:rFonts w:ascii="Times New Roman" w:hAnsi="Times New Roman"/>
                <w:szCs w:val="18"/>
              </w:rPr>
            </w:pPr>
            <w:r>
              <w:rPr>
                <w:rFonts w:hint="eastAsia" w:ascii="Times New Roman" w:hAnsi="Times New Roman"/>
                <w:szCs w:val="18"/>
              </w:rPr>
              <w:t>注：受试者</w:t>
            </w:r>
            <w:r>
              <w:rPr>
                <w:rFonts w:ascii="Times New Roman" w:hAnsi="Times New Roman"/>
                <w:szCs w:val="18"/>
              </w:rPr>
              <w:t>1</w:t>
            </w:r>
            <w:r>
              <w:rPr>
                <w:rFonts w:hint="eastAsia" w:ascii="Times New Roman" w:hAnsi="Times New Roman"/>
                <w:szCs w:val="18"/>
              </w:rPr>
              <w:t>个手掌的面积为</w:t>
            </w:r>
            <w:r>
              <w:rPr>
                <w:rFonts w:ascii="Times New Roman" w:hAnsi="Times New Roman"/>
                <w:szCs w:val="18"/>
              </w:rPr>
              <w:t>1%</w:t>
            </w:r>
            <w:r>
              <w:rPr>
                <w:rFonts w:hint="eastAsia" w:ascii="Times New Roman" w:hAnsi="Times New Roman"/>
                <w:szCs w:val="18"/>
              </w:rPr>
              <w:t>，全身</w:t>
            </w:r>
            <w:r>
              <w:rPr>
                <w:rFonts w:ascii="Times New Roman" w:hAnsi="Times New Roman"/>
                <w:szCs w:val="18"/>
              </w:rPr>
              <w:t>BSA=100%</w:t>
            </w:r>
            <w:r>
              <w:rPr>
                <w:rFonts w:hint="eastAsia" w:ascii="Times New Roman" w:hAnsi="Times New Roman"/>
                <w:szCs w:val="18"/>
              </w:rPr>
              <w:t>（</w:t>
            </w:r>
            <w:r>
              <w:rPr>
                <w:rFonts w:ascii="Times New Roman" w:hAnsi="Times New Roman"/>
                <w:szCs w:val="18"/>
              </w:rPr>
              <w:t>100</w:t>
            </w:r>
            <w:r>
              <w:rPr>
                <w:rFonts w:hint="eastAsia" w:ascii="Times New Roman" w:hAnsi="Times New Roman"/>
                <w:szCs w:val="18"/>
              </w:rPr>
              <w:t>个手掌）；当皮损面积较小或者皮损为中空型，不适用手掌法，需结合目测法评估</w:t>
            </w:r>
            <w:r>
              <w:rPr>
                <w:rFonts w:ascii="Times New Roman" w:hAnsi="Times New Roman"/>
                <w:szCs w:val="18"/>
              </w:rPr>
              <w:t>BSA</w:t>
            </w:r>
            <w:r>
              <w:rPr>
                <w:rFonts w:hint="eastAsia" w:ascii="Times New Roman" w:hAnsi="Times New Roman"/>
                <w:szCs w:val="18"/>
              </w:rPr>
              <w:t>。</w:t>
            </w:r>
          </w:p>
        </w:tc>
      </w:tr>
      <w:tr w14:paraId="2AE00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4FD859B0">
            <w:pPr>
              <w:spacing w:before="156" w:beforeLines="50" w:after="156" w:afterLines="50"/>
              <w:jc w:val="center"/>
              <w:rPr>
                <w:rFonts w:ascii="Times New Roman" w:hAnsi="Times New Roman"/>
                <w:b/>
                <w:bCs/>
                <w:szCs w:val="18"/>
              </w:rPr>
            </w:pPr>
            <w:r>
              <w:rPr>
                <w:rFonts w:ascii="Times New Roman" w:hAnsi="Times New Roman"/>
                <w:b/>
                <w:bCs/>
                <w:szCs w:val="18"/>
              </w:rPr>
              <w:t>受累体表面积相当于手掌数</w:t>
            </w:r>
          </w:p>
        </w:tc>
        <w:tc>
          <w:tcPr>
            <w:tcW w:w="1537" w:type="dxa"/>
            <w:gridSpan w:val="2"/>
            <w:vAlign w:val="center"/>
          </w:tcPr>
          <w:p w14:paraId="39F58915">
            <w:pPr>
              <w:spacing w:before="156" w:beforeLines="50" w:after="156" w:afterLines="50"/>
              <w:rPr>
                <w:rFonts w:ascii="Times New Roman" w:hAnsi="Times New Roman"/>
                <w:szCs w:val="18"/>
              </w:rPr>
            </w:pPr>
          </w:p>
        </w:tc>
        <w:tc>
          <w:tcPr>
            <w:tcW w:w="1537" w:type="dxa"/>
            <w:gridSpan w:val="2"/>
            <w:vAlign w:val="center"/>
          </w:tcPr>
          <w:p w14:paraId="1B98C3CC">
            <w:pPr>
              <w:spacing w:before="156" w:beforeLines="50" w:after="156" w:afterLines="50"/>
              <w:rPr>
                <w:rFonts w:ascii="Times New Roman" w:hAnsi="Times New Roman"/>
                <w:szCs w:val="18"/>
              </w:rPr>
            </w:pPr>
          </w:p>
        </w:tc>
        <w:tc>
          <w:tcPr>
            <w:tcW w:w="1537" w:type="dxa"/>
            <w:gridSpan w:val="4"/>
            <w:vAlign w:val="center"/>
          </w:tcPr>
          <w:p w14:paraId="4E9C226E">
            <w:pPr>
              <w:spacing w:before="156" w:beforeLines="50" w:after="156" w:afterLines="50"/>
              <w:rPr>
                <w:rFonts w:ascii="Times New Roman" w:hAnsi="Times New Roman"/>
                <w:szCs w:val="18"/>
              </w:rPr>
            </w:pPr>
          </w:p>
        </w:tc>
        <w:tc>
          <w:tcPr>
            <w:tcW w:w="1544" w:type="dxa"/>
            <w:gridSpan w:val="5"/>
            <w:vAlign w:val="center"/>
          </w:tcPr>
          <w:p w14:paraId="56E1AE13">
            <w:pPr>
              <w:spacing w:before="156" w:beforeLines="50" w:after="156" w:afterLines="50"/>
              <w:rPr>
                <w:rFonts w:ascii="Times New Roman" w:hAnsi="Times New Roman"/>
                <w:szCs w:val="18"/>
              </w:rPr>
            </w:pPr>
          </w:p>
        </w:tc>
      </w:tr>
      <w:tr w14:paraId="5BFCF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3147" w:type="dxa"/>
            <w:gridSpan w:val="5"/>
            <w:vAlign w:val="center"/>
          </w:tcPr>
          <w:p w14:paraId="6E716A58">
            <w:pPr>
              <w:spacing w:before="156" w:beforeLines="50" w:after="156" w:afterLines="50"/>
              <w:jc w:val="center"/>
              <w:rPr>
                <w:rFonts w:ascii="Times New Roman" w:hAnsi="Times New Roman"/>
                <w:b/>
                <w:bCs/>
                <w:szCs w:val="18"/>
              </w:rPr>
            </w:pPr>
            <w:r>
              <w:rPr>
                <w:rFonts w:ascii="Times New Roman" w:hAnsi="Times New Roman"/>
                <w:b/>
                <w:bCs/>
                <w:szCs w:val="18"/>
              </w:rPr>
              <w:t>总体表受累面积（BSA）</w:t>
            </w:r>
          </w:p>
        </w:tc>
        <w:tc>
          <w:tcPr>
            <w:tcW w:w="6155" w:type="dxa"/>
            <w:gridSpan w:val="13"/>
            <w:vAlign w:val="center"/>
          </w:tcPr>
          <w:p w14:paraId="10099DF2">
            <w:pPr>
              <w:spacing w:before="156" w:beforeLines="50" w:after="156" w:afterLines="50"/>
              <w:jc w:val="center"/>
              <w:rPr>
                <w:rFonts w:ascii="Times New Roman" w:hAnsi="Times New Roman"/>
                <w:b/>
                <w:bCs/>
                <w:szCs w:val="18"/>
              </w:rPr>
            </w:pPr>
            <w:r>
              <w:rPr>
                <w:rFonts w:ascii="Times New Roman" w:hAnsi="Times New Roman"/>
                <w:b/>
                <w:bCs/>
                <w:szCs w:val="18"/>
              </w:rPr>
              <w:t xml:space="preserve">     %</w:t>
            </w:r>
          </w:p>
        </w:tc>
      </w:tr>
      <w:tr w14:paraId="179DE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Pr>
        <w:tc>
          <w:tcPr>
            <w:tcW w:w="9302" w:type="dxa"/>
            <w:gridSpan w:val="18"/>
            <w:shd w:val="clear" w:color="auto" w:fill="D8D8D8" w:themeFill="background1" w:themeFillShade="D9"/>
            <w:vAlign w:val="center"/>
          </w:tcPr>
          <w:p w14:paraId="128F1ED1">
            <w:pPr>
              <w:spacing w:before="156" w:beforeLines="50" w:after="156" w:afterLines="50"/>
              <w:rPr>
                <w:rFonts w:ascii="Times New Roman" w:hAnsi="Times New Roman"/>
                <w:b/>
                <w:szCs w:val="18"/>
              </w:rPr>
            </w:pPr>
            <w:r>
              <w:rPr>
                <w:rFonts w:ascii="Times New Roman" w:hAnsi="Times New Roman"/>
                <w:b/>
                <w:szCs w:val="18"/>
              </w:rPr>
              <w:t>银屑病皮损面积和严重程度指数评分（PASI）</w:t>
            </w:r>
          </w:p>
        </w:tc>
      </w:tr>
      <w:tr w14:paraId="0E142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2017A332">
            <w:pPr>
              <w:spacing w:before="156" w:beforeLines="50" w:after="156" w:afterLines="50"/>
              <w:jc w:val="center"/>
              <w:rPr>
                <w:rFonts w:ascii="Times New Roman" w:hAnsi="Times New Roman"/>
                <w:b/>
                <w:bCs/>
                <w:szCs w:val="18"/>
              </w:rPr>
            </w:pPr>
            <w:r>
              <w:rPr>
                <w:rFonts w:ascii="Times New Roman" w:hAnsi="Times New Roman"/>
                <w:b/>
                <w:bCs/>
                <w:szCs w:val="18"/>
              </w:rPr>
              <w:t>皮损面积评价</w:t>
            </w:r>
          </w:p>
        </w:tc>
        <w:tc>
          <w:tcPr>
            <w:tcW w:w="1432" w:type="dxa"/>
            <w:gridSpan w:val="2"/>
            <w:vAlign w:val="center"/>
          </w:tcPr>
          <w:p w14:paraId="45DC7E5E">
            <w:pPr>
              <w:spacing w:before="156" w:beforeLines="50" w:after="156" w:afterLines="50"/>
              <w:jc w:val="center"/>
              <w:rPr>
                <w:rFonts w:ascii="Times New Roman" w:hAnsi="Times New Roman"/>
                <w:b/>
                <w:bCs/>
                <w:szCs w:val="18"/>
              </w:rPr>
            </w:pPr>
            <w:r>
              <w:rPr>
                <w:rFonts w:ascii="Times New Roman" w:hAnsi="Times New Roman"/>
                <w:b/>
                <w:bCs/>
                <w:szCs w:val="18"/>
              </w:rPr>
              <w:t>头/颈</w:t>
            </w:r>
          </w:p>
        </w:tc>
        <w:tc>
          <w:tcPr>
            <w:tcW w:w="1432" w:type="dxa"/>
            <w:gridSpan w:val="2"/>
            <w:vAlign w:val="center"/>
          </w:tcPr>
          <w:p w14:paraId="36E8C7BF">
            <w:pPr>
              <w:spacing w:before="156" w:beforeLines="50" w:after="156" w:afterLines="50"/>
              <w:jc w:val="center"/>
              <w:rPr>
                <w:rFonts w:ascii="Times New Roman" w:hAnsi="Times New Roman"/>
                <w:b/>
                <w:bCs/>
                <w:szCs w:val="18"/>
              </w:rPr>
            </w:pPr>
            <w:r>
              <w:rPr>
                <w:rFonts w:ascii="Times New Roman" w:hAnsi="Times New Roman"/>
                <w:b/>
                <w:bCs/>
                <w:szCs w:val="18"/>
              </w:rPr>
              <w:t>上肢</w:t>
            </w:r>
          </w:p>
        </w:tc>
        <w:tc>
          <w:tcPr>
            <w:tcW w:w="1432" w:type="dxa"/>
            <w:gridSpan w:val="4"/>
            <w:vAlign w:val="center"/>
          </w:tcPr>
          <w:p w14:paraId="1B43BDEF">
            <w:pPr>
              <w:spacing w:before="156" w:beforeLines="50" w:after="156" w:afterLines="50"/>
              <w:jc w:val="center"/>
              <w:rPr>
                <w:rFonts w:ascii="Times New Roman" w:hAnsi="Times New Roman"/>
                <w:b/>
                <w:bCs/>
                <w:szCs w:val="18"/>
              </w:rPr>
            </w:pPr>
            <w:r>
              <w:rPr>
                <w:rFonts w:ascii="Times New Roman" w:hAnsi="Times New Roman"/>
                <w:b/>
                <w:bCs/>
                <w:szCs w:val="18"/>
              </w:rPr>
              <w:t>躯干</w:t>
            </w:r>
          </w:p>
          <w:p w14:paraId="10DA419C">
            <w:pPr>
              <w:spacing w:before="156" w:beforeLines="50" w:after="156" w:afterLines="50"/>
              <w:jc w:val="center"/>
              <w:rPr>
                <w:rFonts w:ascii="Times New Roman" w:hAnsi="Times New Roman"/>
                <w:b/>
                <w:bCs/>
                <w:szCs w:val="18"/>
              </w:rPr>
            </w:pPr>
            <w:r>
              <w:rPr>
                <w:rFonts w:ascii="Times New Roman" w:hAnsi="Times New Roman"/>
                <w:b/>
                <w:bCs/>
                <w:szCs w:val="18"/>
              </w:rPr>
              <w:t>（包括腋窝及会阴）</w:t>
            </w:r>
          </w:p>
        </w:tc>
        <w:tc>
          <w:tcPr>
            <w:tcW w:w="1439" w:type="dxa"/>
            <w:gridSpan w:val="4"/>
            <w:vAlign w:val="center"/>
          </w:tcPr>
          <w:p w14:paraId="2013B199">
            <w:pPr>
              <w:spacing w:before="156" w:beforeLines="50" w:after="156" w:afterLines="50"/>
              <w:jc w:val="center"/>
              <w:rPr>
                <w:rFonts w:ascii="Times New Roman" w:hAnsi="Times New Roman"/>
                <w:b/>
                <w:bCs/>
                <w:szCs w:val="18"/>
              </w:rPr>
            </w:pPr>
            <w:r>
              <w:rPr>
                <w:rFonts w:ascii="Times New Roman" w:hAnsi="Times New Roman"/>
                <w:b/>
                <w:bCs/>
                <w:szCs w:val="18"/>
              </w:rPr>
              <w:t>下肢</w:t>
            </w:r>
          </w:p>
          <w:p w14:paraId="2E910FB4">
            <w:pPr>
              <w:spacing w:before="156" w:beforeLines="50" w:after="156" w:afterLines="50"/>
              <w:jc w:val="center"/>
              <w:rPr>
                <w:rFonts w:ascii="Times New Roman" w:hAnsi="Times New Roman"/>
                <w:b/>
                <w:bCs/>
                <w:szCs w:val="18"/>
              </w:rPr>
            </w:pPr>
            <w:r>
              <w:rPr>
                <w:rFonts w:ascii="Times New Roman" w:hAnsi="Times New Roman"/>
                <w:b/>
                <w:bCs/>
                <w:szCs w:val="18"/>
              </w:rPr>
              <w:t>（包括臀部）</w:t>
            </w:r>
          </w:p>
        </w:tc>
      </w:tr>
      <w:tr w14:paraId="7A48A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3711428F">
            <w:pPr>
              <w:spacing w:before="156" w:beforeLines="50" w:after="156" w:afterLines="50"/>
              <w:jc w:val="center"/>
              <w:rPr>
                <w:rFonts w:ascii="Times New Roman" w:hAnsi="Times New Roman"/>
                <w:szCs w:val="18"/>
              </w:rPr>
            </w:pPr>
            <w:r>
              <w:rPr>
                <w:rFonts w:ascii="Times New Roman" w:hAnsi="Times New Roman"/>
                <w:b/>
                <w:bCs/>
                <w:szCs w:val="18"/>
              </w:rPr>
              <w:t>受累部分占此部位体表面积百分比</w:t>
            </w:r>
          </w:p>
        </w:tc>
        <w:tc>
          <w:tcPr>
            <w:tcW w:w="1432" w:type="dxa"/>
            <w:gridSpan w:val="2"/>
            <w:vAlign w:val="center"/>
          </w:tcPr>
          <w:p w14:paraId="2C3344F0">
            <w:pPr>
              <w:spacing w:before="156" w:beforeLines="50" w:after="156" w:afterLines="50"/>
              <w:rPr>
                <w:rFonts w:ascii="Times New Roman" w:hAnsi="Times New Roman"/>
                <w:szCs w:val="18"/>
              </w:rPr>
            </w:pPr>
          </w:p>
        </w:tc>
        <w:tc>
          <w:tcPr>
            <w:tcW w:w="1432" w:type="dxa"/>
            <w:gridSpan w:val="2"/>
            <w:vAlign w:val="center"/>
          </w:tcPr>
          <w:p w14:paraId="45E86E9F">
            <w:pPr>
              <w:spacing w:before="156" w:beforeLines="50" w:after="156" w:afterLines="50"/>
              <w:rPr>
                <w:rFonts w:ascii="Times New Roman" w:hAnsi="Times New Roman"/>
                <w:szCs w:val="18"/>
              </w:rPr>
            </w:pPr>
          </w:p>
        </w:tc>
        <w:tc>
          <w:tcPr>
            <w:tcW w:w="1432" w:type="dxa"/>
            <w:gridSpan w:val="4"/>
            <w:vAlign w:val="center"/>
          </w:tcPr>
          <w:p w14:paraId="00E8B5E3">
            <w:pPr>
              <w:spacing w:before="156" w:beforeLines="50" w:after="156" w:afterLines="50"/>
              <w:rPr>
                <w:rFonts w:ascii="Times New Roman" w:hAnsi="Times New Roman"/>
                <w:szCs w:val="18"/>
              </w:rPr>
            </w:pPr>
          </w:p>
        </w:tc>
        <w:tc>
          <w:tcPr>
            <w:tcW w:w="1439" w:type="dxa"/>
            <w:gridSpan w:val="4"/>
            <w:vAlign w:val="center"/>
          </w:tcPr>
          <w:p w14:paraId="7A967D0F">
            <w:pPr>
              <w:spacing w:before="156" w:beforeLines="50" w:after="156" w:afterLines="50"/>
              <w:rPr>
                <w:rFonts w:ascii="Times New Roman" w:hAnsi="Times New Roman"/>
                <w:szCs w:val="18"/>
              </w:rPr>
            </w:pPr>
          </w:p>
        </w:tc>
      </w:tr>
      <w:tr w14:paraId="37988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4F333AB2">
            <w:pPr>
              <w:spacing w:before="156" w:beforeLines="50" w:after="156" w:afterLines="50"/>
              <w:jc w:val="center"/>
              <w:rPr>
                <w:rFonts w:ascii="Times New Roman" w:hAnsi="Times New Roman"/>
                <w:szCs w:val="18"/>
              </w:rPr>
            </w:pPr>
            <w:r>
              <w:rPr>
                <w:rFonts w:ascii="Times New Roman" w:hAnsi="Times New Roman"/>
                <w:b/>
                <w:bCs/>
                <w:szCs w:val="18"/>
              </w:rPr>
              <w:t>皮损面积评分（A）</w:t>
            </w:r>
          </w:p>
        </w:tc>
        <w:tc>
          <w:tcPr>
            <w:tcW w:w="1740" w:type="dxa"/>
            <w:gridSpan w:val="3"/>
            <w:vAlign w:val="center"/>
          </w:tcPr>
          <w:p w14:paraId="7B5FA77C">
            <w:pPr>
              <w:rPr>
                <w:rFonts w:ascii="Times New Roman" w:hAnsi="Times New Roman"/>
                <w:szCs w:val="18"/>
              </w:rPr>
            </w:pPr>
            <w:r>
              <w:rPr>
                <w:rFonts w:ascii="Times New Roman" w:hAnsi="Times New Roman"/>
                <w:szCs w:val="18"/>
              </w:rPr>
              <w:t>0分：0%</w:t>
            </w:r>
          </w:p>
          <w:p w14:paraId="1FA944AC">
            <w:pPr>
              <w:rPr>
                <w:rFonts w:ascii="Times New Roman" w:hAnsi="Times New Roman"/>
                <w:szCs w:val="18"/>
              </w:rPr>
            </w:pPr>
            <w:r>
              <w:rPr>
                <w:rFonts w:ascii="Times New Roman" w:hAnsi="Times New Roman"/>
                <w:szCs w:val="18"/>
              </w:rPr>
              <w:t>1分：＜10%</w:t>
            </w:r>
          </w:p>
          <w:p w14:paraId="3BBC4171">
            <w:pPr>
              <w:rPr>
                <w:rFonts w:ascii="Times New Roman" w:hAnsi="Times New Roman"/>
                <w:szCs w:val="18"/>
              </w:rPr>
            </w:pPr>
            <w:r>
              <w:rPr>
                <w:rFonts w:ascii="Times New Roman" w:hAnsi="Times New Roman"/>
                <w:szCs w:val="18"/>
              </w:rPr>
              <w:t>2分：10-29%</w:t>
            </w:r>
          </w:p>
          <w:p w14:paraId="4027666A">
            <w:pPr>
              <w:rPr>
                <w:rFonts w:ascii="Times New Roman" w:hAnsi="Times New Roman"/>
                <w:szCs w:val="18"/>
              </w:rPr>
            </w:pPr>
            <w:r>
              <w:rPr>
                <w:rFonts w:ascii="Times New Roman" w:hAnsi="Times New Roman"/>
                <w:szCs w:val="18"/>
              </w:rPr>
              <w:t>3分：30-49%</w:t>
            </w:r>
          </w:p>
          <w:p w14:paraId="4290CC98">
            <w:pPr>
              <w:rPr>
                <w:rFonts w:ascii="Times New Roman" w:hAnsi="Times New Roman"/>
                <w:szCs w:val="18"/>
              </w:rPr>
            </w:pPr>
            <w:r>
              <w:rPr>
                <w:rFonts w:ascii="Times New Roman" w:hAnsi="Times New Roman"/>
                <w:szCs w:val="18"/>
              </w:rPr>
              <w:t>4分：50-69%</w:t>
            </w:r>
          </w:p>
          <w:p w14:paraId="4805C620">
            <w:pPr>
              <w:rPr>
                <w:rFonts w:ascii="Times New Roman" w:hAnsi="Times New Roman"/>
                <w:szCs w:val="18"/>
              </w:rPr>
            </w:pPr>
            <w:r>
              <w:rPr>
                <w:rFonts w:ascii="Times New Roman" w:hAnsi="Times New Roman"/>
                <w:szCs w:val="18"/>
              </w:rPr>
              <w:t>5分：70-89%</w:t>
            </w:r>
          </w:p>
          <w:p w14:paraId="208E8A7A">
            <w:pPr>
              <w:rPr>
                <w:rFonts w:ascii="Times New Roman" w:hAnsi="Times New Roman"/>
                <w:szCs w:val="18"/>
              </w:rPr>
            </w:pPr>
            <w:r>
              <w:rPr>
                <w:rFonts w:ascii="Times New Roman" w:hAnsi="Times New Roman"/>
                <w:szCs w:val="18"/>
              </w:rPr>
              <w:t>6分：90-100%</w:t>
            </w:r>
          </w:p>
        </w:tc>
        <w:tc>
          <w:tcPr>
            <w:tcW w:w="1432" w:type="dxa"/>
            <w:gridSpan w:val="2"/>
            <w:vAlign w:val="center"/>
          </w:tcPr>
          <w:p w14:paraId="17631D6D">
            <w:pPr>
              <w:spacing w:before="156" w:beforeLines="50" w:after="156" w:afterLines="50"/>
              <w:rPr>
                <w:rFonts w:ascii="Times New Roman" w:hAnsi="Times New Roman"/>
                <w:szCs w:val="18"/>
              </w:rPr>
            </w:pPr>
          </w:p>
        </w:tc>
        <w:tc>
          <w:tcPr>
            <w:tcW w:w="1432" w:type="dxa"/>
            <w:gridSpan w:val="2"/>
            <w:vAlign w:val="center"/>
          </w:tcPr>
          <w:p w14:paraId="506C8D6D">
            <w:pPr>
              <w:spacing w:before="156" w:beforeLines="50" w:after="156" w:afterLines="50"/>
              <w:rPr>
                <w:rFonts w:ascii="Times New Roman" w:hAnsi="Times New Roman"/>
                <w:szCs w:val="18"/>
              </w:rPr>
            </w:pPr>
          </w:p>
        </w:tc>
        <w:tc>
          <w:tcPr>
            <w:tcW w:w="1432" w:type="dxa"/>
            <w:gridSpan w:val="4"/>
            <w:vAlign w:val="center"/>
          </w:tcPr>
          <w:p w14:paraId="6F7A7C97">
            <w:pPr>
              <w:spacing w:before="156" w:beforeLines="50" w:after="156" w:afterLines="50"/>
              <w:rPr>
                <w:rFonts w:ascii="Times New Roman" w:hAnsi="Times New Roman"/>
                <w:szCs w:val="18"/>
              </w:rPr>
            </w:pPr>
          </w:p>
        </w:tc>
        <w:tc>
          <w:tcPr>
            <w:tcW w:w="1439" w:type="dxa"/>
            <w:gridSpan w:val="4"/>
            <w:vAlign w:val="center"/>
          </w:tcPr>
          <w:p w14:paraId="490A9F92">
            <w:pPr>
              <w:spacing w:before="156" w:beforeLines="50" w:after="156" w:afterLines="50"/>
              <w:rPr>
                <w:rFonts w:ascii="Times New Roman" w:hAnsi="Times New Roman"/>
                <w:szCs w:val="18"/>
              </w:rPr>
            </w:pPr>
          </w:p>
        </w:tc>
      </w:tr>
      <w:tr w14:paraId="49137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70ABEC33">
            <w:pPr>
              <w:spacing w:before="156" w:beforeLines="50" w:after="156" w:afterLines="50"/>
              <w:jc w:val="center"/>
              <w:rPr>
                <w:rFonts w:ascii="Times New Roman" w:hAnsi="Times New Roman"/>
                <w:szCs w:val="18"/>
              </w:rPr>
            </w:pPr>
            <w:r>
              <w:rPr>
                <w:rFonts w:ascii="Times New Roman" w:hAnsi="Times New Roman"/>
                <w:b/>
                <w:bCs/>
                <w:szCs w:val="18"/>
              </w:rPr>
              <w:t>体表面积占全身比例（B）</w:t>
            </w:r>
          </w:p>
        </w:tc>
        <w:tc>
          <w:tcPr>
            <w:tcW w:w="1432" w:type="dxa"/>
            <w:gridSpan w:val="2"/>
            <w:vAlign w:val="center"/>
          </w:tcPr>
          <w:p w14:paraId="0E915A4A">
            <w:pPr>
              <w:spacing w:before="156" w:beforeLines="50" w:after="156" w:afterLines="50"/>
              <w:jc w:val="center"/>
              <w:rPr>
                <w:rFonts w:ascii="Times New Roman" w:hAnsi="Times New Roman"/>
                <w:szCs w:val="18"/>
              </w:rPr>
            </w:pPr>
            <w:r>
              <w:rPr>
                <w:rFonts w:ascii="Times New Roman" w:hAnsi="Times New Roman"/>
                <w:szCs w:val="18"/>
              </w:rPr>
              <w:t>10%</w:t>
            </w:r>
          </w:p>
        </w:tc>
        <w:tc>
          <w:tcPr>
            <w:tcW w:w="1432" w:type="dxa"/>
            <w:gridSpan w:val="2"/>
            <w:vAlign w:val="center"/>
          </w:tcPr>
          <w:p w14:paraId="794182CD">
            <w:pPr>
              <w:spacing w:before="156" w:beforeLines="50" w:after="156" w:afterLines="50"/>
              <w:jc w:val="center"/>
              <w:rPr>
                <w:rFonts w:ascii="Times New Roman" w:hAnsi="Times New Roman"/>
                <w:szCs w:val="18"/>
              </w:rPr>
            </w:pPr>
            <w:r>
              <w:rPr>
                <w:rFonts w:ascii="Times New Roman" w:hAnsi="Times New Roman"/>
                <w:szCs w:val="18"/>
              </w:rPr>
              <w:t>20%</w:t>
            </w:r>
          </w:p>
        </w:tc>
        <w:tc>
          <w:tcPr>
            <w:tcW w:w="1432" w:type="dxa"/>
            <w:gridSpan w:val="4"/>
            <w:vAlign w:val="center"/>
          </w:tcPr>
          <w:p w14:paraId="6143DBF8">
            <w:pPr>
              <w:spacing w:before="156" w:beforeLines="50" w:after="156" w:afterLines="50"/>
              <w:jc w:val="center"/>
              <w:rPr>
                <w:rFonts w:ascii="Times New Roman" w:hAnsi="Times New Roman"/>
                <w:szCs w:val="18"/>
              </w:rPr>
            </w:pPr>
            <w:r>
              <w:rPr>
                <w:rFonts w:ascii="Times New Roman" w:hAnsi="Times New Roman"/>
                <w:szCs w:val="18"/>
              </w:rPr>
              <w:t>30%</w:t>
            </w:r>
          </w:p>
        </w:tc>
        <w:tc>
          <w:tcPr>
            <w:tcW w:w="1439" w:type="dxa"/>
            <w:gridSpan w:val="4"/>
            <w:vAlign w:val="center"/>
          </w:tcPr>
          <w:p w14:paraId="035AAFB6">
            <w:pPr>
              <w:spacing w:before="156" w:beforeLines="50" w:after="156" w:afterLines="50"/>
              <w:jc w:val="center"/>
              <w:rPr>
                <w:rFonts w:ascii="Times New Roman" w:hAnsi="Times New Roman"/>
                <w:szCs w:val="18"/>
              </w:rPr>
            </w:pPr>
            <w:r>
              <w:rPr>
                <w:rFonts w:ascii="Times New Roman" w:hAnsi="Times New Roman"/>
                <w:szCs w:val="18"/>
              </w:rPr>
              <w:t>40%</w:t>
            </w:r>
          </w:p>
        </w:tc>
      </w:tr>
      <w:tr w14:paraId="6B5EE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0B5C338B">
            <w:pPr>
              <w:spacing w:before="156" w:beforeLines="50" w:after="156" w:afterLines="50"/>
              <w:jc w:val="center"/>
              <w:rPr>
                <w:rFonts w:ascii="Times New Roman" w:hAnsi="Times New Roman"/>
                <w:szCs w:val="18"/>
              </w:rPr>
            </w:pPr>
            <w:r>
              <w:rPr>
                <w:rFonts w:ascii="Times New Roman" w:hAnsi="Times New Roman"/>
                <w:b/>
                <w:bCs/>
                <w:szCs w:val="18"/>
              </w:rPr>
              <w:t>斑块特征</w:t>
            </w:r>
          </w:p>
        </w:tc>
        <w:tc>
          <w:tcPr>
            <w:tcW w:w="1740" w:type="dxa"/>
            <w:gridSpan w:val="3"/>
            <w:vAlign w:val="center"/>
          </w:tcPr>
          <w:p w14:paraId="6B322021">
            <w:pPr>
              <w:spacing w:before="156" w:beforeLines="50" w:after="156" w:afterLines="50"/>
              <w:jc w:val="center"/>
              <w:rPr>
                <w:rFonts w:ascii="Times New Roman" w:hAnsi="Times New Roman"/>
                <w:szCs w:val="18"/>
              </w:rPr>
            </w:pPr>
            <w:r>
              <w:rPr>
                <w:rFonts w:ascii="Times New Roman" w:hAnsi="Times New Roman"/>
                <w:b/>
                <w:bCs/>
                <w:szCs w:val="18"/>
              </w:rPr>
              <w:t>严重程度评分</w:t>
            </w:r>
          </w:p>
        </w:tc>
        <w:tc>
          <w:tcPr>
            <w:tcW w:w="1432" w:type="dxa"/>
            <w:gridSpan w:val="2"/>
            <w:vAlign w:val="center"/>
          </w:tcPr>
          <w:p w14:paraId="7D077A83">
            <w:pPr>
              <w:spacing w:before="156" w:beforeLines="50" w:after="156" w:afterLines="50"/>
              <w:jc w:val="center"/>
              <w:rPr>
                <w:rFonts w:ascii="Times New Roman" w:hAnsi="Times New Roman"/>
                <w:szCs w:val="18"/>
              </w:rPr>
            </w:pPr>
            <w:r>
              <w:rPr>
                <w:rFonts w:ascii="Times New Roman" w:hAnsi="Times New Roman"/>
                <w:b/>
                <w:bCs/>
                <w:szCs w:val="18"/>
              </w:rPr>
              <w:t>头/颈</w:t>
            </w:r>
          </w:p>
        </w:tc>
        <w:tc>
          <w:tcPr>
            <w:tcW w:w="1432" w:type="dxa"/>
            <w:gridSpan w:val="2"/>
            <w:vAlign w:val="center"/>
          </w:tcPr>
          <w:p w14:paraId="22F3DC6B">
            <w:pPr>
              <w:spacing w:before="156" w:beforeLines="50" w:after="156" w:afterLines="50"/>
              <w:jc w:val="center"/>
              <w:rPr>
                <w:rFonts w:ascii="Times New Roman" w:hAnsi="Times New Roman"/>
                <w:szCs w:val="18"/>
              </w:rPr>
            </w:pPr>
            <w:r>
              <w:rPr>
                <w:rFonts w:ascii="Times New Roman" w:hAnsi="Times New Roman"/>
                <w:b/>
                <w:bCs/>
                <w:szCs w:val="18"/>
              </w:rPr>
              <w:t>上肢</w:t>
            </w:r>
          </w:p>
        </w:tc>
        <w:tc>
          <w:tcPr>
            <w:tcW w:w="1432" w:type="dxa"/>
            <w:gridSpan w:val="4"/>
            <w:vAlign w:val="center"/>
          </w:tcPr>
          <w:p w14:paraId="005BACD9">
            <w:pPr>
              <w:spacing w:before="156" w:beforeLines="50" w:after="156" w:afterLines="50"/>
              <w:jc w:val="center"/>
              <w:rPr>
                <w:rFonts w:ascii="Times New Roman" w:hAnsi="Times New Roman"/>
                <w:b/>
                <w:bCs/>
                <w:szCs w:val="18"/>
              </w:rPr>
            </w:pPr>
            <w:r>
              <w:rPr>
                <w:rFonts w:ascii="Times New Roman" w:hAnsi="Times New Roman"/>
                <w:b/>
                <w:bCs/>
                <w:szCs w:val="18"/>
              </w:rPr>
              <w:t>躯干</w:t>
            </w:r>
          </w:p>
          <w:p w14:paraId="5802A83E">
            <w:pPr>
              <w:spacing w:before="156" w:beforeLines="50" w:after="156" w:afterLines="50"/>
              <w:jc w:val="center"/>
              <w:rPr>
                <w:rFonts w:ascii="Times New Roman" w:hAnsi="Times New Roman"/>
                <w:szCs w:val="18"/>
              </w:rPr>
            </w:pPr>
            <w:r>
              <w:rPr>
                <w:rFonts w:ascii="Times New Roman" w:hAnsi="Times New Roman"/>
                <w:b/>
                <w:bCs/>
                <w:szCs w:val="18"/>
              </w:rPr>
              <w:t>（包括腋窝及会阴）</w:t>
            </w:r>
          </w:p>
        </w:tc>
        <w:tc>
          <w:tcPr>
            <w:tcW w:w="1439" w:type="dxa"/>
            <w:gridSpan w:val="4"/>
            <w:vAlign w:val="center"/>
          </w:tcPr>
          <w:p w14:paraId="78FD4131">
            <w:pPr>
              <w:spacing w:before="156" w:beforeLines="50" w:after="156" w:afterLines="50"/>
              <w:jc w:val="center"/>
              <w:rPr>
                <w:rFonts w:ascii="Times New Roman" w:hAnsi="Times New Roman"/>
                <w:b/>
                <w:bCs/>
                <w:szCs w:val="18"/>
              </w:rPr>
            </w:pPr>
            <w:r>
              <w:rPr>
                <w:rFonts w:ascii="Times New Roman" w:hAnsi="Times New Roman"/>
                <w:b/>
                <w:bCs/>
                <w:szCs w:val="18"/>
              </w:rPr>
              <w:t>下肢</w:t>
            </w:r>
          </w:p>
          <w:p w14:paraId="26BAE7E4">
            <w:pPr>
              <w:spacing w:before="156" w:beforeLines="50" w:after="156" w:afterLines="50"/>
              <w:jc w:val="center"/>
              <w:rPr>
                <w:rFonts w:ascii="Times New Roman" w:hAnsi="Times New Roman"/>
                <w:szCs w:val="18"/>
              </w:rPr>
            </w:pPr>
            <w:r>
              <w:rPr>
                <w:rFonts w:ascii="Times New Roman" w:hAnsi="Times New Roman"/>
                <w:b/>
                <w:bCs/>
                <w:szCs w:val="18"/>
              </w:rPr>
              <w:t>（包括臀部）</w:t>
            </w:r>
          </w:p>
        </w:tc>
      </w:tr>
      <w:tr w14:paraId="2FA01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341D44CB">
            <w:pPr>
              <w:spacing w:before="156" w:beforeLines="50" w:after="156" w:afterLines="50"/>
              <w:jc w:val="center"/>
              <w:rPr>
                <w:rFonts w:ascii="Times New Roman" w:hAnsi="Times New Roman"/>
                <w:szCs w:val="18"/>
              </w:rPr>
            </w:pPr>
            <w:r>
              <w:rPr>
                <w:rFonts w:ascii="Times New Roman" w:hAnsi="Times New Roman"/>
                <w:szCs w:val="18"/>
              </w:rPr>
              <w:t>红斑</w:t>
            </w:r>
          </w:p>
        </w:tc>
        <w:tc>
          <w:tcPr>
            <w:tcW w:w="1740" w:type="dxa"/>
            <w:gridSpan w:val="3"/>
            <w:vMerge w:val="restart"/>
            <w:vAlign w:val="center"/>
          </w:tcPr>
          <w:p w14:paraId="61E4F949">
            <w:pPr>
              <w:rPr>
                <w:rFonts w:ascii="Times New Roman" w:hAnsi="Times New Roman"/>
                <w:szCs w:val="18"/>
              </w:rPr>
            </w:pPr>
            <w:r>
              <w:rPr>
                <w:rFonts w:ascii="Times New Roman" w:hAnsi="Times New Roman"/>
                <w:szCs w:val="18"/>
              </w:rPr>
              <w:t>0分：无症状</w:t>
            </w:r>
          </w:p>
          <w:p w14:paraId="283C41AF">
            <w:pPr>
              <w:rPr>
                <w:rFonts w:ascii="Times New Roman" w:hAnsi="Times New Roman"/>
                <w:szCs w:val="18"/>
              </w:rPr>
            </w:pPr>
            <w:r>
              <w:rPr>
                <w:rFonts w:ascii="Times New Roman" w:hAnsi="Times New Roman"/>
                <w:szCs w:val="18"/>
              </w:rPr>
              <w:t>1分：轻度</w:t>
            </w:r>
          </w:p>
          <w:p w14:paraId="2AB09A16">
            <w:pPr>
              <w:rPr>
                <w:rFonts w:ascii="Times New Roman" w:hAnsi="Times New Roman"/>
                <w:szCs w:val="18"/>
              </w:rPr>
            </w:pPr>
            <w:r>
              <w:rPr>
                <w:rFonts w:ascii="Times New Roman" w:hAnsi="Times New Roman"/>
                <w:szCs w:val="18"/>
              </w:rPr>
              <w:t>2分：中度</w:t>
            </w:r>
          </w:p>
          <w:p w14:paraId="54140AB8">
            <w:pPr>
              <w:rPr>
                <w:rFonts w:ascii="Times New Roman" w:hAnsi="Times New Roman"/>
                <w:szCs w:val="18"/>
              </w:rPr>
            </w:pPr>
            <w:r>
              <w:rPr>
                <w:rFonts w:ascii="Times New Roman" w:hAnsi="Times New Roman"/>
                <w:szCs w:val="18"/>
              </w:rPr>
              <w:t>3分：重度</w:t>
            </w:r>
          </w:p>
          <w:p w14:paraId="1FEC0EAF">
            <w:pPr>
              <w:rPr>
                <w:rFonts w:ascii="Times New Roman" w:hAnsi="Times New Roman"/>
                <w:szCs w:val="18"/>
              </w:rPr>
            </w:pPr>
            <w:r>
              <w:rPr>
                <w:rFonts w:ascii="Times New Roman" w:hAnsi="Times New Roman"/>
                <w:szCs w:val="18"/>
              </w:rPr>
              <w:t>4分：极其严重</w:t>
            </w:r>
          </w:p>
        </w:tc>
        <w:tc>
          <w:tcPr>
            <w:tcW w:w="1432" w:type="dxa"/>
            <w:gridSpan w:val="2"/>
            <w:vAlign w:val="center"/>
          </w:tcPr>
          <w:p w14:paraId="3DFC213F">
            <w:pPr>
              <w:spacing w:before="156" w:beforeLines="50" w:after="156" w:afterLines="50"/>
              <w:rPr>
                <w:rFonts w:ascii="Times New Roman" w:hAnsi="Times New Roman"/>
                <w:szCs w:val="18"/>
              </w:rPr>
            </w:pPr>
          </w:p>
        </w:tc>
        <w:tc>
          <w:tcPr>
            <w:tcW w:w="1432" w:type="dxa"/>
            <w:gridSpan w:val="2"/>
            <w:vAlign w:val="center"/>
          </w:tcPr>
          <w:p w14:paraId="0C944748">
            <w:pPr>
              <w:spacing w:before="156" w:beforeLines="50" w:after="156" w:afterLines="50"/>
              <w:rPr>
                <w:rFonts w:ascii="Times New Roman" w:hAnsi="Times New Roman"/>
                <w:szCs w:val="18"/>
              </w:rPr>
            </w:pPr>
          </w:p>
        </w:tc>
        <w:tc>
          <w:tcPr>
            <w:tcW w:w="1432" w:type="dxa"/>
            <w:gridSpan w:val="4"/>
            <w:vAlign w:val="center"/>
          </w:tcPr>
          <w:p w14:paraId="2F7F3D05">
            <w:pPr>
              <w:spacing w:before="156" w:beforeLines="50" w:after="156" w:afterLines="50"/>
              <w:rPr>
                <w:rFonts w:ascii="Times New Roman" w:hAnsi="Times New Roman"/>
                <w:szCs w:val="18"/>
              </w:rPr>
            </w:pPr>
          </w:p>
        </w:tc>
        <w:tc>
          <w:tcPr>
            <w:tcW w:w="1439" w:type="dxa"/>
            <w:gridSpan w:val="4"/>
            <w:vAlign w:val="center"/>
          </w:tcPr>
          <w:p w14:paraId="3F54B492">
            <w:pPr>
              <w:spacing w:before="156" w:beforeLines="50" w:after="156" w:afterLines="50"/>
              <w:rPr>
                <w:rFonts w:ascii="Times New Roman" w:hAnsi="Times New Roman"/>
                <w:szCs w:val="18"/>
              </w:rPr>
            </w:pPr>
          </w:p>
        </w:tc>
      </w:tr>
      <w:tr w14:paraId="43530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2AB9A756">
            <w:pPr>
              <w:spacing w:before="156" w:beforeLines="50" w:after="156" w:afterLines="50"/>
              <w:jc w:val="center"/>
              <w:rPr>
                <w:rFonts w:ascii="Times New Roman" w:hAnsi="Times New Roman"/>
                <w:szCs w:val="18"/>
              </w:rPr>
            </w:pPr>
            <w:r>
              <w:rPr>
                <w:rFonts w:ascii="Times New Roman" w:hAnsi="Times New Roman"/>
                <w:szCs w:val="18"/>
              </w:rPr>
              <w:t>浸润</w:t>
            </w:r>
          </w:p>
        </w:tc>
        <w:tc>
          <w:tcPr>
            <w:tcW w:w="1740" w:type="dxa"/>
            <w:gridSpan w:val="3"/>
            <w:vMerge w:val="continue"/>
            <w:vAlign w:val="center"/>
          </w:tcPr>
          <w:p w14:paraId="2F5562C3">
            <w:pPr>
              <w:spacing w:before="156" w:beforeLines="50" w:after="156" w:afterLines="50"/>
              <w:rPr>
                <w:rFonts w:ascii="Times New Roman" w:hAnsi="Times New Roman"/>
                <w:szCs w:val="18"/>
              </w:rPr>
            </w:pPr>
          </w:p>
        </w:tc>
        <w:tc>
          <w:tcPr>
            <w:tcW w:w="1432" w:type="dxa"/>
            <w:gridSpan w:val="2"/>
            <w:vAlign w:val="center"/>
          </w:tcPr>
          <w:p w14:paraId="79BAA87B">
            <w:pPr>
              <w:spacing w:before="156" w:beforeLines="50" w:after="156" w:afterLines="50"/>
              <w:rPr>
                <w:rFonts w:ascii="Times New Roman" w:hAnsi="Times New Roman"/>
                <w:szCs w:val="18"/>
              </w:rPr>
            </w:pPr>
          </w:p>
        </w:tc>
        <w:tc>
          <w:tcPr>
            <w:tcW w:w="1432" w:type="dxa"/>
            <w:gridSpan w:val="2"/>
            <w:vAlign w:val="center"/>
          </w:tcPr>
          <w:p w14:paraId="08DE6821">
            <w:pPr>
              <w:spacing w:before="156" w:beforeLines="50" w:after="156" w:afterLines="50"/>
              <w:rPr>
                <w:rFonts w:ascii="Times New Roman" w:hAnsi="Times New Roman"/>
                <w:szCs w:val="18"/>
              </w:rPr>
            </w:pPr>
          </w:p>
        </w:tc>
        <w:tc>
          <w:tcPr>
            <w:tcW w:w="1432" w:type="dxa"/>
            <w:gridSpan w:val="4"/>
            <w:vAlign w:val="center"/>
          </w:tcPr>
          <w:p w14:paraId="574D6DC3">
            <w:pPr>
              <w:spacing w:before="156" w:beforeLines="50" w:after="156" w:afterLines="50"/>
              <w:rPr>
                <w:rFonts w:ascii="Times New Roman" w:hAnsi="Times New Roman"/>
                <w:szCs w:val="18"/>
              </w:rPr>
            </w:pPr>
          </w:p>
        </w:tc>
        <w:tc>
          <w:tcPr>
            <w:tcW w:w="1439" w:type="dxa"/>
            <w:gridSpan w:val="4"/>
            <w:vAlign w:val="center"/>
          </w:tcPr>
          <w:p w14:paraId="5078BF62">
            <w:pPr>
              <w:spacing w:before="156" w:beforeLines="50" w:after="156" w:afterLines="50"/>
              <w:rPr>
                <w:rFonts w:ascii="Times New Roman" w:hAnsi="Times New Roman"/>
                <w:szCs w:val="18"/>
              </w:rPr>
            </w:pPr>
          </w:p>
        </w:tc>
      </w:tr>
      <w:tr w14:paraId="23B7A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1827" w:type="dxa"/>
            <w:gridSpan w:val="3"/>
            <w:vAlign w:val="center"/>
          </w:tcPr>
          <w:p w14:paraId="627B97BC">
            <w:pPr>
              <w:spacing w:before="156" w:beforeLines="50" w:after="156" w:afterLines="50"/>
              <w:jc w:val="center"/>
              <w:rPr>
                <w:rFonts w:ascii="Times New Roman" w:hAnsi="Times New Roman"/>
                <w:szCs w:val="18"/>
              </w:rPr>
            </w:pPr>
            <w:r>
              <w:rPr>
                <w:rFonts w:ascii="Times New Roman" w:hAnsi="Times New Roman"/>
                <w:szCs w:val="18"/>
              </w:rPr>
              <w:t>脱屑</w:t>
            </w:r>
          </w:p>
        </w:tc>
        <w:tc>
          <w:tcPr>
            <w:tcW w:w="1740" w:type="dxa"/>
            <w:gridSpan w:val="3"/>
            <w:vMerge w:val="continue"/>
            <w:vAlign w:val="center"/>
          </w:tcPr>
          <w:p w14:paraId="3A78EB54">
            <w:pPr>
              <w:spacing w:before="156" w:beforeLines="50" w:after="156" w:afterLines="50"/>
              <w:rPr>
                <w:rFonts w:ascii="Times New Roman" w:hAnsi="Times New Roman"/>
                <w:szCs w:val="18"/>
              </w:rPr>
            </w:pPr>
          </w:p>
        </w:tc>
        <w:tc>
          <w:tcPr>
            <w:tcW w:w="1432" w:type="dxa"/>
            <w:gridSpan w:val="2"/>
            <w:vAlign w:val="center"/>
          </w:tcPr>
          <w:p w14:paraId="4BE8BBCC">
            <w:pPr>
              <w:spacing w:before="156" w:beforeLines="50" w:after="156" w:afterLines="50"/>
              <w:rPr>
                <w:rFonts w:ascii="Times New Roman" w:hAnsi="Times New Roman"/>
                <w:szCs w:val="18"/>
              </w:rPr>
            </w:pPr>
          </w:p>
        </w:tc>
        <w:tc>
          <w:tcPr>
            <w:tcW w:w="1432" w:type="dxa"/>
            <w:gridSpan w:val="2"/>
            <w:vAlign w:val="center"/>
          </w:tcPr>
          <w:p w14:paraId="3A79697C">
            <w:pPr>
              <w:spacing w:before="156" w:beforeLines="50" w:after="156" w:afterLines="50"/>
              <w:rPr>
                <w:rFonts w:ascii="Times New Roman" w:hAnsi="Times New Roman"/>
                <w:szCs w:val="18"/>
              </w:rPr>
            </w:pPr>
          </w:p>
        </w:tc>
        <w:tc>
          <w:tcPr>
            <w:tcW w:w="1432" w:type="dxa"/>
            <w:gridSpan w:val="4"/>
            <w:vAlign w:val="center"/>
          </w:tcPr>
          <w:p w14:paraId="5ED094DC">
            <w:pPr>
              <w:spacing w:before="156" w:beforeLines="50" w:after="156" w:afterLines="50"/>
              <w:rPr>
                <w:rFonts w:ascii="Times New Roman" w:hAnsi="Times New Roman"/>
                <w:szCs w:val="18"/>
              </w:rPr>
            </w:pPr>
          </w:p>
        </w:tc>
        <w:tc>
          <w:tcPr>
            <w:tcW w:w="1439" w:type="dxa"/>
            <w:gridSpan w:val="4"/>
            <w:vAlign w:val="center"/>
          </w:tcPr>
          <w:p w14:paraId="02EB9B76">
            <w:pPr>
              <w:spacing w:before="156" w:beforeLines="50" w:after="156" w:afterLines="50"/>
              <w:rPr>
                <w:rFonts w:ascii="Times New Roman" w:hAnsi="Times New Roman"/>
                <w:szCs w:val="18"/>
              </w:rPr>
            </w:pPr>
          </w:p>
        </w:tc>
      </w:tr>
      <w:tr w14:paraId="00286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9302" w:type="dxa"/>
            <w:gridSpan w:val="18"/>
            <w:vAlign w:val="center"/>
          </w:tcPr>
          <w:p w14:paraId="56C289AC">
            <w:pPr>
              <w:spacing w:before="156" w:beforeLines="50" w:after="156" w:afterLines="50"/>
              <w:rPr>
                <w:rFonts w:ascii="Times New Roman" w:hAnsi="Times New Roman"/>
                <w:szCs w:val="18"/>
              </w:rPr>
            </w:pPr>
            <w:r>
              <w:rPr>
                <w:rFonts w:ascii="Times New Roman" w:hAnsi="Times New Roman"/>
                <w:i/>
                <w:iCs/>
                <w:szCs w:val="18"/>
              </w:rPr>
              <w:t>注：请将每个部位的三项评分相加，对应填入下行皮损严重评分（C）中</w:t>
            </w:r>
          </w:p>
        </w:tc>
      </w:tr>
      <w:tr w14:paraId="61128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28FD703D">
            <w:pPr>
              <w:spacing w:before="156" w:beforeLines="50" w:after="156" w:afterLines="50"/>
              <w:jc w:val="center"/>
              <w:rPr>
                <w:rFonts w:ascii="Times New Roman" w:hAnsi="Times New Roman"/>
                <w:b/>
                <w:bCs/>
                <w:szCs w:val="18"/>
              </w:rPr>
            </w:pPr>
            <w:r>
              <w:rPr>
                <w:rFonts w:ascii="Times New Roman" w:hAnsi="Times New Roman"/>
                <w:b/>
                <w:bCs/>
                <w:szCs w:val="18"/>
              </w:rPr>
              <w:t>皮损严重程度评分（C）</w:t>
            </w:r>
          </w:p>
        </w:tc>
        <w:tc>
          <w:tcPr>
            <w:tcW w:w="1432" w:type="dxa"/>
            <w:gridSpan w:val="2"/>
            <w:vAlign w:val="center"/>
          </w:tcPr>
          <w:p w14:paraId="1DC7A7DC">
            <w:pPr>
              <w:spacing w:before="156" w:beforeLines="50" w:after="156" w:afterLines="50"/>
              <w:rPr>
                <w:rFonts w:ascii="Times New Roman" w:hAnsi="Times New Roman"/>
                <w:szCs w:val="18"/>
              </w:rPr>
            </w:pPr>
          </w:p>
        </w:tc>
        <w:tc>
          <w:tcPr>
            <w:tcW w:w="1432" w:type="dxa"/>
            <w:gridSpan w:val="2"/>
            <w:vAlign w:val="center"/>
          </w:tcPr>
          <w:p w14:paraId="0F7F60AB">
            <w:pPr>
              <w:spacing w:before="156" w:beforeLines="50" w:after="156" w:afterLines="50"/>
              <w:rPr>
                <w:rFonts w:ascii="Times New Roman" w:hAnsi="Times New Roman"/>
                <w:szCs w:val="18"/>
              </w:rPr>
            </w:pPr>
          </w:p>
        </w:tc>
        <w:tc>
          <w:tcPr>
            <w:tcW w:w="1432" w:type="dxa"/>
            <w:gridSpan w:val="4"/>
            <w:vAlign w:val="center"/>
          </w:tcPr>
          <w:p w14:paraId="24AC2703">
            <w:pPr>
              <w:spacing w:before="156" w:beforeLines="50" w:after="156" w:afterLines="50"/>
              <w:rPr>
                <w:rFonts w:ascii="Times New Roman" w:hAnsi="Times New Roman"/>
                <w:szCs w:val="18"/>
              </w:rPr>
            </w:pPr>
          </w:p>
        </w:tc>
        <w:tc>
          <w:tcPr>
            <w:tcW w:w="1439" w:type="dxa"/>
            <w:gridSpan w:val="4"/>
            <w:vAlign w:val="center"/>
          </w:tcPr>
          <w:p w14:paraId="7B615BFA">
            <w:pPr>
              <w:spacing w:before="156" w:beforeLines="50" w:after="156" w:afterLines="50"/>
              <w:rPr>
                <w:rFonts w:ascii="Times New Roman" w:hAnsi="Times New Roman"/>
                <w:szCs w:val="18"/>
              </w:rPr>
            </w:pPr>
          </w:p>
        </w:tc>
      </w:tr>
      <w:tr w14:paraId="0C80C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1EE0239A">
            <w:pPr>
              <w:spacing w:before="156" w:beforeLines="50" w:after="156" w:afterLines="50"/>
              <w:jc w:val="center"/>
              <w:rPr>
                <w:rFonts w:ascii="Times New Roman" w:hAnsi="Times New Roman"/>
                <w:b/>
                <w:bCs/>
                <w:szCs w:val="18"/>
              </w:rPr>
            </w:pPr>
            <w:r>
              <w:rPr>
                <w:rFonts w:ascii="Times New Roman" w:hAnsi="Times New Roman"/>
                <w:b/>
                <w:bCs/>
                <w:szCs w:val="18"/>
              </w:rPr>
              <w:t>各部位PASI得分=A*B*C</w:t>
            </w:r>
          </w:p>
        </w:tc>
        <w:tc>
          <w:tcPr>
            <w:tcW w:w="1432" w:type="dxa"/>
            <w:gridSpan w:val="2"/>
            <w:vAlign w:val="center"/>
          </w:tcPr>
          <w:p w14:paraId="17C2877D">
            <w:pPr>
              <w:spacing w:before="156" w:beforeLines="50" w:after="156" w:afterLines="50"/>
              <w:rPr>
                <w:rFonts w:ascii="Times New Roman" w:hAnsi="Times New Roman"/>
                <w:szCs w:val="18"/>
              </w:rPr>
            </w:pPr>
          </w:p>
        </w:tc>
        <w:tc>
          <w:tcPr>
            <w:tcW w:w="1432" w:type="dxa"/>
            <w:gridSpan w:val="2"/>
            <w:vAlign w:val="center"/>
          </w:tcPr>
          <w:p w14:paraId="1CD49743">
            <w:pPr>
              <w:spacing w:before="156" w:beforeLines="50" w:after="156" w:afterLines="50"/>
              <w:rPr>
                <w:rFonts w:ascii="Times New Roman" w:hAnsi="Times New Roman"/>
                <w:szCs w:val="18"/>
              </w:rPr>
            </w:pPr>
          </w:p>
        </w:tc>
        <w:tc>
          <w:tcPr>
            <w:tcW w:w="1432" w:type="dxa"/>
            <w:gridSpan w:val="4"/>
            <w:vAlign w:val="center"/>
          </w:tcPr>
          <w:p w14:paraId="22BB9871">
            <w:pPr>
              <w:spacing w:before="156" w:beforeLines="50" w:after="156" w:afterLines="50"/>
              <w:rPr>
                <w:rFonts w:ascii="Times New Roman" w:hAnsi="Times New Roman"/>
                <w:szCs w:val="18"/>
              </w:rPr>
            </w:pPr>
          </w:p>
        </w:tc>
        <w:tc>
          <w:tcPr>
            <w:tcW w:w="1439" w:type="dxa"/>
            <w:gridSpan w:val="4"/>
            <w:vAlign w:val="center"/>
          </w:tcPr>
          <w:p w14:paraId="11D3FC3F">
            <w:pPr>
              <w:spacing w:before="156" w:beforeLines="50" w:after="156" w:afterLines="50"/>
              <w:rPr>
                <w:rFonts w:ascii="Times New Roman" w:hAnsi="Times New Roman"/>
                <w:szCs w:val="18"/>
              </w:rPr>
            </w:pPr>
          </w:p>
        </w:tc>
      </w:tr>
      <w:tr w14:paraId="4E509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54" w:type="dxa"/>
          <w:trHeight w:val="52" w:hRule="atLeast"/>
        </w:trPr>
        <w:tc>
          <w:tcPr>
            <w:tcW w:w="3567" w:type="dxa"/>
            <w:gridSpan w:val="6"/>
            <w:vAlign w:val="center"/>
          </w:tcPr>
          <w:p w14:paraId="42FFEEAB">
            <w:pPr>
              <w:spacing w:before="156" w:beforeLines="50" w:after="156" w:afterLines="50"/>
              <w:jc w:val="center"/>
              <w:rPr>
                <w:rFonts w:ascii="Times New Roman" w:hAnsi="Times New Roman"/>
                <w:b/>
                <w:bCs/>
                <w:szCs w:val="18"/>
              </w:rPr>
            </w:pPr>
            <w:r>
              <w:rPr>
                <w:rFonts w:ascii="Times New Roman" w:hAnsi="Times New Roman"/>
                <w:b/>
                <w:bCs/>
                <w:szCs w:val="18"/>
              </w:rPr>
              <w:t>PASI总分=各部位PASI得分相加</w:t>
            </w:r>
          </w:p>
        </w:tc>
        <w:tc>
          <w:tcPr>
            <w:tcW w:w="5735" w:type="dxa"/>
            <w:gridSpan w:val="12"/>
            <w:vAlign w:val="center"/>
          </w:tcPr>
          <w:p w14:paraId="6F73F37B">
            <w:pPr>
              <w:spacing w:before="156" w:beforeLines="50" w:after="156" w:afterLines="50"/>
              <w:rPr>
                <w:rFonts w:ascii="Times New Roman" w:hAnsi="Times New Roman"/>
                <w:szCs w:val="18"/>
              </w:rPr>
            </w:pPr>
          </w:p>
        </w:tc>
      </w:tr>
      <w:tr w14:paraId="01B0B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734" w:hRule="exact"/>
        </w:trPr>
        <w:tc>
          <w:tcPr>
            <w:tcW w:w="9342" w:type="dxa"/>
            <w:gridSpan w:val="19"/>
            <w:shd w:val="clear" w:color="auto" w:fill="CCCCCC"/>
          </w:tcPr>
          <w:p w14:paraId="057C03F6">
            <w:pPr>
              <w:spacing w:before="156" w:beforeLines="50" w:after="156" w:afterLines="50"/>
              <w:rPr>
                <w:rFonts w:ascii="Times New Roman" w:hAnsi="Times New Roman"/>
              </w:rPr>
            </w:pPr>
            <w:r>
              <w:rPr>
                <w:rFonts w:ascii="Times New Roman" w:hAnsi="Times New Roman"/>
                <w:b/>
              </w:rPr>
              <w:t>医师整体评估（PGA）</w:t>
            </w:r>
          </w:p>
        </w:tc>
      </w:tr>
      <w:tr w14:paraId="3A3C2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680" w:hRule="exact"/>
        </w:trPr>
        <w:tc>
          <w:tcPr>
            <w:tcW w:w="1185" w:type="dxa"/>
            <w:gridSpan w:val="2"/>
            <w:vAlign w:val="center"/>
          </w:tcPr>
          <w:p w14:paraId="731524C4">
            <w:pPr>
              <w:spacing w:before="156" w:beforeLines="50" w:after="156" w:afterLines="50"/>
              <w:rPr>
                <w:rFonts w:ascii="Times New Roman" w:hAnsi="Times New Roman"/>
                <w:szCs w:val="21"/>
                <w:lang w:val="sq-AL"/>
              </w:rPr>
            </w:pPr>
            <w:r>
              <w:rPr>
                <w:rFonts w:ascii="Times New Roman" w:hAnsi="Times New Roman"/>
                <w:szCs w:val="21"/>
                <w:lang w:val="sq-AL"/>
              </w:rPr>
              <w:t>项目</w:t>
            </w:r>
          </w:p>
        </w:tc>
        <w:tc>
          <w:tcPr>
            <w:tcW w:w="1476" w:type="dxa"/>
            <w:gridSpan w:val="2"/>
          </w:tcPr>
          <w:p w14:paraId="0D305C8F">
            <w:pPr>
              <w:spacing w:before="156" w:beforeLines="50" w:after="156" w:afterLines="50"/>
              <w:rPr>
                <w:rFonts w:ascii="Times New Roman" w:hAnsi="Times New Roman"/>
                <w:szCs w:val="21"/>
                <w:lang w:val="sq-AL"/>
              </w:rPr>
            </w:pPr>
            <w:r>
              <w:rPr>
                <w:rFonts w:ascii="Times New Roman" w:hAnsi="Times New Roman"/>
                <w:szCs w:val="21"/>
                <w:lang w:val="sq-AL"/>
              </w:rPr>
              <w:t>评分</w:t>
            </w:r>
          </w:p>
        </w:tc>
        <w:tc>
          <w:tcPr>
            <w:tcW w:w="6681" w:type="dxa"/>
            <w:gridSpan w:val="15"/>
            <w:vAlign w:val="center"/>
          </w:tcPr>
          <w:p w14:paraId="135B8CFA">
            <w:pPr>
              <w:spacing w:before="156" w:beforeLines="50" w:after="156" w:afterLines="50"/>
              <w:rPr>
                <w:rFonts w:ascii="Times New Roman" w:hAnsi="Times New Roman"/>
                <w:szCs w:val="21"/>
                <w:lang w:val="sq-AL"/>
              </w:rPr>
            </w:pPr>
            <w:r>
              <w:rPr>
                <w:rFonts w:ascii="Times New Roman" w:hAnsi="Times New Roman"/>
                <w:szCs w:val="21"/>
                <w:lang w:val="sq-AL"/>
              </w:rPr>
              <w:t>注释</w:t>
            </w:r>
          </w:p>
        </w:tc>
      </w:tr>
      <w:tr w14:paraId="74F72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2322" w:hRule="exact"/>
        </w:trPr>
        <w:tc>
          <w:tcPr>
            <w:tcW w:w="1185" w:type="dxa"/>
            <w:gridSpan w:val="2"/>
            <w:vAlign w:val="center"/>
          </w:tcPr>
          <w:p w14:paraId="2FCC951D">
            <w:pPr>
              <w:spacing w:before="156" w:beforeLines="50" w:after="156" w:afterLines="50"/>
              <w:rPr>
                <w:rFonts w:ascii="Times New Roman" w:hAnsi="Times New Roman"/>
                <w:szCs w:val="21"/>
                <w:lang w:val="sq-AL"/>
              </w:rPr>
            </w:pPr>
            <w:r>
              <w:rPr>
                <w:rFonts w:ascii="Times New Roman" w:hAnsi="Times New Roman"/>
                <w:szCs w:val="21"/>
                <w:lang w:val="sq-AL"/>
              </w:rPr>
              <w:t>红斑（E）</w:t>
            </w:r>
          </w:p>
        </w:tc>
        <w:tc>
          <w:tcPr>
            <w:tcW w:w="1476" w:type="dxa"/>
            <w:gridSpan w:val="2"/>
            <w:vAlign w:val="center"/>
          </w:tcPr>
          <w:p w14:paraId="56814583">
            <w:pPr>
              <w:spacing w:before="156" w:beforeLines="50" w:after="156" w:afterLines="50"/>
              <w:rPr>
                <w:rFonts w:ascii="Times New Roman" w:hAnsi="Times New Roman"/>
                <w:szCs w:val="21"/>
              </w:rPr>
            </w:pPr>
            <w:r>
              <w:rPr>
                <w:rFonts w:ascii="Times New Roman" w:hAnsi="Times New Roman"/>
                <w:szCs w:val="21"/>
              </w:rPr>
              <w:t>□ 0    □ 1</w:t>
            </w:r>
          </w:p>
          <w:p w14:paraId="38549379">
            <w:pPr>
              <w:spacing w:before="156" w:beforeLines="50" w:after="156" w:afterLines="50"/>
              <w:rPr>
                <w:rFonts w:ascii="Times New Roman" w:hAnsi="Times New Roman"/>
                <w:szCs w:val="21"/>
              </w:rPr>
            </w:pPr>
            <w:r>
              <w:rPr>
                <w:rFonts w:ascii="Times New Roman" w:hAnsi="Times New Roman"/>
                <w:szCs w:val="21"/>
              </w:rPr>
              <w:t>□ 2    □ 3</w:t>
            </w:r>
          </w:p>
          <w:p w14:paraId="1FAA5D7A">
            <w:pPr>
              <w:spacing w:before="156" w:beforeLines="50" w:after="156" w:afterLines="50"/>
              <w:rPr>
                <w:rFonts w:ascii="Times New Roman" w:hAnsi="Times New Roman"/>
                <w:szCs w:val="21"/>
                <w:lang w:val="sq-AL"/>
              </w:rPr>
            </w:pPr>
            <w:r>
              <w:rPr>
                <w:rFonts w:ascii="Times New Roman" w:hAnsi="Times New Roman"/>
                <w:szCs w:val="21"/>
              </w:rPr>
              <w:t xml:space="preserve">□ 4    </w:t>
            </w:r>
          </w:p>
        </w:tc>
        <w:tc>
          <w:tcPr>
            <w:tcW w:w="6681" w:type="dxa"/>
            <w:gridSpan w:val="15"/>
            <w:vAlign w:val="center"/>
          </w:tcPr>
          <w:p w14:paraId="65D0E6F6">
            <w:pPr>
              <w:rPr>
                <w:rFonts w:ascii="Times New Roman" w:hAnsi="Times New Roman"/>
              </w:rPr>
            </w:pPr>
            <w:r>
              <w:rPr>
                <w:rFonts w:ascii="Times New Roman" w:hAnsi="Times New Roman"/>
              </w:rPr>
              <w:t>0 = 无红斑证据，可能存在色素过度沉着</w:t>
            </w:r>
          </w:p>
          <w:p w14:paraId="1A395CD0">
            <w:pPr>
              <w:rPr>
                <w:rFonts w:ascii="Times New Roman" w:hAnsi="Times New Roman"/>
              </w:rPr>
            </w:pPr>
            <w:r>
              <w:rPr>
                <w:rFonts w:ascii="Times New Roman" w:hAnsi="Times New Roman"/>
              </w:rPr>
              <w:t>1 = 微弱红斑</w:t>
            </w:r>
          </w:p>
          <w:p w14:paraId="25AA4B31">
            <w:pPr>
              <w:rPr>
                <w:rFonts w:ascii="Times New Roman" w:hAnsi="Times New Roman"/>
              </w:rPr>
            </w:pPr>
            <w:r>
              <w:rPr>
                <w:rFonts w:ascii="Times New Roman" w:hAnsi="Times New Roman"/>
              </w:rPr>
              <w:t>2 = 颜色为淡红色</w:t>
            </w:r>
          </w:p>
          <w:p w14:paraId="1113500D">
            <w:pPr>
              <w:rPr>
                <w:rFonts w:ascii="Times New Roman" w:hAnsi="Times New Roman"/>
              </w:rPr>
            </w:pPr>
            <w:r>
              <w:rPr>
                <w:rFonts w:ascii="Times New Roman" w:hAnsi="Times New Roman"/>
              </w:rPr>
              <w:t>3 = 颜色为中度红色</w:t>
            </w:r>
          </w:p>
          <w:p w14:paraId="2CF2AD82">
            <w:pPr>
              <w:rPr>
                <w:rFonts w:ascii="Times New Roman" w:hAnsi="Times New Roman"/>
                <w:szCs w:val="21"/>
                <w:lang w:val="sq-AL"/>
              </w:rPr>
            </w:pPr>
            <w:r>
              <w:rPr>
                <w:rFonts w:ascii="Times New Roman" w:hAnsi="Times New Roman"/>
              </w:rPr>
              <w:t>4 = 颜色为亮红色</w:t>
            </w:r>
          </w:p>
        </w:tc>
      </w:tr>
      <w:tr w14:paraId="5C1EC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2322" w:hRule="exact"/>
        </w:trPr>
        <w:tc>
          <w:tcPr>
            <w:tcW w:w="1185" w:type="dxa"/>
            <w:gridSpan w:val="2"/>
            <w:vAlign w:val="center"/>
          </w:tcPr>
          <w:p w14:paraId="480E469A">
            <w:pPr>
              <w:spacing w:before="156" w:beforeLines="50" w:after="156" w:afterLines="50"/>
              <w:rPr>
                <w:rFonts w:ascii="Times New Roman" w:hAnsi="Times New Roman"/>
                <w:szCs w:val="21"/>
                <w:lang w:val="sq-AL"/>
              </w:rPr>
            </w:pPr>
            <w:r>
              <w:rPr>
                <w:rFonts w:ascii="Times New Roman" w:hAnsi="Times New Roman"/>
                <w:szCs w:val="21"/>
                <w:lang w:val="sq-AL"/>
              </w:rPr>
              <w:t>浸润（I）</w:t>
            </w:r>
          </w:p>
        </w:tc>
        <w:tc>
          <w:tcPr>
            <w:tcW w:w="1476" w:type="dxa"/>
            <w:gridSpan w:val="2"/>
            <w:vAlign w:val="center"/>
          </w:tcPr>
          <w:p w14:paraId="66B74B26">
            <w:pPr>
              <w:spacing w:before="156" w:beforeLines="50" w:after="156" w:afterLines="50"/>
              <w:rPr>
                <w:rFonts w:ascii="Times New Roman" w:hAnsi="Times New Roman"/>
                <w:szCs w:val="21"/>
              </w:rPr>
            </w:pPr>
            <w:r>
              <w:rPr>
                <w:rFonts w:ascii="Times New Roman" w:hAnsi="Times New Roman"/>
                <w:szCs w:val="21"/>
              </w:rPr>
              <w:t>□ 0    □ 1</w:t>
            </w:r>
          </w:p>
          <w:p w14:paraId="20CADC67">
            <w:pPr>
              <w:spacing w:before="156" w:beforeLines="50" w:after="156" w:afterLines="50"/>
              <w:rPr>
                <w:rFonts w:ascii="Times New Roman" w:hAnsi="Times New Roman"/>
                <w:szCs w:val="21"/>
              </w:rPr>
            </w:pPr>
            <w:r>
              <w:rPr>
                <w:rFonts w:ascii="Times New Roman" w:hAnsi="Times New Roman"/>
                <w:szCs w:val="21"/>
              </w:rPr>
              <w:t>□ 2    □ 3</w:t>
            </w:r>
          </w:p>
          <w:p w14:paraId="21762EF7">
            <w:pPr>
              <w:spacing w:before="156" w:beforeLines="50" w:after="156" w:afterLines="50"/>
              <w:rPr>
                <w:rFonts w:ascii="Times New Roman" w:hAnsi="Times New Roman"/>
                <w:szCs w:val="21"/>
              </w:rPr>
            </w:pPr>
            <w:r>
              <w:rPr>
                <w:rFonts w:ascii="Times New Roman" w:hAnsi="Times New Roman"/>
                <w:szCs w:val="21"/>
              </w:rPr>
              <w:t xml:space="preserve">□ 4    </w:t>
            </w:r>
          </w:p>
        </w:tc>
        <w:tc>
          <w:tcPr>
            <w:tcW w:w="6681" w:type="dxa"/>
            <w:gridSpan w:val="15"/>
            <w:vAlign w:val="center"/>
          </w:tcPr>
          <w:p w14:paraId="4DF48183">
            <w:pPr>
              <w:rPr>
                <w:rFonts w:ascii="Times New Roman" w:hAnsi="Times New Roman"/>
              </w:rPr>
            </w:pPr>
            <w:r>
              <w:rPr>
                <w:rFonts w:ascii="Times New Roman" w:hAnsi="Times New Roman"/>
              </w:rPr>
              <w:t>0 = 无斑块突出之证据</w:t>
            </w:r>
          </w:p>
          <w:p w14:paraId="381958E1">
            <w:pPr>
              <w:rPr>
                <w:rFonts w:ascii="Times New Roman" w:hAnsi="Times New Roman"/>
              </w:rPr>
            </w:pPr>
            <w:r>
              <w:rPr>
                <w:rFonts w:ascii="Times New Roman" w:hAnsi="Times New Roman"/>
              </w:rPr>
              <w:t>1 = 最小斑块升高，几乎不明显 = 0.25 mm</w:t>
            </w:r>
          </w:p>
          <w:p w14:paraId="3F7384DB">
            <w:pPr>
              <w:rPr>
                <w:rFonts w:ascii="Times New Roman" w:hAnsi="Times New Roman"/>
              </w:rPr>
            </w:pPr>
            <w:r>
              <w:rPr>
                <w:rFonts w:ascii="Times New Roman" w:hAnsi="Times New Roman"/>
              </w:rPr>
              <w:t>2 = 轻度斑块升高，轻微但明确升高，边缘不清晰 = 0.5 mm</w:t>
            </w:r>
          </w:p>
          <w:p w14:paraId="4DBCAC96">
            <w:pPr>
              <w:rPr>
                <w:rFonts w:ascii="Times New Roman" w:hAnsi="Times New Roman"/>
              </w:rPr>
            </w:pPr>
            <w:r>
              <w:rPr>
                <w:rFonts w:ascii="Times New Roman" w:hAnsi="Times New Roman"/>
              </w:rPr>
              <w:t>3 = 中度斑块升高，伴有清晰边缘的升高 = 0.75 mm</w:t>
            </w:r>
          </w:p>
          <w:p w14:paraId="5A35C6F7">
            <w:pPr>
              <w:rPr>
                <w:rFonts w:ascii="Times New Roman" w:hAnsi="Times New Roman"/>
              </w:rPr>
            </w:pPr>
            <w:r>
              <w:rPr>
                <w:rFonts w:ascii="Times New Roman" w:hAnsi="Times New Roman"/>
              </w:rPr>
              <w:t>4 = 严重斑块升高，硬/尖锐的边缘≥ 1 mm</w:t>
            </w:r>
          </w:p>
        </w:tc>
      </w:tr>
      <w:tr w14:paraId="6829C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2418" w:hRule="exact"/>
        </w:trPr>
        <w:tc>
          <w:tcPr>
            <w:tcW w:w="1185" w:type="dxa"/>
            <w:gridSpan w:val="2"/>
            <w:vAlign w:val="center"/>
          </w:tcPr>
          <w:p w14:paraId="24ED2C48">
            <w:pPr>
              <w:spacing w:before="156" w:beforeLines="50" w:after="156" w:afterLines="50"/>
              <w:rPr>
                <w:rFonts w:ascii="Times New Roman" w:hAnsi="Times New Roman"/>
                <w:szCs w:val="21"/>
                <w:lang w:val="sq-AL"/>
              </w:rPr>
            </w:pPr>
            <w:r>
              <w:rPr>
                <w:rFonts w:ascii="Times New Roman" w:hAnsi="Times New Roman"/>
                <w:szCs w:val="21"/>
                <w:lang w:val="sq-AL"/>
              </w:rPr>
              <w:t>鳞屑（S）</w:t>
            </w:r>
          </w:p>
        </w:tc>
        <w:tc>
          <w:tcPr>
            <w:tcW w:w="1476" w:type="dxa"/>
            <w:gridSpan w:val="2"/>
            <w:vAlign w:val="center"/>
          </w:tcPr>
          <w:p w14:paraId="39C88BEA">
            <w:pPr>
              <w:spacing w:before="156" w:beforeLines="50" w:after="156" w:afterLines="50"/>
              <w:rPr>
                <w:rFonts w:ascii="Times New Roman" w:hAnsi="Times New Roman"/>
                <w:szCs w:val="21"/>
              </w:rPr>
            </w:pPr>
            <w:r>
              <w:rPr>
                <w:rFonts w:ascii="Times New Roman" w:hAnsi="Times New Roman"/>
                <w:szCs w:val="21"/>
              </w:rPr>
              <w:t>□ 0    □ 1</w:t>
            </w:r>
          </w:p>
          <w:p w14:paraId="5DAC6DF7">
            <w:pPr>
              <w:spacing w:before="156" w:beforeLines="50" w:after="156" w:afterLines="50"/>
              <w:rPr>
                <w:rFonts w:ascii="Times New Roman" w:hAnsi="Times New Roman"/>
                <w:szCs w:val="21"/>
              </w:rPr>
            </w:pPr>
            <w:r>
              <w:rPr>
                <w:rFonts w:ascii="Times New Roman" w:hAnsi="Times New Roman"/>
                <w:szCs w:val="21"/>
              </w:rPr>
              <w:t>□ 2    □ 3</w:t>
            </w:r>
          </w:p>
          <w:p w14:paraId="3B039464">
            <w:pPr>
              <w:spacing w:before="156" w:beforeLines="50" w:after="156" w:afterLines="50"/>
              <w:rPr>
                <w:rFonts w:ascii="Times New Roman" w:hAnsi="Times New Roman"/>
                <w:szCs w:val="21"/>
                <w:lang w:val="sq-AL"/>
              </w:rPr>
            </w:pPr>
            <w:r>
              <w:rPr>
                <w:rFonts w:ascii="Times New Roman" w:hAnsi="Times New Roman"/>
                <w:szCs w:val="21"/>
              </w:rPr>
              <w:t xml:space="preserve">□ 4    </w:t>
            </w:r>
          </w:p>
        </w:tc>
        <w:tc>
          <w:tcPr>
            <w:tcW w:w="6681" w:type="dxa"/>
            <w:gridSpan w:val="15"/>
            <w:vAlign w:val="center"/>
          </w:tcPr>
          <w:p w14:paraId="13609D3E">
            <w:pPr>
              <w:rPr>
                <w:rFonts w:ascii="Times New Roman" w:hAnsi="Times New Roman"/>
              </w:rPr>
            </w:pPr>
            <w:r>
              <w:rPr>
                <w:rFonts w:ascii="Times New Roman" w:hAnsi="Times New Roman"/>
              </w:rPr>
              <w:t>0 = 无鳞屑证据</w:t>
            </w:r>
          </w:p>
          <w:p w14:paraId="7C7D0FFD">
            <w:pPr>
              <w:rPr>
                <w:rFonts w:ascii="Times New Roman" w:hAnsi="Times New Roman"/>
              </w:rPr>
            </w:pPr>
            <w:r>
              <w:rPr>
                <w:rFonts w:ascii="Times New Roman" w:hAnsi="Times New Roman"/>
              </w:rPr>
              <w:t>1 = 最小；偶尔有细小的鳞屑</w:t>
            </w:r>
          </w:p>
          <w:p w14:paraId="64DB4D27">
            <w:pPr>
              <w:rPr>
                <w:rFonts w:ascii="Times New Roman" w:hAnsi="Times New Roman"/>
              </w:rPr>
            </w:pPr>
            <w:r>
              <w:rPr>
                <w:rFonts w:ascii="Times New Roman" w:hAnsi="Times New Roman"/>
              </w:rPr>
              <w:t>2 = 轻度；主要是细小的鳞屑</w:t>
            </w:r>
          </w:p>
          <w:p w14:paraId="4C2BAEE7">
            <w:pPr>
              <w:rPr>
                <w:rFonts w:ascii="Times New Roman" w:hAnsi="Times New Roman"/>
              </w:rPr>
            </w:pPr>
            <w:r>
              <w:rPr>
                <w:rFonts w:ascii="Times New Roman" w:hAnsi="Times New Roman"/>
              </w:rPr>
              <w:t>3 = 中度，主要是大块鳞屑</w:t>
            </w:r>
          </w:p>
          <w:p w14:paraId="42E1B6AC">
            <w:pPr>
              <w:rPr>
                <w:rFonts w:ascii="Times New Roman" w:hAnsi="Times New Roman"/>
              </w:rPr>
            </w:pPr>
            <w:r>
              <w:rPr>
                <w:rFonts w:ascii="Times New Roman" w:hAnsi="Times New Roman"/>
              </w:rPr>
              <w:t>4 = 重度，主要是厚块鳞屑</w:t>
            </w:r>
          </w:p>
        </w:tc>
      </w:tr>
      <w:tr w14:paraId="07496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970" w:hRule="exact"/>
        </w:trPr>
        <w:tc>
          <w:tcPr>
            <w:tcW w:w="9342" w:type="dxa"/>
            <w:gridSpan w:val="19"/>
            <w:vAlign w:val="center"/>
          </w:tcPr>
          <w:p w14:paraId="26C76D2F">
            <w:pPr>
              <w:spacing w:before="156" w:beforeLines="50" w:after="156" w:afterLines="50"/>
              <w:rPr>
                <w:rFonts w:ascii="Times New Roman" w:hAnsi="Times New Roman"/>
                <w:szCs w:val="21"/>
              </w:rPr>
            </w:pPr>
            <w:r>
              <w:rPr>
                <w:rFonts w:ascii="Times New Roman" w:hAnsi="Times New Roman"/>
                <w:szCs w:val="21"/>
                <w:lang w:val="sq-AL"/>
              </w:rPr>
              <w:t>总均值：I+E+S=</w:t>
            </w:r>
            <w:r>
              <w:rPr>
                <w:rFonts w:ascii="Times New Roman" w:hAnsi="Times New Roman"/>
                <w:szCs w:val="21"/>
              </w:rPr>
              <w:t>_________/3=_________</w:t>
            </w:r>
          </w:p>
          <w:p w14:paraId="4BB47885">
            <w:pPr>
              <w:spacing w:before="156" w:beforeLines="50" w:after="156" w:afterLines="50"/>
              <w:rPr>
                <w:rFonts w:ascii="Times New Roman" w:hAnsi="Times New Roman"/>
                <w:szCs w:val="21"/>
                <w:u w:val="single"/>
              </w:rPr>
            </w:pPr>
            <w:r>
              <w:rPr>
                <w:rFonts w:ascii="Times New Roman" w:hAnsi="Times New Roman"/>
                <w:szCs w:val="21"/>
              </w:rPr>
              <w:t>PGA得分：</w:t>
            </w:r>
            <w:r>
              <w:rPr>
                <w:rFonts w:ascii="Times New Roman" w:hAnsi="Times New Roman"/>
                <w:szCs w:val="21"/>
                <w:u w:val="single"/>
              </w:rPr>
              <w:t xml:space="preserve">        </w:t>
            </w:r>
          </w:p>
          <w:p w14:paraId="658054FD">
            <w:pPr>
              <w:spacing w:before="156" w:beforeLines="50" w:after="156" w:afterLines="50"/>
              <w:rPr>
                <w:rFonts w:ascii="Times New Roman" w:hAnsi="Times New Roman"/>
                <w:szCs w:val="21"/>
                <w:lang w:val="sq-AL"/>
              </w:rPr>
            </w:pPr>
            <w:r>
              <w:rPr>
                <w:rFonts w:ascii="Times New Roman" w:hAnsi="Times New Roman"/>
                <w:szCs w:val="21"/>
                <w:lang w:val="sq-AL"/>
              </w:rPr>
              <w:t>E</w:t>
            </w:r>
          </w:p>
        </w:tc>
      </w:tr>
      <w:tr w14:paraId="525BA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60" w:hRule="atLeast"/>
        </w:trPr>
        <w:tc>
          <w:tcPr>
            <w:tcW w:w="9342" w:type="dxa"/>
            <w:gridSpan w:val="19"/>
            <w:shd w:val="clear" w:color="auto" w:fill="D7D7D7" w:themeFill="background1" w:themeFillShade="D8"/>
            <w:vAlign w:val="center"/>
          </w:tcPr>
          <w:p w14:paraId="2579F293">
            <w:pPr>
              <w:spacing w:line="360" w:lineRule="auto"/>
              <w:rPr>
                <w:rFonts w:ascii="Times New Roman" w:hAnsi="Times New Roman"/>
                <w:b/>
                <w:szCs w:val="21"/>
              </w:rPr>
            </w:pPr>
            <w:r>
              <w:rPr>
                <w:rFonts w:ascii="Times New Roman" w:hAnsi="Times New Roman"/>
                <w:b/>
                <w:szCs w:val="21"/>
              </w:rPr>
              <w:t>皮肤病生活质量指数（DLQI）</w:t>
            </w:r>
          </w:p>
        </w:tc>
      </w:tr>
      <w:tr w14:paraId="7B7D6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trHeight w:val="60" w:hRule="atLeast"/>
        </w:trPr>
        <w:tc>
          <w:tcPr>
            <w:tcW w:w="9342" w:type="dxa"/>
            <w:gridSpan w:val="19"/>
            <w:vAlign w:val="center"/>
          </w:tcPr>
          <w:p w14:paraId="22358D60">
            <w:pPr>
              <w:spacing w:before="156" w:beforeLines="50" w:after="156" w:afterLines="50"/>
              <w:rPr>
                <w:rFonts w:ascii="Times New Roman" w:hAnsi="Times New Roman"/>
                <w:b/>
                <w:szCs w:val="21"/>
              </w:rPr>
            </w:pPr>
            <w:r>
              <w:rPr>
                <w:rFonts w:ascii="Times New Roman" w:hAnsi="Times New Roman"/>
                <w:b/>
                <w:szCs w:val="21"/>
              </w:rPr>
              <w:t>这份问卷的目的是衡量过去一周内您的皮肤问题对您的生活造成了多大影响。</w:t>
            </w:r>
          </w:p>
        </w:tc>
      </w:tr>
      <w:tr w14:paraId="6B039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7088" w:type="dxa"/>
            <w:gridSpan w:val="11"/>
            <w:vAlign w:val="center"/>
          </w:tcPr>
          <w:p w14:paraId="15311524">
            <w:pPr>
              <w:spacing w:before="156" w:beforeLines="50" w:after="156" w:afterLines="50"/>
              <w:rPr>
                <w:rFonts w:ascii="Times New Roman" w:hAnsi="Times New Roman"/>
                <w:b/>
                <w:szCs w:val="21"/>
              </w:rPr>
            </w:pPr>
            <w:r>
              <w:rPr>
                <w:rFonts w:ascii="Times New Roman" w:hAnsi="Times New Roman"/>
                <w:b/>
                <w:szCs w:val="21"/>
              </w:rPr>
              <w:t>下列问题请按照发生程度，在右面的相应选项中划“X”</w:t>
            </w:r>
          </w:p>
        </w:tc>
        <w:tc>
          <w:tcPr>
            <w:tcW w:w="567" w:type="dxa"/>
            <w:vAlign w:val="center"/>
          </w:tcPr>
          <w:p w14:paraId="1704C326">
            <w:pPr>
              <w:spacing w:before="156" w:beforeLines="50" w:after="156" w:afterLines="50"/>
              <w:rPr>
                <w:rFonts w:ascii="Times New Roman" w:hAnsi="Times New Roman"/>
                <w:b/>
                <w:szCs w:val="21"/>
              </w:rPr>
            </w:pPr>
            <w:r>
              <w:rPr>
                <w:rFonts w:ascii="Times New Roman" w:hAnsi="Times New Roman"/>
                <w:b/>
                <w:szCs w:val="21"/>
              </w:rPr>
              <w:t>极严重</w:t>
            </w:r>
          </w:p>
        </w:tc>
        <w:tc>
          <w:tcPr>
            <w:tcW w:w="567" w:type="dxa"/>
            <w:gridSpan w:val="3"/>
            <w:vAlign w:val="center"/>
          </w:tcPr>
          <w:p w14:paraId="2CBF3DB5">
            <w:pPr>
              <w:spacing w:before="156" w:beforeLines="50" w:after="156" w:afterLines="50"/>
              <w:rPr>
                <w:rFonts w:ascii="Times New Roman" w:hAnsi="Times New Roman"/>
                <w:b/>
                <w:szCs w:val="21"/>
              </w:rPr>
            </w:pPr>
            <w:r>
              <w:rPr>
                <w:rFonts w:ascii="Times New Roman" w:hAnsi="Times New Roman"/>
                <w:b/>
                <w:szCs w:val="21"/>
              </w:rPr>
              <w:t>严重</w:t>
            </w:r>
          </w:p>
        </w:tc>
        <w:tc>
          <w:tcPr>
            <w:tcW w:w="567" w:type="dxa"/>
            <w:vAlign w:val="center"/>
          </w:tcPr>
          <w:p w14:paraId="3FAF055F">
            <w:pPr>
              <w:spacing w:before="156" w:beforeLines="50" w:after="156" w:afterLines="50"/>
              <w:rPr>
                <w:rFonts w:ascii="Times New Roman" w:hAnsi="Times New Roman"/>
                <w:b/>
                <w:szCs w:val="21"/>
              </w:rPr>
            </w:pPr>
            <w:r>
              <w:rPr>
                <w:rFonts w:ascii="Times New Roman" w:hAnsi="Times New Roman"/>
                <w:b/>
                <w:szCs w:val="21"/>
              </w:rPr>
              <w:t>轻微</w:t>
            </w:r>
          </w:p>
        </w:tc>
        <w:tc>
          <w:tcPr>
            <w:tcW w:w="567" w:type="dxa"/>
            <w:gridSpan w:val="4"/>
            <w:vAlign w:val="center"/>
          </w:tcPr>
          <w:p w14:paraId="386DE554">
            <w:pPr>
              <w:spacing w:before="156" w:beforeLines="50" w:after="156" w:afterLines="50"/>
              <w:rPr>
                <w:rFonts w:ascii="Times New Roman" w:hAnsi="Times New Roman"/>
                <w:b/>
                <w:szCs w:val="21"/>
              </w:rPr>
            </w:pPr>
            <w:r>
              <w:rPr>
                <w:rFonts w:ascii="Times New Roman" w:hAnsi="Times New Roman"/>
                <w:b/>
                <w:szCs w:val="21"/>
              </w:rPr>
              <w:t>无</w:t>
            </w:r>
          </w:p>
        </w:tc>
      </w:tr>
      <w:tr w14:paraId="79A77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04A5797E">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1</w:t>
            </w:r>
          </w:p>
        </w:tc>
        <w:tc>
          <w:tcPr>
            <w:tcW w:w="6379" w:type="dxa"/>
            <w:gridSpan w:val="10"/>
            <w:vAlign w:val="center"/>
          </w:tcPr>
          <w:p w14:paraId="5B329B08">
            <w:pPr>
              <w:adjustRightInd w:val="0"/>
              <w:snapToGrid w:val="0"/>
              <w:spacing w:before="156" w:beforeLines="50" w:after="156" w:afterLines="50"/>
              <w:rPr>
                <w:rFonts w:ascii="Times New Roman" w:hAnsi="Times New Roman"/>
                <w:b/>
                <w:szCs w:val="21"/>
              </w:rPr>
            </w:pPr>
            <w:r>
              <w:rPr>
                <w:rFonts w:ascii="Times New Roman" w:hAnsi="Times New Roman"/>
              </w:rPr>
              <w:t>您是否有皮肤“发痒”或“疼痛”的感觉？</w:t>
            </w:r>
          </w:p>
        </w:tc>
        <w:tc>
          <w:tcPr>
            <w:tcW w:w="567" w:type="dxa"/>
          </w:tcPr>
          <w:p w14:paraId="3F726DF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23F100A2">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6FB21C4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1EF35F9B">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69107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29818AF7">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2</w:t>
            </w:r>
          </w:p>
        </w:tc>
        <w:tc>
          <w:tcPr>
            <w:tcW w:w="6379" w:type="dxa"/>
            <w:gridSpan w:val="10"/>
            <w:vAlign w:val="center"/>
          </w:tcPr>
          <w:p w14:paraId="69BCFD78">
            <w:pPr>
              <w:adjustRightInd w:val="0"/>
              <w:snapToGrid w:val="0"/>
              <w:spacing w:before="156" w:beforeLines="50" w:after="156" w:afterLines="50"/>
              <w:rPr>
                <w:rFonts w:ascii="Times New Roman" w:hAnsi="Times New Roman"/>
                <w:b/>
                <w:szCs w:val="21"/>
              </w:rPr>
            </w:pPr>
            <w:r>
              <w:rPr>
                <w:rFonts w:ascii="Times New Roman" w:hAnsi="Times New Roman"/>
              </w:rPr>
              <w:t>您是否因为皮肤问题而产生“尴尬”、“沮丧”、“难过”等？</w:t>
            </w:r>
          </w:p>
        </w:tc>
        <w:tc>
          <w:tcPr>
            <w:tcW w:w="567" w:type="dxa"/>
          </w:tcPr>
          <w:p w14:paraId="1254D956">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5C226B91">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2F8583C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301D2490">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01DA6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3783992E">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3</w:t>
            </w:r>
          </w:p>
        </w:tc>
        <w:tc>
          <w:tcPr>
            <w:tcW w:w="6379" w:type="dxa"/>
            <w:gridSpan w:val="10"/>
            <w:vAlign w:val="center"/>
          </w:tcPr>
          <w:p w14:paraId="4E984889">
            <w:pPr>
              <w:adjustRightInd w:val="0"/>
              <w:snapToGrid w:val="0"/>
              <w:spacing w:before="156" w:beforeLines="50" w:after="156" w:afterLines="50"/>
              <w:rPr>
                <w:rFonts w:ascii="Times New Roman" w:hAnsi="Times New Roman"/>
                <w:b/>
                <w:szCs w:val="21"/>
              </w:rPr>
            </w:pPr>
            <w:r>
              <w:rPr>
                <w:rFonts w:ascii="Times New Roman" w:hAnsi="Times New Roman"/>
              </w:rPr>
              <w:t>您的皮肤问题是否影响您逛街买东西、打理家务？</w:t>
            </w:r>
          </w:p>
        </w:tc>
        <w:tc>
          <w:tcPr>
            <w:tcW w:w="567" w:type="dxa"/>
          </w:tcPr>
          <w:p w14:paraId="43238CE8">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45E171A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74D1F78B">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36129492">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5DA9C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33EC6A50">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4</w:t>
            </w:r>
          </w:p>
        </w:tc>
        <w:tc>
          <w:tcPr>
            <w:tcW w:w="6379" w:type="dxa"/>
            <w:gridSpan w:val="10"/>
            <w:vAlign w:val="center"/>
          </w:tcPr>
          <w:p w14:paraId="0FB73F48">
            <w:pPr>
              <w:adjustRightInd w:val="0"/>
              <w:snapToGrid w:val="0"/>
              <w:spacing w:before="156" w:beforeLines="50" w:after="156" w:afterLines="50"/>
              <w:rPr>
                <w:rFonts w:ascii="Times New Roman" w:hAnsi="Times New Roman"/>
                <w:b/>
                <w:szCs w:val="21"/>
              </w:rPr>
            </w:pPr>
            <w:r>
              <w:rPr>
                <w:rFonts w:ascii="Times New Roman" w:hAnsi="Times New Roman"/>
              </w:rPr>
              <w:t>您是否因为皮肤不适而选择不同或特殊的衣服、鞋子？</w:t>
            </w:r>
          </w:p>
        </w:tc>
        <w:tc>
          <w:tcPr>
            <w:tcW w:w="567" w:type="dxa"/>
          </w:tcPr>
          <w:p w14:paraId="04036AD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1225E6F0">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53194733">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0BCD4A58">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3078A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55E2EE42">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5</w:t>
            </w:r>
          </w:p>
        </w:tc>
        <w:tc>
          <w:tcPr>
            <w:tcW w:w="6379" w:type="dxa"/>
            <w:gridSpan w:val="10"/>
            <w:vAlign w:val="center"/>
          </w:tcPr>
          <w:p w14:paraId="7DDB2D12">
            <w:pPr>
              <w:adjustRightInd w:val="0"/>
              <w:snapToGrid w:val="0"/>
              <w:spacing w:before="156" w:beforeLines="50" w:after="156" w:afterLines="50"/>
              <w:rPr>
                <w:rFonts w:ascii="Times New Roman" w:hAnsi="Times New Roman"/>
                <w:b/>
                <w:szCs w:val="21"/>
              </w:rPr>
            </w:pPr>
            <w:r>
              <w:rPr>
                <w:rFonts w:ascii="Times New Roman" w:hAnsi="Times New Roman"/>
              </w:rPr>
              <w:t>您的皮肤问题是否影响您的社交、外出活动、或娱乐？</w:t>
            </w:r>
          </w:p>
        </w:tc>
        <w:tc>
          <w:tcPr>
            <w:tcW w:w="567" w:type="dxa"/>
          </w:tcPr>
          <w:p w14:paraId="5C5CF63C">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755F4ECF">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645F546E">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3836FC45">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6280A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1F2B2D8A">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6</w:t>
            </w:r>
          </w:p>
        </w:tc>
        <w:tc>
          <w:tcPr>
            <w:tcW w:w="6379" w:type="dxa"/>
            <w:gridSpan w:val="10"/>
            <w:vAlign w:val="center"/>
          </w:tcPr>
          <w:p w14:paraId="567EC1E0">
            <w:pPr>
              <w:adjustRightInd w:val="0"/>
              <w:snapToGrid w:val="0"/>
              <w:spacing w:before="156" w:beforeLines="50" w:after="156" w:afterLines="50"/>
              <w:rPr>
                <w:rFonts w:ascii="Times New Roman" w:hAnsi="Times New Roman"/>
                <w:b/>
                <w:szCs w:val="21"/>
              </w:rPr>
            </w:pPr>
            <w:r>
              <w:rPr>
                <w:rFonts w:ascii="Times New Roman" w:hAnsi="Times New Roman"/>
              </w:rPr>
              <w:t>您是否因为皮肤问题而影响您做体育运动？</w:t>
            </w:r>
          </w:p>
        </w:tc>
        <w:tc>
          <w:tcPr>
            <w:tcW w:w="567" w:type="dxa"/>
          </w:tcPr>
          <w:p w14:paraId="57E097CC">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5E2C5CC0">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66EF2450">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7F5106D9">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71248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7BBAD089">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7</w:t>
            </w:r>
          </w:p>
        </w:tc>
        <w:tc>
          <w:tcPr>
            <w:tcW w:w="6379" w:type="dxa"/>
            <w:gridSpan w:val="10"/>
            <w:vAlign w:val="center"/>
          </w:tcPr>
          <w:p w14:paraId="48DF059D">
            <w:pPr>
              <w:adjustRightInd w:val="0"/>
              <w:snapToGrid w:val="0"/>
              <w:rPr>
                <w:rFonts w:ascii="Times New Roman" w:hAnsi="Times New Roman"/>
                <w:b/>
                <w:szCs w:val="21"/>
              </w:rPr>
            </w:pPr>
            <w:r>
              <w:rPr>
                <w:rFonts w:ascii="Times New Roman" w:hAnsi="Times New Roman"/>
              </w:rPr>
              <w:t>您的皮肤问题是否影响您的工作或者读书？您的皮肤问题在您工作或读书方面造成的问题有多大？</w:t>
            </w:r>
          </w:p>
        </w:tc>
        <w:tc>
          <w:tcPr>
            <w:tcW w:w="567" w:type="dxa"/>
          </w:tcPr>
          <w:p w14:paraId="2EE73CF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781A9CE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30024D91">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6366930F">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7B15D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21AAB96D">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8</w:t>
            </w:r>
          </w:p>
        </w:tc>
        <w:tc>
          <w:tcPr>
            <w:tcW w:w="6379" w:type="dxa"/>
            <w:gridSpan w:val="10"/>
            <w:vAlign w:val="center"/>
          </w:tcPr>
          <w:p w14:paraId="2D984E42">
            <w:pPr>
              <w:adjustRightInd w:val="0"/>
              <w:snapToGrid w:val="0"/>
              <w:spacing w:before="156" w:beforeLines="50" w:after="156" w:afterLines="50"/>
              <w:rPr>
                <w:rFonts w:ascii="Times New Roman" w:hAnsi="Times New Roman"/>
                <w:b/>
                <w:szCs w:val="21"/>
              </w:rPr>
            </w:pPr>
            <w:r>
              <w:rPr>
                <w:rFonts w:ascii="Times New Roman" w:hAnsi="Times New Roman"/>
              </w:rPr>
              <w:t>您的皮肤问题是否影响您和配偶或者好朋友、亲戚之间的关系？</w:t>
            </w:r>
          </w:p>
        </w:tc>
        <w:tc>
          <w:tcPr>
            <w:tcW w:w="567" w:type="dxa"/>
          </w:tcPr>
          <w:p w14:paraId="46FF14A4">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42C7A92D">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00B1F5C6">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462E58EA">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71375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0F81B4EE">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9</w:t>
            </w:r>
          </w:p>
        </w:tc>
        <w:tc>
          <w:tcPr>
            <w:tcW w:w="6379" w:type="dxa"/>
            <w:gridSpan w:val="10"/>
            <w:vAlign w:val="center"/>
          </w:tcPr>
          <w:p w14:paraId="7E06D5B7">
            <w:pPr>
              <w:adjustRightInd w:val="0"/>
              <w:snapToGrid w:val="0"/>
              <w:spacing w:before="156" w:beforeLines="50" w:after="156" w:afterLines="50"/>
              <w:rPr>
                <w:rFonts w:ascii="Times New Roman" w:hAnsi="Times New Roman"/>
                <w:b/>
                <w:szCs w:val="21"/>
              </w:rPr>
            </w:pPr>
            <w:r>
              <w:rPr>
                <w:rFonts w:ascii="Times New Roman" w:hAnsi="Times New Roman"/>
              </w:rPr>
              <w:t>您是否因为皮肤问题影响性生活？</w:t>
            </w:r>
          </w:p>
        </w:tc>
        <w:tc>
          <w:tcPr>
            <w:tcW w:w="567" w:type="dxa"/>
          </w:tcPr>
          <w:p w14:paraId="6741C3B7">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60FE3598">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135AFA90">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244B20D5">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r w14:paraId="29F59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709" w:type="dxa"/>
            <w:vAlign w:val="center"/>
          </w:tcPr>
          <w:p w14:paraId="7466D032">
            <w:pPr>
              <w:adjustRightInd w:val="0"/>
              <w:snapToGrid w:val="0"/>
              <w:spacing w:before="156" w:beforeLines="50" w:after="156" w:afterLines="50"/>
              <w:jc w:val="center"/>
              <w:rPr>
                <w:rFonts w:ascii="Times New Roman" w:hAnsi="Times New Roman"/>
                <w:b/>
                <w:szCs w:val="21"/>
              </w:rPr>
            </w:pPr>
            <w:r>
              <w:rPr>
                <w:rFonts w:ascii="Times New Roman" w:hAnsi="Times New Roman"/>
                <w:b/>
                <w:szCs w:val="21"/>
              </w:rPr>
              <w:t>10</w:t>
            </w:r>
          </w:p>
        </w:tc>
        <w:tc>
          <w:tcPr>
            <w:tcW w:w="6379" w:type="dxa"/>
            <w:gridSpan w:val="10"/>
            <w:vAlign w:val="center"/>
          </w:tcPr>
          <w:p w14:paraId="274DFFAF">
            <w:pPr>
              <w:adjustRightInd w:val="0"/>
              <w:snapToGrid w:val="0"/>
              <w:rPr>
                <w:rFonts w:ascii="Times New Roman" w:hAnsi="Times New Roman"/>
                <w:b/>
                <w:szCs w:val="21"/>
              </w:rPr>
            </w:pPr>
            <w:r>
              <w:rPr>
                <w:rFonts w:ascii="Times New Roman" w:hAnsi="Times New Roman"/>
              </w:rPr>
              <w:t>您的皮肤问题是否造成日常生活上的不便？</w:t>
            </w:r>
          </w:p>
        </w:tc>
        <w:tc>
          <w:tcPr>
            <w:tcW w:w="567" w:type="dxa"/>
          </w:tcPr>
          <w:p w14:paraId="7656973D">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3"/>
          </w:tcPr>
          <w:p w14:paraId="72F507FA">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tcPr>
          <w:p w14:paraId="3D3FF5BC">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c>
          <w:tcPr>
            <w:tcW w:w="567" w:type="dxa"/>
            <w:gridSpan w:val="4"/>
          </w:tcPr>
          <w:p w14:paraId="59C30722">
            <w:pPr>
              <w:adjustRightInd w:val="0"/>
              <w:snapToGrid w:val="0"/>
              <w:spacing w:before="156" w:beforeLines="50" w:after="156" w:afterLines="50"/>
              <w:jc w:val="center"/>
              <w:rPr>
                <w:rFonts w:ascii="Times New Roman" w:hAnsi="Times New Roman"/>
                <w:b/>
                <w:szCs w:val="21"/>
              </w:rPr>
            </w:pPr>
            <w:r>
              <w:rPr>
                <w:rFonts w:ascii="Times New Roman" w:hAnsi="Times New Roman"/>
                <w:sz w:val="36"/>
              </w:rPr>
              <w:t>□</w:t>
            </w:r>
          </w:p>
        </w:tc>
      </w:tr>
    </w:tbl>
    <w:p w14:paraId="4E56FE5B">
      <w:pPr>
        <w:rPr>
          <w:rFonts w:hint="eastAsia"/>
        </w:rPr>
      </w:pPr>
    </w:p>
    <w:p w14:paraId="7A68B748">
      <w:pPr>
        <w:rPr>
          <w:rFonts w:hint="eastAsia"/>
        </w:rPr>
      </w:pPr>
      <w:r>
        <w:br w:type="page"/>
      </w:r>
    </w:p>
    <w:p w14:paraId="1E4C3746">
      <w:pPr>
        <w:jc w:val="center"/>
        <w:outlineLvl w:val="2"/>
        <w:rPr>
          <w:rFonts w:hint="eastAsia" w:ascii="黑体" w:hAnsi="黑体" w:eastAsia="黑体" w:cs="黑体"/>
        </w:rPr>
      </w:pPr>
      <w:bookmarkStart w:id="62" w:name="_Toc226105582"/>
      <w:r>
        <w:rPr>
          <w:rFonts w:hint="eastAsia" w:ascii="黑体" w:hAnsi="黑体" w:eastAsia="黑体" w:cs="黑体"/>
        </w:rPr>
        <w:t>参</w:t>
      </w:r>
      <w:r>
        <w:rPr>
          <w:rFonts w:hint="eastAsia" w:ascii="黑体" w:hAnsi="黑体" w:eastAsia="黑体" w:cs="黑体"/>
          <w:lang w:eastAsia="zh-CN"/>
        </w:rPr>
        <w:t>　</w:t>
      </w:r>
      <w:r>
        <w:rPr>
          <w:rFonts w:hint="eastAsia" w:ascii="黑体" w:hAnsi="黑体" w:eastAsia="黑体" w:cs="黑体"/>
        </w:rPr>
        <w:t>考</w:t>
      </w:r>
      <w:r>
        <w:rPr>
          <w:rFonts w:hint="eastAsia" w:ascii="黑体" w:hAnsi="黑体" w:eastAsia="黑体" w:cs="黑体"/>
          <w:lang w:eastAsia="zh-CN"/>
        </w:rPr>
        <w:t>　</w:t>
      </w:r>
      <w:r>
        <w:rPr>
          <w:rFonts w:hint="eastAsia" w:ascii="黑体" w:hAnsi="黑体" w:eastAsia="黑体" w:cs="黑体"/>
        </w:rPr>
        <w:t>文</w:t>
      </w:r>
      <w:r>
        <w:rPr>
          <w:rFonts w:hint="eastAsia" w:ascii="黑体" w:hAnsi="黑体" w:eastAsia="黑体" w:cs="黑体"/>
          <w:lang w:eastAsia="zh-CN"/>
        </w:rPr>
        <w:t>　</w:t>
      </w:r>
      <w:r>
        <w:rPr>
          <w:rFonts w:hint="eastAsia" w:ascii="黑体" w:hAnsi="黑体" w:eastAsia="黑体" w:cs="黑体"/>
        </w:rPr>
        <w:t>献</w:t>
      </w:r>
      <w:bookmarkEnd w:id="62"/>
    </w:p>
    <w:p w14:paraId="73A6122C">
      <w:pPr>
        <w:ind w:left="420" w:hanging="420" w:hangingChars="200"/>
        <w:rPr>
          <w:rFonts w:ascii="Times New Roman" w:hAnsi="Times New Roman" w:cs="Times New Roman"/>
          <w:sz w:val="21"/>
          <w:szCs w:val="21"/>
        </w:rPr>
      </w:pPr>
      <w:r>
        <w:rPr>
          <w:rFonts w:ascii="Times New Roman" w:hAnsi="Times New Roman" w:cs="Times New Roman"/>
          <w:sz w:val="21"/>
          <w:szCs w:val="21"/>
        </w:rPr>
        <w:t>[1] SACKS D, BAXTER B, et al. Multisociety consensus quality improvement revised consensus statement for endovascular therapy of acute ischemic stroke[J]. International Journal of Stroke, 2018, 13(6): 612-632.</w:t>
      </w:r>
    </w:p>
    <w:p w14:paraId="4514124D">
      <w:pPr>
        <w:ind w:left="420" w:hanging="420" w:hangingChars="200"/>
        <w:rPr>
          <w:rFonts w:ascii="Times New Roman" w:hAnsi="Times New Roman" w:cs="Times New Roman"/>
          <w:sz w:val="21"/>
          <w:szCs w:val="21"/>
        </w:rPr>
      </w:pPr>
      <w:r>
        <w:rPr>
          <w:rFonts w:ascii="Times New Roman" w:hAnsi="Times New Roman" w:cs="Times New Roman"/>
          <w:sz w:val="21"/>
          <w:szCs w:val="21"/>
        </w:rPr>
        <w:t>[2] KURZ B, BERNEBURG M, BÄUMLER W, et al. Phototherapy: theory and practice[J]. Journal of the German Society of Dermatology, 2023, 21(8): 882-897.</w:t>
      </w:r>
    </w:p>
    <w:p w14:paraId="2E0EF89A">
      <w:pPr>
        <w:ind w:left="420" w:hanging="420" w:hangingChars="200"/>
        <w:rPr>
          <w:rFonts w:ascii="Times New Roman" w:hAnsi="Times New Roman" w:cs="Times New Roman"/>
          <w:sz w:val="21"/>
          <w:szCs w:val="21"/>
        </w:rPr>
      </w:pPr>
      <w:r>
        <w:rPr>
          <w:rFonts w:ascii="Times New Roman" w:hAnsi="Times New Roman" w:cs="Times New Roman"/>
          <w:sz w:val="21"/>
          <w:szCs w:val="21"/>
        </w:rPr>
        <w:t>[3] GELFAND JM, ARMSTRONG AW, LIM HW, et al. Home- vs office-based narrowband UV-B phototherapy for patients with psoriasis: the LITE randomized clinical trial[J]. JAMA Dermatology, 2024, 160(12): 1320-1328.</w:t>
      </w:r>
    </w:p>
    <w:p w14:paraId="0F64039D">
      <w:pPr>
        <w:ind w:left="420" w:hanging="420" w:hangingChars="200"/>
        <w:rPr>
          <w:rFonts w:ascii="Times New Roman" w:hAnsi="Times New Roman" w:cs="Times New Roman"/>
          <w:sz w:val="21"/>
          <w:szCs w:val="21"/>
        </w:rPr>
      </w:pPr>
      <w:r>
        <w:rPr>
          <w:rFonts w:ascii="Times New Roman" w:hAnsi="Times New Roman" w:cs="Times New Roman"/>
          <w:sz w:val="21"/>
          <w:szCs w:val="21"/>
        </w:rPr>
        <w:t>[4] CHAN JJ. Psoriasis: an update on topical and systemic therapies[J]. Australian Prescriber, 2025, 48(3): 87-92.</w:t>
      </w:r>
    </w:p>
    <w:p w14:paraId="0AEB6572">
      <w:pPr>
        <w:ind w:left="420" w:hanging="420" w:hangingChars="200"/>
        <w:rPr>
          <w:rFonts w:ascii="Times New Roman" w:hAnsi="Times New Roman" w:cs="Times New Roman"/>
          <w:sz w:val="21"/>
          <w:szCs w:val="21"/>
        </w:rPr>
      </w:pPr>
      <w:r>
        <w:rPr>
          <w:rFonts w:ascii="Times New Roman" w:hAnsi="Times New Roman" w:cs="Times New Roman"/>
          <w:sz w:val="21"/>
          <w:szCs w:val="21"/>
        </w:rPr>
        <w:t>[5] PARAGH G, HUSS WJ. Shedding new light on narrowband ultraviolet B phototherapy: balancing psoriasis treatment and carcinogenic risk[J]. British Journal of Dermatology, 2025, 193(4): 589-590.</w:t>
      </w:r>
    </w:p>
    <w:p w14:paraId="039F7DDD">
      <w:pPr>
        <w:ind w:left="420" w:hanging="420" w:hangingChars="200"/>
        <w:rPr>
          <w:rFonts w:ascii="Times New Roman" w:hAnsi="Times New Roman" w:cs="Times New Roman"/>
          <w:sz w:val="21"/>
          <w:szCs w:val="21"/>
        </w:rPr>
      </w:pPr>
      <w:r>
        <w:rPr>
          <w:rFonts w:ascii="Times New Roman" w:hAnsi="Times New Roman" w:cs="Times New Roman"/>
          <w:sz w:val="21"/>
          <w:szCs w:val="21"/>
        </w:rPr>
        <w:t>[6] CALZAVARA-PINTON P, BETTOLINI L, TONON F, et al. The realistic positioning of UVA1 phototherapy after 25 years of clinical experience and the availability of new biologics and small molecules: a retrospective clinical study[J]. Frontiers in Medicine, 2023, 10: 1295145.</w:t>
      </w:r>
    </w:p>
    <w:p w14:paraId="18AC4AA6">
      <w:pPr>
        <w:ind w:left="420" w:hanging="420" w:hangingChars="200"/>
        <w:rPr>
          <w:rFonts w:ascii="Times New Roman" w:hAnsi="Times New Roman" w:cs="Times New Roman"/>
          <w:sz w:val="21"/>
          <w:szCs w:val="21"/>
        </w:rPr>
      </w:pPr>
      <w:r>
        <w:rPr>
          <w:rFonts w:ascii="Times New Roman" w:hAnsi="Times New Roman" w:cs="Times New Roman"/>
          <w:sz w:val="21"/>
          <w:szCs w:val="21"/>
        </w:rPr>
        <w:t>[7] SREYA R, NENE S, PATHADE V, et al. Emerging trends in combination strategies with phototherapy in advanced psoriasis management[J]. Inflammopharmacology, 2023, 31(4): 1761-1778.</w:t>
      </w:r>
    </w:p>
    <w:p w14:paraId="24B88119">
      <w:pPr>
        <w:ind w:left="420" w:hanging="420" w:hangingChars="200"/>
        <w:rPr>
          <w:rFonts w:ascii="Times New Roman" w:hAnsi="Times New Roman" w:cs="Times New Roman"/>
          <w:sz w:val="21"/>
          <w:szCs w:val="21"/>
        </w:rPr>
      </w:pPr>
      <w:r>
        <w:rPr>
          <w:rFonts w:ascii="Times New Roman" w:hAnsi="Times New Roman" w:cs="Times New Roman"/>
          <w:sz w:val="21"/>
          <w:szCs w:val="21"/>
        </w:rPr>
        <w:t>[8] BENAVIDES E, HARTMANN D, RETAMAL C, et al. The role of phototherapy in pediatric dermatology[J]. Anais Brasileiros de Dermatologia, 2026, 101(1): 501252.</w:t>
      </w:r>
    </w:p>
    <w:p w14:paraId="553D57CD">
      <w:pPr>
        <w:ind w:left="420" w:hanging="420" w:hangingChars="200"/>
        <w:rPr>
          <w:rFonts w:ascii="Times New Roman" w:hAnsi="Times New Roman" w:cs="Times New Roman"/>
          <w:sz w:val="21"/>
          <w:szCs w:val="21"/>
        </w:rPr>
      </w:pPr>
      <w:r>
        <w:rPr>
          <w:rFonts w:ascii="Times New Roman" w:hAnsi="Times New Roman" w:cs="Times New Roman"/>
          <w:sz w:val="21"/>
          <w:szCs w:val="21"/>
        </w:rPr>
        <w:t>[9] IBORRA-PALAU EV, GARCIA-REDONDO E, ALABAU-DASI R. Factors influencing adherence to phototherapy in patients with psoriasis[J]. Journal of Advanced Nursing, 2025, 81(6): 3110-3117.</w:t>
      </w:r>
    </w:p>
    <w:p w14:paraId="2D5E2466">
      <w:pPr>
        <w:ind w:left="420" w:hanging="420" w:hangingChars="200"/>
        <w:rPr>
          <w:rFonts w:ascii="Times New Roman" w:hAnsi="Times New Roman" w:cs="Times New Roman"/>
          <w:sz w:val="21"/>
          <w:szCs w:val="21"/>
        </w:rPr>
      </w:pPr>
      <w:r>
        <w:rPr>
          <w:rFonts w:ascii="Times New Roman" w:hAnsi="Times New Roman" w:cs="Times New Roman"/>
          <w:sz w:val="21"/>
          <w:szCs w:val="21"/>
        </w:rPr>
        <w:t>[10] FOWLER JC, SOOD RK, COLTART G, et al. Mutation burden of narrowband ultraviolet B phototherapy (NB-UVB) in human skin: relevance to lifetime exposure and skin cancer surveillance[J]. British Journal of Dermatology, 2025, 193(4): 718-728.</w:t>
      </w:r>
    </w:p>
    <w:p w14:paraId="0FA71721">
      <w:pPr>
        <w:ind w:left="420" w:hanging="420" w:hangingChars="200"/>
        <w:rPr>
          <w:rFonts w:ascii="Times New Roman" w:hAnsi="Times New Roman" w:cs="Times New Roman"/>
          <w:sz w:val="21"/>
          <w:szCs w:val="21"/>
        </w:rPr>
      </w:pPr>
      <w:r>
        <w:rPr>
          <w:rFonts w:ascii="Times New Roman" w:hAnsi="Times New Roman" w:cs="Times New Roman"/>
          <w:sz w:val="21"/>
          <w:szCs w:val="21"/>
        </w:rPr>
        <w:t>[11] KURMUŞ GI, MENTEŞOĞLU D, KARTAL SP. Phototherapy in geriatric patients: ten years of clinical experience in a tertiary dermatology clinic[J]. Photobiomodulation, Photomedicine, and Laser Surgery, 2025, 43(12): 592-599.</w:t>
      </w:r>
    </w:p>
    <w:p w14:paraId="182EF7B3">
      <w:pPr>
        <w:ind w:left="420" w:hanging="420" w:hangingChars="200"/>
        <w:rPr>
          <w:rFonts w:ascii="Times New Roman" w:hAnsi="Times New Roman" w:cs="Times New Roman"/>
          <w:sz w:val="21"/>
          <w:szCs w:val="21"/>
        </w:rPr>
      </w:pPr>
      <w:r>
        <w:rPr>
          <w:rFonts w:ascii="Times New Roman" w:hAnsi="Times New Roman" w:cs="Times New Roman"/>
          <w:sz w:val="21"/>
          <w:szCs w:val="21"/>
        </w:rPr>
        <w:t>[12] ACER E, AĞAOĞLU E, KAYA ERDOĞAN H, et al. Narrowband ultraviolet B phototherapy for dermatoses in elderly: a real-life experience[J]. Lasers in Medical Science, 2026, 41(1): 52.</w:t>
      </w:r>
    </w:p>
    <w:p w14:paraId="5CE15608">
      <w:pPr>
        <w:ind w:left="420" w:hanging="420" w:hangingChars="200"/>
        <w:rPr>
          <w:rFonts w:ascii="Times New Roman" w:hAnsi="Times New Roman" w:cs="Times New Roman"/>
          <w:sz w:val="21"/>
          <w:szCs w:val="21"/>
        </w:rPr>
      </w:pPr>
      <w:r>
        <w:rPr>
          <w:rFonts w:ascii="Times New Roman" w:hAnsi="Times New Roman" w:cs="Times New Roman"/>
          <w:sz w:val="21"/>
          <w:szCs w:val="21"/>
        </w:rPr>
        <w:t>[13] ÅKERLA P, PUKKALA E, HELMINEN M, et al. Skin cancer risk of narrow-band UV-B (TL-01) phototherapy: a multicenter registry study with 4815 patients[J]. Acta Dermato-Venereologica, 2024, 104: adv39927.</w:t>
      </w:r>
    </w:p>
    <w:p w14:paraId="4BAE6019">
      <w:pPr>
        <w:ind w:left="420" w:hanging="420" w:hangingChars="200"/>
        <w:rPr>
          <w:rFonts w:ascii="Times New Roman" w:hAnsi="Times New Roman" w:cs="Times New Roman"/>
          <w:sz w:val="21"/>
          <w:szCs w:val="21"/>
        </w:rPr>
      </w:pPr>
      <w:r>
        <w:rPr>
          <w:rFonts w:ascii="Times New Roman" w:hAnsi="Times New Roman" w:cs="Times New Roman"/>
          <w:sz w:val="21"/>
          <w:szCs w:val="21"/>
        </w:rPr>
        <w:t>[14] GAO X, DU S, ZENG J, et al. Clinical efficacy of 308 nm excimer laser combined with 0.1% tacrolimus ointment in plaque psoriasis[J]. Lasers in Medical Science, 2025, 40(1): 342.</w:t>
      </w:r>
    </w:p>
    <w:p w14:paraId="7BA98E33">
      <w:pPr>
        <w:ind w:left="420" w:hanging="420" w:hangingChars="200"/>
        <w:rPr>
          <w:rFonts w:ascii="Times New Roman" w:hAnsi="Times New Roman" w:cs="Times New Roman"/>
          <w:sz w:val="21"/>
          <w:szCs w:val="21"/>
        </w:rPr>
      </w:pPr>
      <w:r>
        <w:rPr>
          <w:rFonts w:ascii="Times New Roman" w:hAnsi="Times New Roman" w:cs="Times New Roman"/>
          <w:sz w:val="21"/>
          <w:szCs w:val="21"/>
        </w:rPr>
        <w:t>[15] 陈东亚, 谭一舟, 谯煜, 等. 窄带中波紫外光疗致皮肤癌的研究进展[J]. 中国激光医学杂志, 2025, 34(1): 43-49.</w:t>
      </w:r>
    </w:p>
    <w:p w14:paraId="32C122AE">
      <w:pPr>
        <w:ind w:left="420" w:hanging="420" w:hangingChars="200"/>
        <w:rPr>
          <w:rFonts w:ascii="Times New Roman" w:hAnsi="Times New Roman" w:cs="Times New Roman"/>
          <w:sz w:val="21"/>
          <w:szCs w:val="21"/>
        </w:rPr>
      </w:pPr>
      <w:r>
        <w:rPr>
          <w:rFonts w:ascii="Times New Roman" w:hAnsi="Times New Roman" w:cs="Times New Roman"/>
          <w:sz w:val="21"/>
          <w:szCs w:val="21"/>
        </w:rPr>
        <w:t>[16] 曾悦, 邹先彪. 银屑病紫外线治疗新进展[J]. 中国医学前沿杂志(电子版), 2023, 15(5): 25-31.</w:t>
      </w:r>
    </w:p>
    <w:p w14:paraId="365C331F">
      <w:pPr>
        <w:ind w:left="420" w:hanging="420" w:hangingChars="200"/>
        <w:rPr>
          <w:rFonts w:ascii="Times New Roman" w:hAnsi="Times New Roman" w:cs="Times New Roman"/>
          <w:sz w:val="21"/>
          <w:szCs w:val="21"/>
        </w:rPr>
      </w:pPr>
      <w:r>
        <w:rPr>
          <w:rFonts w:ascii="Times New Roman" w:hAnsi="Times New Roman" w:cs="Times New Roman"/>
          <w:sz w:val="21"/>
          <w:szCs w:val="21"/>
        </w:rPr>
        <w:t>[17] 薛如君, 叶瑞贤, 周欣, 等. 银屑病光疗的应用及疗效[J]. 国际医药卫生导报, 2022, 28(5): 598-602.</w:t>
      </w:r>
    </w:p>
    <w:p w14:paraId="0A21F1CC">
      <w:pPr>
        <w:ind w:left="420" w:hanging="420" w:hangingChars="200"/>
        <w:rPr>
          <w:rFonts w:ascii="Times New Roman" w:hAnsi="Times New Roman" w:cs="Times New Roman"/>
          <w:sz w:val="21"/>
          <w:szCs w:val="21"/>
        </w:rPr>
      </w:pPr>
      <w:r>
        <w:rPr>
          <w:rFonts w:ascii="Times New Roman" w:hAnsi="Times New Roman" w:cs="Times New Roman"/>
          <w:sz w:val="21"/>
          <w:szCs w:val="21"/>
        </w:rPr>
        <w:t>[18] 中国康复医学会皮肤病康复专业委员会, 等. 紫外线治疗皮肤病临床应用专家共识[J]. 中华皮肤科杂志, 2019, 52(12): 872-877.</w:t>
      </w:r>
    </w:p>
    <w:p w14:paraId="5345E82A">
      <w:pPr>
        <w:ind w:left="420" w:hanging="420" w:hangingChars="200"/>
        <w:rPr>
          <w:rFonts w:ascii="Times New Roman" w:hAnsi="Times New Roman" w:cs="Times New Roman"/>
          <w:sz w:val="21"/>
          <w:szCs w:val="21"/>
        </w:rPr>
      </w:pPr>
      <w:r>
        <w:rPr>
          <w:rFonts w:ascii="Times New Roman" w:hAnsi="Times New Roman" w:cs="Times New Roman"/>
          <w:sz w:val="21"/>
          <w:szCs w:val="21"/>
        </w:rPr>
        <w:t>[19] 中国研究型医院学会皮肤科学专业委员会, 中国医师协会皮肤科医师分会. 长波紫外线1皮肤科临床应用专家共识（2022）[J]. 中华皮肤科杂志, 2022, 55(11): 956-961.</w:t>
      </w:r>
    </w:p>
    <w:p w14:paraId="3BE870EB">
      <w:pPr>
        <w:ind w:left="420" w:hanging="420" w:hangingChars="200"/>
        <w:rPr>
          <w:rFonts w:ascii="Times New Roman" w:hAnsi="Times New Roman" w:cs="Times New Roman"/>
          <w:sz w:val="21"/>
          <w:szCs w:val="21"/>
        </w:rPr>
      </w:pPr>
      <w:r>
        <w:rPr>
          <w:rFonts w:ascii="Times New Roman" w:hAnsi="Times New Roman" w:cs="Times New Roman"/>
          <w:sz w:val="21"/>
          <w:szCs w:val="21"/>
        </w:rPr>
        <w:t>[20] 中华医学会皮肤性病学分会银屑病专业委员会. 中国银屑病诊疗指南（2023版）[J]. 中华皮肤科杂志, 2023, 56(7): 573-625.</w:t>
      </w:r>
    </w:p>
    <w:p w14:paraId="5F40C328">
      <w:pPr>
        <w:ind w:left="420" w:hanging="420" w:hangingChars="200"/>
        <w:rPr>
          <w:rFonts w:ascii="Times New Roman" w:hAnsi="Times New Roman" w:cs="Times New Roman"/>
          <w:sz w:val="21"/>
          <w:szCs w:val="21"/>
        </w:rPr>
      </w:pPr>
      <w:r>
        <w:rPr>
          <w:rFonts w:ascii="Times New Roman" w:hAnsi="Times New Roman" w:cs="Times New Roman"/>
          <w:sz w:val="21"/>
          <w:szCs w:val="21"/>
        </w:rPr>
        <w:t>[21] GAMBICHLER T, TERRAS S, KREUTER A. Treatment regimens, protocols, dosage, and indications for UVA1 phototherapy: facts and controversies[J]. Clinics in Dermatology, 2013, 31(4): 438-454.</w:t>
      </w:r>
    </w:p>
    <w:p w14:paraId="528BC2ED">
      <w:pPr>
        <w:ind w:left="420" w:hanging="420" w:hangingChars="200"/>
        <w:rPr>
          <w:rFonts w:ascii="Times New Roman" w:hAnsi="Times New Roman" w:cs="Times New Roman"/>
          <w:sz w:val="21"/>
          <w:szCs w:val="21"/>
        </w:rPr>
      </w:pPr>
      <w:r>
        <w:rPr>
          <w:rFonts w:ascii="Times New Roman" w:hAnsi="Times New Roman" w:cs="Times New Roman"/>
          <w:sz w:val="21"/>
          <w:szCs w:val="21"/>
        </w:rPr>
        <w:t>[22] WALKER D, JACOBE H. Phototherapy in the age of biologics[J]. Seminars in Cutaneous Medicine and Surgery, 2011, 30(4): 190-198.</w:t>
      </w:r>
    </w:p>
    <w:p w14:paraId="56C1DF6E">
      <w:pPr>
        <w:ind w:left="420" w:hanging="420" w:hangingChars="200"/>
        <w:rPr>
          <w:rFonts w:ascii="Times New Roman" w:hAnsi="Times New Roman" w:cs="Times New Roman"/>
          <w:sz w:val="21"/>
          <w:szCs w:val="21"/>
        </w:rPr>
      </w:pPr>
      <w:r>
        <w:rPr>
          <w:rFonts w:ascii="Times New Roman" w:hAnsi="Times New Roman" w:cs="Times New Roman"/>
          <w:sz w:val="21"/>
          <w:szCs w:val="21"/>
        </w:rPr>
        <w:t>[23] ZANDI S, KALIA S, LUI H. UVA1 phototherapy: a concise and practical review[J]. Skin Therapy Letter, 2012, 17(1): 1-4.</w:t>
      </w:r>
    </w:p>
    <w:p w14:paraId="66A556ED">
      <w:pPr>
        <w:ind w:left="420" w:hanging="420" w:hangingChars="200"/>
        <w:rPr>
          <w:rFonts w:ascii="Times New Roman" w:hAnsi="Times New Roman" w:cs="Times New Roman"/>
          <w:sz w:val="21"/>
          <w:szCs w:val="21"/>
        </w:rPr>
      </w:pPr>
      <w:r>
        <w:rPr>
          <w:rFonts w:ascii="Times New Roman" w:hAnsi="Times New Roman" w:cs="Times New Roman"/>
          <w:sz w:val="21"/>
          <w:szCs w:val="21"/>
        </w:rPr>
        <w:t>[24] BARROS NM, SBROGLIO LL, BUFFARA MO, et al. Phototherapy[J]. Anais Brasileiros de Dermatologia, 2021, 96(4): 397-407.</w:t>
      </w:r>
    </w:p>
    <w:p w14:paraId="7004A560">
      <w:pPr>
        <w:ind w:left="420" w:hanging="420" w:hangingChars="200"/>
        <w:rPr>
          <w:rFonts w:ascii="Times New Roman" w:hAnsi="Times New Roman" w:cs="Times New Roman"/>
          <w:sz w:val="21"/>
          <w:szCs w:val="21"/>
        </w:rPr>
      </w:pPr>
      <w:r>
        <w:rPr>
          <w:rFonts w:ascii="Times New Roman" w:hAnsi="Times New Roman" w:cs="Times New Roman"/>
          <w:sz w:val="21"/>
          <w:szCs w:val="21"/>
        </w:rPr>
        <w:t>[25] ZHOU J, YI X, LI Y, et al. Efficacy assessment of UVA1 and narrowband UVB for scalp psoriasis[J]. Lasers in Medical Science, 2018, 33(9): 1979-1982.</w:t>
      </w:r>
    </w:p>
    <w:p w14:paraId="7D494790">
      <w:pPr>
        <w:ind w:left="420" w:hanging="420" w:hangingChars="200"/>
        <w:rPr>
          <w:rFonts w:ascii="Times New Roman" w:hAnsi="Times New Roman" w:cs="Times New Roman"/>
          <w:sz w:val="21"/>
          <w:szCs w:val="21"/>
        </w:rPr>
      </w:pPr>
      <w:r>
        <w:rPr>
          <w:rFonts w:ascii="Times New Roman" w:hAnsi="Times New Roman" w:cs="Times New Roman"/>
          <w:sz w:val="21"/>
          <w:szCs w:val="21"/>
        </w:rPr>
        <w:t>[26] SU LN, REN J, CHENG SM, et al. UVA1 vs narrowband UVB phototherapy in palmoplantar pustulosis: a pilot randomized controlled study[J]. Lasers in Medical Science, 2017, 32(8): 1819-1823.</w:t>
      </w:r>
    </w:p>
    <w:p w14:paraId="7F4B4A88">
      <w:pPr>
        <w:ind w:left="420" w:hanging="420" w:hangingChars="200"/>
        <w:rPr>
          <w:rFonts w:ascii="Times New Roman" w:hAnsi="Times New Roman" w:cs="Times New Roman"/>
          <w:sz w:val="21"/>
          <w:szCs w:val="21"/>
        </w:rPr>
      </w:pPr>
      <w:r>
        <w:rPr>
          <w:rFonts w:ascii="Times New Roman" w:hAnsi="Times New Roman" w:cs="Times New Roman"/>
          <w:sz w:val="21"/>
          <w:szCs w:val="21"/>
        </w:rPr>
        <w:t>[27] ZERBINATI N, PORTALE S, PALMIERI B, et al. A preliminary study on UVA1 laser for psoriasis treatment[J]. Photomedicine and Laser Surgery, 2012, 30(10): 610-614.</w:t>
      </w:r>
    </w:p>
    <w:p w14:paraId="067740EA">
      <w:pPr>
        <w:ind w:left="420" w:hanging="420" w:hangingChars="200"/>
        <w:rPr>
          <w:rFonts w:ascii="Times New Roman" w:hAnsi="Times New Roman" w:cs="Times New Roman"/>
          <w:sz w:val="21"/>
          <w:szCs w:val="21"/>
        </w:rPr>
      </w:pPr>
      <w:r>
        <w:rPr>
          <w:rFonts w:ascii="Times New Roman" w:hAnsi="Times New Roman" w:cs="Times New Roman"/>
          <w:sz w:val="21"/>
          <w:szCs w:val="21"/>
        </w:rPr>
        <w:t>[28] SILPA-ARCHA N, PATTANAPRICHakul P, et al. The efficacy of UVA1 phototherapy in psoriasis[J]. Photodermatology, Photoimmunology &amp; Photomedicine, 2020, 36(1): 21-28.</w:t>
      </w:r>
    </w:p>
    <w:p w14:paraId="28020E13">
      <w:pPr>
        <w:ind w:left="420" w:hanging="420" w:hangingChars="200"/>
        <w:rPr>
          <w:rFonts w:ascii="Times New Roman" w:hAnsi="Times New Roman" w:cs="Times New Roman"/>
          <w:sz w:val="21"/>
          <w:szCs w:val="21"/>
        </w:rPr>
      </w:pPr>
      <w:r>
        <w:rPr>
          <w:rFonts w:ascii="Times New Roman" w:hAnsi="Times New Roman" w:cs="Times New Roman"/>
          <w:sz w:val="21"/>
          <w:szCs w:val="21"/>
        </w:rPr>
        <w:t>[29] 高芸璐, 丁杨峰, 易雪梅. UVA1和窄波UVB光疗治疗斑块型银屑病的随机对照研究[J]. 中国中西医结合皮肤性病学杂志, 2018, 17(2): 161-164.</w:t>
      </w:r>
    </w:p>
    <w:p w14:paraId="71E2CA2A">
      <w:pPr>
        <w:ind w:left="420" w:hanging="420" w:hangingChars="200"/>
        <w:rPr>
          <w:rFonts w:ascii="Times New Roman" w:hAnsi="Times New Roman" w:cs="Times New Roman"/>
          <w:sz w:val="21"/>
          <w:szCs w:val="21"/>
        </w:rPr>
      </w:pPr>
      <w:r>
        <w:rPr>
          <w:rFonts w:ascii="Times New Roman" w:hAnsi="Times New Roman" w:cs="Times New Roman"/>
          <w:sz w:val="21"/>
          <w:szCs w:val="21"/>
        </w:rPr>
        <w:t>[30] ARMSTRONG AW, READ C. Pathophysiology, clinical presentation, and treatment of psoriasis: a review[J]. JAMA, 2020, 323(19): 1945-1960.</w:t>
      </w:r>
    </w:p>
    <w:p w14:paraId="2472903D">
      <w:pPr>
        <w:ind w:left="420" w:hanging="420" w:hangingChars="200"/>
        <w:rPr>
          <w:rFonts w:ascii="Times New Roman" w:hAnsi="Times New Roman" w:cs="Times New Roman"/>
          <w:sz w:val="21"/>
          <w:szCs w:val="21"/>
        </w:rPr>
      </w:pPr>
      <w:r>
        <w:rPr>
          <w:rFonts w:ascii="Times New Roman" w:hAnsi="Times New Roman" w:cs="Times New Roman"/>
          <w:sz w:val="21"/>
          <w:szCs w:val="21"/>
        </w:rPr>
        <w:t>[31] GRIFFITHS CEM, ARMSTRONG AW, GUDJONSSON JE, et al. Psoriasis[J]. Lancet, 2021, 397(10281): 1301-1315.</w:t>
      </w:r>
    </w:p>
    <w:p w14:paraId="5A144C0D">
      <w:pPr>
        <w:ind w:left="420" w:hanging="420" w:hangingChars="200"/>
        <w:rPr>
          <w:rFonts w:ascii="Times New Roman" w:hAnsi="Times New Roman" w:cs="Times New Roman"/>
          <w:sz w:val="21"/>
          <w:szCs w:val="21"/>
        </w:rPr>
      </w:pPr>
      <w:r>
        <w:rPr>
          <w:rFonts w:ascii="Times New Roman" w:hAnsi="Times New Roman" w:cs="Times New Roman"/>
          <w:sz w:val="21"/>
          <w:szCs w:val="21"/>
        </w:rPr>
        <w:t>[32] LEBWOHL M. Psoriasis[J]. Annals of Internal Medicine, 2018, 168(7): ITC49-ITC64.</w:t>
      </w:r>
    </w:p>
    <w:p w14:paraId="57B66B08">
      <w:pPr>
        <w:ind w:left="420" w:hanging="420" w:hangingChars="200"/>
        <w:rPr>
          <w:rFonts w:ascii="Times New Roman" w:hAnsi="Times New Roman" w:cs="Times New Roman"/>
          <w:sz w:val="21"/>
          <w:szCs w:val="21"/>
        </w:rPr>
      </w:pPr>
      <w:r>
        <w:rPr>
          <w:rFonts w:ascii="Times New Roman" w:hAnsi="Times New Roman" w:cs="Times New Roman"/>
          <w:sz w:val="21"/>
          <w:szCs w:val="21"/>
        </w:rPr>
        <w:t>[33] 张学军. 皮肤性病学[M]. 北京: 人民卫生出版社, 2018.</w:t>
      </w:r>
    </w:p>
    <w:p w14:paraId="0C3509B8">
      <w:pPr>
        <w:ind w:left="420" w:hanging="420" w:hangingChars="200"/>
        <w:rPr>
          <w:rFonts w:ascii="Times New Roman" w:hAnsi="Times New Roman" w:cs="Times New Roman"/>
          <w:sz w:val="21"/>
          <w:szCs w:val="21"/>
        </w:rPr>
      </w:pPr>
      <w:r>
        <w:rPr>
          <w:rFonts w:ascii="Times New Roman" w:hAnsi="Times New Roman" w:cs="Times New Roman"/>
          <w:sz w:val="21"/>
          <w:szCs w:val="21"/>
        </w:rPr>
        <w:t>[34] 冯丽, 刘琼玲. 银屑病病人生命质量量表研究现状[J]. 护理研究, 2015, 29(3): 900-903.</w:t>
      </w:r>
    </w:p>
    <w:p w14:paraId="69C29C53">
      <w:pPr>
        <w:ind w:left="420" w:hanging="420" w:hangingChars="200"/>
        <w:rPr>
          <w:rFonts w:ascii="Times New Roman" w:hAnsi="Times New Roman" w:cs="Times New Roman"/>
          <w:sz w:val="21"/>
          <w:szCs w:val="21"/>
        </w:rPr>
      </w:pPr>
      <w:r>
        <w:rPr>
          <w:rFonts w:ascii="Times New Roman" w:hAnsi="Times New Roman" w:cs="Times New Roman"/>
          <w:sz w:val="21"/>
          <w:szCs w:val="21"/>
        </w:rPr>
        <w:t>[35] HOFBAUER G. Phototherapy and carcinogenesis[J]. Hautarzt, 2013, 64(5): 349-353.</w:t>
      </w:r>
    </w:p>
    <w:p w14:paraId="69F41D1A">
      <w:pPr>
        <w:ind w:left="420" w:hanging="420" w:hangingChars="200"/>
        <w:rPr>
          <w:rFonts w:ascii="Times New Roman" w:hAnsi="Times New Roman" w:cs="Times New Roman"/>
          <w:sz w:val="21"/>
          <w:szCs w:val="21"/>
        </w:rPr>
      </w:pPr>
      <w:r>
        <w:rPr>
          <w:rFonts w:ascii="Times New Roman" w:hAnsi="Times New Roman" w:cs="Times New Roman"/>
          <w:sz w:val="21"/>
          <w:szCs w:val="21"/>
        </w:rPr>
        <w:t>[36] LI Y, et al. Assessment of efficacy and safety of UV-based therapy for psoriasis: a network meta-analysis[J]. Annals of Medicine, 2022, 54(1): 159-169.</w:t>
      </w:r>
    </w:p>
    <w:p w14:paraId="550D5F70">
      <w:pPr>
        <w:ind w:left="420" w:hanging="420" w:hangingChars="200"/>
        <w:rPr>
          <w:rFonts w:ascii="Times New Roman" w:hAnsi="Times New Roman" w:cs="Times New Roman"/>
          <w:sz w:val="21"/>
          <w:szCs w:val="21"/>
        </w:rPr>
      </w:pPr>
      <w:r>
        <w:rPr>
          <w:rFonts w:ascii="Times New Roman" w:hAnsi="Times New Roman" w:cs="Times New Roman"/>
          <w:sz w:val="21"/>
          <w:szCs w:val="21"/>
        </w:rPr>
        <w:t>[37] 王姿月, 彭彧婷, 陈爱军, 等. 银屑病光疗作用靶点及其分子机制[J]. 中国皮肤性病学杂志, 2022, 36(10): 1113-1117.</w:t>
      </w:r>
    </w:p>
    <w:p w14:paraId="7D13223A">
      <w:pPr>
        <w:ind w:left="420" w:hanging="420" w:hangingChars="200"/>
        <w:rPr>
          <w:rFonts w:ascii="Times New Roman" w:hAnsi="Times New Roman" w:cs="Times New Roman"/>
          <w:sz w:val="21"/>
          <w:szCs w:val="21"/>
        </w:rPr>
      </w:pPr>
      <w:r>
        <w:rPr>
          <w:rFonts w:ascii="Times New Roman" w:hAnsi="Times New Roman" w:cs="Times New Roman"/>
          <w:sz w:val="21"/>
          <w:szCs w:val="21"/>
        </w:rPr>
        <w:t>[38] ZHANG P, WU MX. A clinical review of phototherapy for psoriasis[J]. Lasers in Medical Science, 2018, 33(1): 173-180.</w:t>
      </w:r>
    </w:p>
    <w:p w14:paraId="62150367">
      <w:pPr>
        <w:ind w:left="420" w:hanging="420" w:hangingChars="200"/>
        <w:rPr>
          <w:rFonts w:ascii="Times New Roman" w:hAnsi="Times New Roman" w:cs="Times New Roman"/>
          <w:sz w:val="21"/>
          <w:szCs w:val="21"/>
        </w:rPr>
      </w:pPr>
      <w:r>
        <w:rPr>
          <w:rFonts w:ascii="Times New Roman" w:hAnsi="Times New Roman" w:cs="Times New Roman"/>
          <w:sz w:val="21"/>
          <w:szCs w:val="21"/>
        </w:rPr>
        <w:t>[39] YE J, HUANG H, LUO G, et al. NB-UVB irradiation attenuates inflammatory response in psoriasis[J]. Dermatologic Therapy, 2020, 33(4): e13626.</w:t>
      </w:r>
    </w:p>
    <w:p w14:paraId="5B307BAE">
      <w:pPr>
        <w:ind w:left="420" w:hanging="420" w:hangingChars="200"/>
        <w:rPr>
          <w:rFonts w:ascii="Times New Roman" w:hAnsi="Times New Roman" w:cs="Times New Roman"/>
          <w:sz w:val="21"/>
          <w:szCs w:val="21"/>
        </w:rPr>
      </w:pPr>
      <w:r>
        <w:rPr>
          <w:rFonts w:ascii="Times New Roman" w:hAnsi="Times New Roman" w:cs="Times New Roman"/>
          <w:sz w:val="21"/>
          <w:szCs w:val="21"/>
        </w:rPr>
        <w:t>[40] BATYCKA-BARAN A, BESGEN P, WOLF R, et al. Effect of phototherapy on systemic inflammation in psoriasis[J]. Photochemistry and Photobiology B, 2016, 161: 396-401.</w:t>
      </w:r>
    </w:p>
    <w:p w14:paraId="6E05A650">
      <w:pPr>
        <w:ind w:left="420" w:hanging="420" w:hangingChars="200"/>
        <w:rPr>
          <w:rFonts w:ascii="Times New Roman" w:hAnsi="Times New Roman" w:cs="Times New Roman"/>
          <w:sz w:val="21"/>
          <w:szCs w:val="21"/>
        </w:rPr>
      </w:pPr>
      <w:r>
        <w:rPr>
          <w:rFonts w:ascii="Times New Roman" w:hAnsi="Times New Roman" w:cs="Times New Roman"/>
          <w:sz w:val="21"/>
          <w:szCs w:val="21"/>
        </w:rPr>
        <w:t>[41] METWALLY D, SAYED K, ABDEL HAY R, et al. Reduction in tissue plasmin: a new mechanism of NB-UVB in psoriasis[J]. Clinical and Experimental Dermatology, 2015, 40(4): 416-420.</w:t>
      </w:r>
    </w:p>
    <w:p w14:paraId="69CA3EAD">
      <w:pPr>
        <w:ind w:left="420" w:hanging="420" w:hangingChars="200"/>
        <w:rPr>
          <w:rFonts w:ascii="Times New Roman" w:hAnsi="Times New Roman" w:cs="Times New Roman"/>
          <w:sz w:val="21"/>
          <w:szCs w:val="21"/>
        </w:rPr>
      </w:pPr>
      <w:r>
        <w:rPr>
          <w:rFonts w:ascii="Times New Roman" w:hAnsi="Times New Roman" w:cs="Times New Roman"/>
          <w:sz w:val="21"/>
          <w:szCs w:val="21"/>
        </w:rPr>
        <w:t>[42] ELMETS CA, LIM HW, DAVIS DMR, et al. Guidelines of care for psoriasis with phototherapy[J]. Journal of the American Academy of Dermatology, 2019, 81(3): 775-804.</w:t>
      </w:r>
    </w:p>
    <w:p w14:paraId="0ED3572E">
      <w:pPr>
        <w:ind w:left="420" w:hanging="420" w:hangingChars="200"/>
        <w:rPr>
          <w:rFonts w:ascii="Times New Roman" w:hAnsi="Times New Roman" w:cs="Times New Roman"/>
          <w:sz w:val="21"/>
          <w:szCs w:val="21"/>
        </w:rPr>
      </w:pPr>
      <w:r>
        <w:rPr>
          <w:rFonts w:ascii="Times New Roman" w:hAnsi="Times New Roman" w:cs="Times New Roman"/>
          <w:sz w:val="21"/>
          <w:szCs w:val="21"/>
        </w:rPr>
        <w:t>[43] REDON E, BURSZTEJN AC, LOOS C, et al. UVB-TL01 vs PUVA in palmoplantar psoriasis[J]. Annales de Dermatologie et de Vénéréologie, 2010, 137(10): 597-603.</w:t>
      </w:r>
    </w:p>
    <w:p w14:paraId="5CC43B81">
      <w:pPr>
        <w:ind w:left="420" w:hanging="420" w:hangingChars="200"/>
        <w:rPr>
          <w:rFonts w:ascii="Times New Roman" w:hAnsi="Times New Roman" w:cs="Times New Roman"/>
          <w:sz w:val="21"/>
          <w:szCs w:val="21"/>
        </w:rPr>
      </w:pPr>
      <w:r>
        <w:rPr>
          <w:rFonts w:ascii="Times New Roman" w:hAnsi="Times New Roman" w:cs="Times New Roman"/>
          <w:sz w:val="21"/>
          <w:szCs w:val="21"/>
        </w:rPr>
        <w:t>[44] GÖKDEMIR G, KIVANÇ-ALTUNAY I, KÖŞLÜ A. NB-UVB phototherapy efficacy in psoriasis subtypes[J]. Journal of Dermatology, 2005, 32(6): 436-441.</w:t>
      </w:r>
    </w:p>
    <w:p w14:paraId="6F2B9BC0">
      <w:pPr>
        <w:ind w:left="420" w:hanging="420" w:hangingChars="200"/>
        <w:rPr>
          <w:rFonts w:ascii="Times New Roman" w:hAnsi="Times New Roman" w:cs="Times New Roman"/>
          <w:sz w:val="21"/>
          <w:szCs w:val="21"/>
        </w:rPr>
      </w:pPr>
      <w:r>
        <w:rPr>
          <w:rFonts w:ascii="Times New Roman" w:hAnsi="Times New Roman" w:cs="Times New Roman"/>
          <w:sz w:val="21"/>
          <w:szCs w:val="21"/>
        </w:rPr>
        <w:t>[45] CHEN XM, YANG M, CHENG Y, et al. NB-UVB vs BB-UVB or PUVA for psoriasis[J]. Cochrane Database of Systematic Reviews, 2013(10): CD009481.</w:t>
      </w:r>
    </w:p>
    <w:p w14:paraId="7703176C">
      <w:pPr>
        <w:ind w:left="420" w:hanging="420" w:hangingChars="200"/>
        <w:rPr>
          <w:rFonts w:ascii="Times New Roman" w:hAnsi="Times New Roman" w:cs="Times New Roman"/>
          <w:sz w:val="21"/>
          <w:szCs w:val="21"/>
        </w:rPr>
      </w:pPr>
      <w:r>
        <w:rPr>
          <w:rFonts w:ascii="Times New Roman" w:hAnsi="Times New Roman" w:cs="Times New Roman"/>
          <w:sz w:val="21"/>
          <w:szCs w:val="21"/>
        </w:rPr>
        <w:t>[46] SINGH RK, LEE KM, JOSE MV, et al. The patient’s guide to psoriasis treatment: UVB phototherapy[J]. Dermatology and Therapy, 2016, 6(3): 307-313.</w:t>
      </w:r>
    </w:p>
    <w:p w14:paraId="62DCFBFA">
      <w:pPr>
        <w:pStyle w:val="56"/>
        <w:spacing w:after="0"/>
        <w:ind w:left="420" w:hanging="420" w:hangingChars="200"/>
        <w:jc w:val="left"/>
        <w:rPr>
          <w:rFonts w:ascii="Times New Roman" w:hAnsi="Times New Roman" w:eastAsia="宋体" w:cs="Times New Roman"/>
          <w:kern w:val="0"/>
          <w:szCs w:val="21"/>
        </w:rPr>
      </w:pPr>
      <w:r>
        <w:rPr>
          <w:rFonts w:ascii="Times New Roman" w:hAnsi="Times New Roman" w:cs="Times New Roman"/>
          <w:szCs w:val="21"/>
        </w:rPr>
        <w:t>[47] ASZTALOS ML, HELLER MM, et al. Impact of emollients on phototherapy[J]. Journal of the American Academy of Dermatology, 2013, 68: 817-824.</w:t>
      </w:r>
      <w:r>
        <w:rPr>
          <w:rFonts w:ascii="Times New Roman" w:hAnsi="Times New Roman" w:cs="Times New Roman"/>
        </w:rPr>
        <mc:AlternateContent>
          <mc:Choice Requires="wps">
            <w:drawing>
              <wp:anchor distT="0" distB="0" distL="114300" distR="114300" simplePos="0" relativeHeight="251661312" behindDoc="0" locked="0" layoutInCell="1" allowOverlap="1">
                <wp:simplePos x="0" y="0"/>
                <wp:positionH relativeFrom="column">
                  <wp:posOffset>2101850</wp:posOffset>
                </wp:positionH>
                <wp:positionV relativeFrom="paragraph">
                  <wp:posOffset>8244840</wp:posOffset>
                </wp:positionV>
                <wp:extent cx="1680845" cy="0"/>
                <wp:effectExtent l="0" t="0" r="0" b="0"/>
                <wp:wrapNone/>
                <wp:docPr id="1248934158" name="直接连接符 7"/>
                <wp:cNvGraphicFramePr/>
                <a:graphic xmlns:a="http://schemas.openxmlformats.org/drawingml/2006/main">
                  <a:graphicData uri="http://schemas.microsoft.com/office/word/2010/wordprocessingShape">
                    <wps:wsp>
                      <wps:cNvCnPr/>
                      <wps:spPr>
                        <a:xfrm>
                          <a:off x="0" y="0"/>
                          <a:ext cx="16808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7" o:spid="_x0000_s1026" o:spt="20" style="position:absolute;left:0pt;margin-left:165.5pt;margin-top:649.2pt;height:0pt;width:132.35pt;z-index:251661312;mso-width-relative:page;mso-height-relative:page;" filled="f" stroked="t" coordsize="21600,21600" o:gfxdata="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DqhT23ZAAAADQEAAA8AAAAAAAAAAQAgAAAAIgAAAGRycy9kb3ducmV2LnhtbFBLAQIUABQAAAAI&#10;AIdO4kAwqc+i7AEAALoDAAAOAAAAAAAAAAEAIAAAACgBAABkcnMvZTJvRG9jLnhtbFBLBQYAAAAA&#10;BgAGAFkBAACGBQAAAAA=&#10;">
                <v:fill on="f" focussize="0,0"/>
                <v:stroke weight="0.5pt" color="#000000 [3200]" miterlimit="8" joinstyle="miter"/>
                <v:imagedata o:title=""/>
                <o:lock v:ext="edit" aspectratio="f"/>
              </v:line>
            </w:pict>
          </mc:Fallback>
        </mc:AlternateContent>
      </w:r>
    </w:p>
    <w:sectPr>
      <w:footerReference r:id="rId9"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AdvOTd1f5cc91.B">
    <w:altName w:val="Calibri"/>
    <w:panose1 w:val="00000000000000000000"/>
    <w:charset w:val="00"/>
    <w:family w:val="swiss"/>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Times New Roman Bold">
    <w:altName w:val="Times New Roman"/>
    <w:panose1 w:val="02020803070505020304"/>
    <w:charset w:val="00"/>
    <w:family w:val="auto"/>
    <w:pitch w:val="default"/>
    <w:sig w:usb0="00000000" w:usb1="00000000" w:usb2="00000001" w:usb3="00000000" w:csb0="400001BF" w:csb1="DFF7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Webdings">
    <w:panose1 w:val="05030102010509060703"/>
    <w:charset w:val="02"/>
    <w:family w:val="roman"/>
    <w:pitch w:val="default"/>
    <w:sig w:usb0="00000000" w:usb1="00000000" w:usb2="00000000" w:usb3="00000000" w:csb0="80000000" w:csb1="00000000"/>
  </w:font>
  <w:font w:name="Wingdings 2">
    <w:panose1 w:val="05020102010507070707"/>
    <w:charset w:val="02"/>
    <w:family w:val="roman"/>
    <w:pitch w:val="default"/>
    <w:sig w:usb0="00000000" w:usb1="00000000" w:usb2="00000000" w:usb3="00000000" w:csb0="80000000" w:csb1="00000000"/>
  </w:font>
  <w:font w:name="Segoe UI Symbol">
    <w:panose1 w:val="020B0502040204020203"/>
    <w:charset w:val="00"/>
    <w:family w:val="swiss"/>
    <w:pitch w:val="default"/>
    <w:sig w:usb0="800001E3" w:usb1="1200FFEF" w:usb2="00040000" w:usb3="04000000"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C6BC9">
    <w:pPr>
      <w:pStyle w:val="11"/>
    </w:pPr>
    <w: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8BD110">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698BD110">
                    <w:pPr>
                      <w:pStyle w:val="11"/>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B8D5F1">
    <w:pPr>
      <w:pStyle w:val="11"/>
    </w:pPr>
    <w: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BDBFAC">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41BDBFAC">
                    <w:pPr>
                      <w:pStyle w:val="11"/>
                    </w:pPr>
                    <w:r>
                      <w:fldChar w:fldCharType="begin"/>
                    </w:r>
                    <w:r>
                      <w:instrText xml:space="preserve"> PAGE  \* MERGEFORMAT </w:instrText>
                    </w:r>
                    <w:r>
                      <w:fldChar w:fldCharType="separate"/>
                    </w:r>
                    <w:r>
                      <w:t>I</w:t>
                    </w:r>
                    <w:r>
                      <w:fldChar w:fldCharType="end"/>
                    </w:r>
                  </w:p>
                </w:txbxContent>
              </v:textbox>
            </v:shape>
          </w:pict>
        </mc:Fallback>
      </mc:AlternateContent>
    </w:r>
  </w:p>
  <w:p w14:paraId="31F44762">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1BE236">
    <w:pPr>
      <w:pStyle w:val="11"/>
    </w:pPr>
    <w: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59D49E">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6F59D49E">
                    <w:pPr>
                      <w:pStyle w:val="11"/>
                    </w:pPr>
                    <w:r>
                      <w:fldChar w:fldCharType="begin"/>
                    </w:r>
                    <w:r>
                      <w:instrText xml:space="preserve"> PAGE  \* MERGEFORMAT </w:instrText>
                    </w:r>
                    <w:r>
                      <w:fldChar w:fldCharType="separate"/>
                    </w:r>
                    <w:r>
                      <w:t>I</w:t>
                    </w:r>
                    <w:r>
                      <w:fldChar w:fldCharType="end"/>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4ABF7E">
                          <w:pPr>
                            <w:pStyle w:val="11"/>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04ABF7E">
                    <w:pPr>
                      <w:pStyle w:val="11"/>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41BB93">
    <w:pPr>
      <w:pStyle w:val="11"/>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eastAsia" w:ascii="宋体" w:hAnsi="宋体" w:eastAsia="宋体" w:cs="宋体"/>
                            </w:rPr>
                            <w:id w:val="147456404"/>
                          </w:sdtPr>
                          <w:sdtEndPr>
                            <w:rPr>
                              <w:rFonts w:hint="eastAsia" w:ascii="宋体" w:hAnsi="宋体" w:eastAsia="宋体" w:cs="宋体"/>
                            </w:rPr>
                          </w:sdtEndPr>
                          <w:sdtContent>
                            <w:p w14:paraId="3D3CF063">
                              <w:pPr>
                                <w:pStyle w:val="11"/>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PAGE   \* MERGEFORMAT</w:instrText>
                              </w:r>
                              <w:r>
                                <w:rPr>
                                  <w:rFonts w:hint="eastAsia" w:ascii="宋体" w:hAnsi="宋体" w:eastAsia="宋体" w:cs="宋体"/>
                                </w:rPr>
                                <w:fldChar w:fldCharType="separate"/>
                              </w:r>
                              <w:r>
                                <w:rPr>
                                  <w:rFonts w:hint="eastAsia" w:ascii="宋体" w:hAnsi="宋体" w:eastAsia="宋体" w:cs="宋体"/>
                                  <w:lang w:val="zh-CN"/>
                                </w:rPr>
                                <w:t>2</w:t>
                              </w:r>
                              <w:r>
                                <w:rPr>
                                  <w:rFonts w:hint="eastAsia" w:ascii="宋体" w:hAnsi="宋体" w:eastAsia="宋体" w:cs="宋体"/>
                                </w:rPr>
                                <w:fldChar w:fldCharType="end"/>
                              </w:r>
                            </w:p>
                          </w:sdtContent>
                        </w:sdt>
                        <w:p w14:paraId="65DEE499">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sdt>
                    <w:sdtPr>
                      <w:rPr>
                        <w:rFonts w:hint="eastAsia" w:ascii="宋体" w:hAnsi="宋体" w:eastAsia="宋体" w:cs="宋体"/>
                      </w:rPr>
                      <w:id w:val="147456404"/>
                    </w:sdtPr>
                    <w:sdtEndPr>
                      <w:rPr>
                        <w:rFonts w:hint="eastAsia" w:ascii="宋体" w:hAnsi="宋体" w:eastAsia="宋体" w:cs="宋体"/>
                      </w:rPr>
                    </w:sdtEndPr>
                    <w:sdtContent>
                      <w:p w14:paraId="3D3CF063">
                        <w:pPr>
                          <w:pStyle w:val="11"/>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PAGE   \* MERGEFORMAT</w:instrText>
                        </w:r>
                        <w:r>
                          <w:rPr>
                            <w:rFonts w:hint="eastAsia" w:ascii="宋体" w:hAnsi="宋体" w:eastAsia="宋体" w:cs="宋体"/>
                          </w:rPr>
                          <w:fldChar w:fldCharType="separate"/>
                        </w:r>
                        <w:r>
                          <w:rPr>
                            <w:rFonts w:hint="eastAsia" w:ascii="宋体" w:hAnsi="宋体" w:eastAsia="宋体" w:cs="宋体"/>
                            <w:lang w:val="zh-CN"/>
                          </w:rPr>
                          <w:t>2</w:t>
                        </w:r>
                        <w:r>
                          <w:rPr>
                            <w:rFonts w:hint="eastAsia" w:ascii="宋体" w:hAnsi="宋体" w:eastAsia="宋体" w:cs="宋体"/>
                          </w:rPr>
                          <w:fldChar w:fldCharType="end"/>
                        </w:r>
                      </w:p>
                    </w:sdtContent>
                  </w:sdt>
                  <w:p w14:paraId="65DEE499">
                    <w:pPr>
                      <w:rPr>
                        <w:rFonts w:hint="eastAsia"/>
                      </w:rPr>
                    </w:pPr>
                  </w:p>
                </w:txbxContent>
              </v:textbox>
            </v:shape>
          </w:pict>
        </mc:Fallback>
      </mc:AlternateContent>
    </w:r>
  </w:p>
  <w:p w14:paraId="52C5E5D2">
    <w:pPr>
      <w:pStyle w:val="1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3E0CE9">
    <w:pPr>
      <w:pStyle w:val="11"/>
      <w:tabs>
        <w:tab w:val="left" w:pos="7580"/>
        <w:tab w:val="right" w:pos="8426"/>
      </w:tabs>
    </w:pPr>
    <w:r>
      <mc:AlternateContent>
        <mc:Choice Requires="wps">
          <w:drawing>
            <wp:anchor distT="0" distB="0" distL="114300" distR="114300" simplePos="0" relativeHeight="251667456"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24975419"/>
                          </w:sdtPr>
                          <w:sdtContent>
                            <w:p w14:paraId="0E210AB1">
                              <w:pPr>
                                <w:pStyle w:val="11"/>
                                <w:jc w:val="right"/>
                              </w:pPr>
                              <w:r>
                                <w:rPr>
                                  <w:rFonts w:hint="eastAsia" w:ascii="宋体" w:hAnsi="宋体" w:eastAsia="宋体" w:cs="宋体"/>
                                </w:rPr>
                                <w:fldChar w:fldCharType="begin"/>
                              </w:r>
                              <w:r>
                                <w:rPr>
                                  <w:rFonts w:hint="eastAsia" w:ascii="宋体" w:hAnsi="宋体" w:eastAsia="宋体" w:cs="宋体"/>
                                </w:rPr>
                                <w:instrText xml:space="preserve">PAGE   \* MERGEFORMAT</w:instrText>
                              </w:r>
                              <w:r>
                                <w:rPr>
                                  <w:rFonts w:hint="eastAsia" w:ascii="宋体" w:hAnsi="宋体" w:eastAsia="宋体" w:cs="宋体"/>
                                </w:rPr>
                                <w:fldChar w:fldCharType="separate"/>
                              </w:r>
                              <w:r>
                                <w:rPr>
                                  <w:rFonts w:hint="eastAsia" w:ascii="宋体" w:hAnsi="宋体" w:eastAsia="宋体" w:cs="宋体"/>
                                  <w:lang w:val="zh-CN"/>
                                </w:rPr>
                                <w:t>2</w:t>
                              </w:r>
                              <w:r>
                                <w:rPr>
                                  <w:rFonts w:hint="eastAsia" w:ascii="宋体" w:hAnsi="宋体" w:eastAsia="宋体" w:cs="宋体"/>
                                </w:rPr>
                                <w:fldChar w:fldCharType="end"/>
                              </w:r>
                            </w:p>
                          </w:sdtContent>
                        </w:sdt>
                        <w:p w14:paraId="24A3E0B9">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sdt>
                    <w:sdtPr>
                      <w:id w:val="124975419"/>
                    </w:sdtPr>
                    <w:sdtContent>
                      <w:p w14:paraId="0E210AB1">
                        <w:pPr>
                          <w:pStyle w:val="11"/>
                          <w:jc w:val="right"/>
                        </w:pPr>
                        <w:r>
                          <w:rPr>
                            <w:rFonts w:hint="eastAsia" w:ascii="宋体" w:hAnsi="宋体" w:eastAsia="宋体" w:cs="宋体"/>
                          </w:rPr>
                          <w:fldChar w:fldCharType="begin"/>
                        </w:r>
                        <w:r>
                          <w:rPr>
                            <w:rFonts w:hint="eastAsia" w:ascii="宋体" w:hAnsi="宋体" w:eastAsia="宋体" w:cs="宋体"/>
                          </w:rPr>
                          <w:instrText xml:space="preserve">PAGE   \* MERGEFORMAT</w:instrText>
                        </w:r>
                        <w:r>
                          <w:rPr>
                            <w:rFonts w:hint="eastAsia" w:ascii="宋体" w:hAnsi="宋体" w:eastAsia="宋体" w:cs="宋体"/>
                          </w:rPr>
                          <w:fldChar w:fldCharType="separate"/>
                        </w:r>
                        <w:r>
                          <w:rPr>
                            <w:rFonts w:hint="eastAsia" w:ascii="宋体" w:hAnsi="宋体" w:eastAsia="宋体" w:cs="宋体"/>
                            <w:lang w:val="zh-CN"/>
                          </w:rPr>
                          <w:t>2</w:t>
                        </w:r>
                        <w:r>
                          <w:rPr>
                            <w:rFonts w:hint="eastAsia" w:ascii="宋体" w:hAnsi="宋体" w:eastAsia="宋体" w:cs="宋体"/>
                          </w:rPr>
                          <w:fldChar w:fldCharType="end"/>
                        </w:r>
                      </w:p>
                    </w:sdtContent>
                  </w:sdt>
                  <w:p w14:paraId="24A3E0B9">
                    <w:pPr>
                      <w:rPr>
                        <w:rFonts w:hint="eastAsia"/>
                      </w:rPr>
                    </w:pPr>
                  </w:p>
                </w:txbxContent>
              </v:textbox>
            </v:shape>
          </w:pict>
        </mc:Fallback>
      </mc:AlternateContent>
    </w:r>
    <w:r>
      <w:rPr>
        <w:rFonts w:hint="eastAsia"/>
      </w:rPr>
      <w:tab/>
    </w:r>
    <w:r>
      <w:rPr>
        <w:rFonts w:hint="eastAsia"/>
      </w:rPr>
      <w:tab/>
    </w:r>
    <w:r>
      <w:rPr>
        <w:rFonts w:hint="eastAsia"/>
      </w:rPr>
      <w:tab/>
    </w:r>
  </w:p>
  <w:p w14:paraId="35820669">
    <w:pPr>
      <w:pStyle w:val="11"/>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C7A849">
    <w:pPr>
      <w:pStyle w:val="11"/>
      <w:jc w:val="right"/>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5E53E7">
                          <w:pPr>
                            <w:pStyle w:val="11"/>
                          </w:pP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III</w:t>
                          </w:r>
                          <w:r>
                            <w:rPr>
                              <w:rFonts w:hint="eastAsia" w:ascii="宋体" w:hAnsi="宋体" w:eastAsia="宋体" w:cs="宋体"/>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5E5E53E7">
                    <w:pPr>
                      <w:pStyle w:val="11"/>
                    </w:pP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III</w:t>
                    </w:r>
                    <w:r>
                      <w:rPr>
                        <w:rFonts w:hint="eastAsia" w:ascii="宋体" w:hAnsi="宋体" w:eastAsia="宋体" w:cs="宋体"/>
                      </w:rPr>
                      <w:fldChar w:fldCharType="end"/>
                    </w:r>
                  </w:p>
                </w:txbxContent>
              </v:textbox>
            </v:shape>
          </w:pict>
        </mc:Fallback>
      </mc:AlternateContent>
    </w:r>
  </w:p>
  <w:p w14:paraId="258FB776">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5EBA0">
    <w:pPr>
      <w:pStyle w:val="12"/>
      <w:pBdr>
        <w:bottom w:val="none" w:color="auto" w:sz="0" w:space="1"/>
      </w:pBdr>
      <w:jc w:val="left"/>
      <w:rPr>
        <w:rFonts w:ascii="Times New Roman" w:hAnsi="Times New Roman" w:eastAsia="宋体" w:cs="Times New Roman"/>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XXX—202X</w:t>
    </w:r>
  </w:p>
  <w:p w14:paraId="3CAD3B35">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9DF5BF"/>
    <w:multiLevelType w:val="singleLevel"/>
    <w:tmpl w:val="C09DF5BF"/>
    <w:lvl w:ilvl="0" w:tentative="0">
      <w:start w:val="1"/>
      <w:numFmt w:val="lowerLetter"/>
      <w:suff w:val="space"/>
      <w:lvlText w:val="%1)"/>
      <w:lvlJc w:val="left"/>
    </w:lvl>
  </w:abstractNum>
  <w:abstractNum w:abstractNumId="1">
    <w:nsid w:val="00000001"/>
    <w:multiLevelType w:val="multilevel"/>
    <w:tmpl w:val="00000001"/>
    <w:lvl w:ilvl="0" w:tentative="0">
      <w:start w:val="1"/>
      <w:numFmt w:val="decimal"/>
      <w:lvlText w:val="%1"/>
      <w:lvlJc w:val="left"/>
      <w:pPr>
        <w:ind w:left="597" w:hanging="440"/>
      </w:pPr>
      <w:rPr>
        <w:rFonts w:hint="default" w:ascii="黑体" w:hAnsi="黑体" w:eastAsia="黑体" w:cs="黑体"/>
        <w:b w:val="0"/>
        <w:bCs w:val="0"/>
        <w:sz w:val="21"/>
        <w:szCs w:val="21"/>
      </w:rPr>
    </w:lvl>
    <w:lvl w:ilvl="1" w:tentative="0">
      <w:start w:val="1"/>
      <w:numFmt w:val="decimal"/>
      <w:lvlText w:val="%1.%2"/>
      <w:lvlJc w:val="left"/>
      <w:pPr>
        <w:ind w:left="360" w:hanging="360"/>
      </w:pPr>
      <w:rPr>
        <w:rFonts w:hint="default" w:ascii="黑体" w:hAnsi="黑体" w:eastAsia="黑体" w:cs="黑体"/>
        <w:b w:val="0"/>
        <w:bCs w:val="0"/>
        <w:sz w:val="21"/>
        <w:szCs w:val="21"/>
      </w:rPr>
    </w:lvl>
    <w:lvl w:ilvl="2" w:tentative="0">
      <w:start w:val="1"/>
      <w:numFmt w:val="decimal"/>
      <w:lvlText w:val="%1.%2.%3"/>
      <w:lvlJc w:val="left"/>
      <w:pPr>
        <w:ind w:left="720" w:hanging="720"/>
      </w:pPr>
      <w:rPr>
        <w:rFonts w:hint="default" w:ascii="黑体" w:hAnsi="黑体" w:eastAsia="黑体" w:cs="黑体"/>
        <w:b w:val="0"/>
        <w:bCs w:val="0"/>
        <w:sz w:val="21"/>
        <w:szCs w:val="21"/>
      </w:rPr>
    </w:lvl>
    <w:lvl w:ilvl="3" w:tentative="0">
      <w:start w:val="1"/>
      <w:numFmt w:val="decimal"/>
      <w:lvlText w:val="%1.%2.%3.%4"/>
      <w:lvlJc w:val="left"/>
      <w:pPr>
        <w:ind w:left="877" w:hanging="720"/>
      </w:pPr>
      <w:rPr>
        <w:rFonts w:hint="default"/>
      </w:rPr>
    </w:lvl>
    <w:lvl w:ilvl="4" w:tentative="0">
      <w:start w:val="1"/>
      <w:numFmt w:val="decimal"/>
      <w:lvlText w:val="%1.%2.%3.%4.%5"/>
      <w:lvlJc w:val="left"/>
      <w:pPr>
        <w:ind w:left="1237" w:hanging="1080"/>
      </w:pPr>
      <w:rPr>
        <w:rFonts w:hint="default"/>
      </w:rPr>
    </w:lvl>
    <w:lvl w:ilvl="5" w:tentative="0">
      <w:start w:val="1"/>
      <w:numFmt w:val="decimal"/>
      <w:lvlText w:val="%1.%2.%3.%4.%5.%6"/>
      <w:lvlJc w:val="left"/>
      <w:pPr>
        <w:ind w:left="1237" w:hanging="1080"/>
      </w:pPr>
      <w:rPr>
        <w:rFonts w:hint="default"/>
      </w:rPr>
    </w:lvl>
    <w:lvl w:ilvl="6" w:tentative="0">
      <w:start w:val="1"/>
      <w:numFmt w:val="decimal"/>
      <w:lvlText w:val="%1.%2.%3.%4.%5.%6.%7"/>
      <w:lvlJc w:val="left"/>
      <w:pPr>
        <w:ind w:left="1597" w:hanging="1440"/>
      </w:pPr>
      <w:rPr>
        <w:rFonts w:hint="default"/>
      </w:rPr>
    </w:lvl>
    <w:lvl w:ilvl="7" w:tentative="0">
      <w:start w:val="1"/>
      <w:numFmt w:val="decimal"/>
      <w:lvlText w:val="%1.%2.%3.%4.%5.%6.%7.%8"/>
      <w:lvlJc w:val="left"/>
      <w:pPr>
        <w:ind w:left="1597" w:hanging="1440"/>
      </w:pPr>
      <w:rPr>
        <w:rFonts w:hint="default"/>
      </w:rPr>
    </w:lvl>
    <w:lvl w:ilvl="8" w:tentative="0">
      <w:start w:val="1"/>
      <w:numFmt w:val="decimal"/>
      <w:lvlText w:val="%1.%2.%3.%4.%5.%6.%7.%8.%9"/>
      <w:lvlJc w:val="left"/>
      <w:pPr>
        <w:ind w:left="1957" w:hanging="1800"/>
      </w:pPr>
      <w:rPr>
        <w:rFonts w:hint="default"/>
      </w:rPr>
    </w:lvl>
  </w:abstractNum>
  <w:abstractNum w:abstractNumId="2">
    <w:nsid w:val="1E08F12A"/>
    <w:multiLevelType w:val="singleLevel"/>
    <w:tmpl w:val="1E08F12A"/>
    <w:lvl w:ilvl="0" w:tentative="0">
      <w:start w:val="1"/>
      <w:numFmt w:val="decimal"/>
      <w:suff w:val="space"/>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hideGrammaticalErrors/>
  <w:documentProtection w:enforcement="0"/>
  <w:defaultTabStop w:val="420"/>
  <w:drawingGridHorizontalSpacing w:val="105"/>
  <w:drawingGridVerticalSpacing w:val="156"/>
  <w:displayHorizontalDrawingGridEvery w:val="0"/>
  <w:displayVerticalDrawingGridEvery w:val="2"/>
  <w:characterSpacingControl w:val="doNotCompress"/>
  <w:compat>
    <w:balanceSingleByteDoubleByteWidth/>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9B2B1B"/>
    <w:rsid w:val="00004030"/>
    <w:rsid w:val="00013E96"/>
    <w:rsid w:val="000140B1"/>
    <w:rsid w:val="00020E52"/>
    <w:rsid w:val="00023E42"/>
    <w:rsid w:val="00026C45"/>
    <w:rsid w:val="00032EAC"/>
    <w:rsid w:val="000404B9"/>
    <w:rsid w:val="000407AF"/>
    <w:rsid w:val="00041180"/>
    <w:rsid w:val="00047BBC"/>
    <w:rsid w:val="000539D1"/>
    <w:rsid w:val="00056924"/>
    <w:rsid w:val="000608E4"/>
    <w:rsid w:val="000658FC"/>
    <w:rsid w:val="000725FD"/>
    <w:rsid w:val="000727FB"/>
    <w:rsid w:val="000767D8"/>
    <w:rsid w:val="00081F35"/>
    <w:rsid w:val="00085723"/>
    <w:rsid w:val="00095844"/>
    <w:rsid w:val="000A1155"/>
    <w:rsid w:val="000A5D23"/>
    <w:rsid w:val="000A61A1"/>
    <w:rsid w:val="000B0096"/>
    <w:rsid w:val="000B3731"/>
    <w:rsid w:val="000B5318"/>
    <w:rsid w:val="000C1D81"/>
    <w:rsid w:val="000C39D8"/>
    <w:rsid w:val="000C5127"/>
    <w:rsid w:val="000D0BEF"/>
    <w:rsid w:val="000D3E4C"/>
    <w:rsid w:val="000E4A45"/>
    <w:rsid w:val="000E4BA9"/>
    <w:rsid w:val="00101A82"/>
    <w:rsid w:val="00101FC8"/>
    <w:rsid w:val="001045F7"/>
    <w:rsid w:val="00110FFC"/>
    <w:rsid w:val="001113DD"/>
    <w:rsid w:val="00114F63"/>
    <w:rsid w:val="0011758F"/>
    <w:rsid w:val="00117B36"/>
    <w:rsid w:val="00120F5E"/>
    <w:rsid w:val="00132777"/>
    <w:rsid w:val="001403E9"/>
    <w:rsid w:val="00143899"/>
    <w:rsid w:val="00144386"/>
    <w:rsid w:val="00150210"/>
    <w:rsid w:val="0015221E"/>
    <w:rsid w:val="00153240"/>
    <w:rsid w:val="00154901"/>
    <w:rsid w:val="00156222"/>
    <w:rsid w:val="00161EB3"/>
    <w:rsid w:val="00165C06"/>
    <w:rsid w:val="00167DA7"/>
    <w:rsid w:val="00170921"/>
    <w:rsid w:val="0018349D"/>
    <w:rsid w:val="00186690"/>
    <w:rsid w:val="001879D9"/>
    <w:rsid w:val="00192529"/>
    <w:rsid w:val="001A2E4A"/>
    <w:rsid w:val="001B0258"/>
    <w:rsid w:val="001B5304"/>
    <w:rsid w:val="001B566F"/>
    <w:rsid w:val="001B6686"/>
    <w:rsid w:val="001B6A10"/>
    <w:rsid w:val="001B750E"/>
    <w:rsid w:val="001B7D1A"/>
    <w:rsid w:val="001C7F0A"/>
    <w:rsid w:val="001D3123"/>
    <w:rsid w:val="001E348D"/>
    <w:rsid w:val="001E4989"/>
    <w:rsid w:val="001F3021"/>
    <w:rsid w:val="001F37FE"/>
    <w:rsid w:val="001F3876"/>
    <w:rsid w:val="002013E9"/>
    <w:rsid w:val="00203312"/>
    <w:rsid w:val="00207A0A"/>
    <w:rsid w:val="002151CA"/>
    <w:rsid w:val="0022049C"/>
    <w:rsid w:val="00221982"/>
    <w:rsid w:val="0023403B"/>
    <w:rsid w:val="00241993"/>
    <w:rsid w:val="002576A2"/>
    <w:rsid w:val="00257930"/>
    <w:rsid w:val="00262CCB"/>
    <w:rsid w:val="00263F09"/>
    <w:rsid w:val="00271898"/>
    <w:rsid w:val="002806F4"/>
    <w:rsid w:val="002847AA"/>
    <w:rsid w:val="002A30E5"/>
    <w:rsid w:val="002B1378"/>
    <w:rsid w:val="002C240D"/>
    <w:rsid w:val="002C3D97"/>
    <w:rsid w:val="002C576B"/>
    <w:rsid w:val="002E18F9"/>
    <w:rsid w:val="002E2576"/>
    <w:rsid w:val="002E3540"/>
    <w:rsid w:val="002E60E6"/>
    <w:rsid w:val="002E7C1B"/>
    <w:rsid w:val="002F69E6"/>
    <w:rsid w:val="002F76EF"/>
    <w:rsid w:val="002F7D0C"/>
    <w:rsid w:val="003045A7"/>
    <w:rsid w:val="0031089A"/>
    <w:rsid w:val="003116F9"/>
    <w:rsid w:val="00315E3D"/>
    <w:rsid w:val="00317896"/>
    <w:rsid w:val="003345C4"/>
    <w:rsid w:val="00337489"/>
    <w:rsid w:val="0033752A"/>
    <w:rsid w:val="003412DC"/>
    <w:rsid w:val="0034384C"/>
    <w:rsid w:val="00345A21"/>
    <w:rsid w:val="003462A9"/>
    <w:rsid w:val="00357922"/>
    <w:rsid w:val="00360B28"/>
    <w:rsid w:val="0036139C"/>
    <w:rsid w:val="00364BC0"/>
    <w:rsid w:val="00370D41"/>
    <w:rsid w:val="003714A3"/>
    <w:rsid w:val="003727C0"/>
    <w:rsid w:val="00376C9F"/>
    <w:rsid w:val="00380519"/>
    <w:rsid w:val="00384784"/>
    <w:rsid w:val="0039077E"/>
    <w:rsid w:val="00391406"/>
    <w:rsid w:val="003943A6"/>
    <w:rsid w:val="00394F63"/>
    <w:rsid w:val="003A7C91"/>
    <w:rsid w:val="003A7F46"/>
    <w:rsid w:val="003B660D"/>
    <w:rsid w:val="003B7A9D"/>
    <w:rsid w:val="003C003A"/>
    <w:rsid w:val="003D007E"/>
    <w:rsid w:val="003D4F47"/>
    <w:rsid w:val="003E3D27"/>
    <w:rsid w:val="003F0011"/>
    <w:rsid w:val="003F0B3C"/>
    <w:rsid w:val="003F23F1"/>
    <w:rsid w:val="003F3649"/>
    <w:rsid w:val="003F5319"/>
    <w:rsid w:val="003F6AE5"/>
    <w:rsid w:val="004019B5"/>
    <w:rsid w:val="00402971"/>
    <w:rsid w:val="00415DD5"/>
    <w:rsid w:val="004207EA"/>
    <w:rsid w:val="00420A48"/>
    <w:rsid w:val="004237AC"/>
    <w:rsid w:val="00426287"/>
    <w:rsid w:val="00430CEF"/>
    <w:rsid w:val="0043124C"/>
    <w:rsid w:val="00437D0D"/>
    <w:rsid w:val="00450EB3"/>
    <w:rsid w:val="00451494"/>
    <w:rsid w:val="004520CC"/>
    <w:rsid w:val="00455FE3"/>
    <w:rsid w:val="00460ED4"/>
    <w:rsid w:val="00474EB6"/>
    <w:rsid w:val="00487E70"/>
    <w:rsid w:val="00490D52"/>
    <w:rsid w:val="00497FB8"/>
    <w:rsid w:val="004A53CA"/>
    <w:rsid w:val="004A7453"/>
    <w:rsid w:val="004B63D6"/>
    <w:rsid w:val="004C3C21"/>
    <w:rsid w:val="004D123A"/>
    <w:rsid w:val="004D4D4E"/>
    <w:rsid w:val="004D6113"/>
    <w:rsid w:val="004D6838"/>
    <w:rsid w:val="004D6F53"/>
    <w:rsid w:val="004E42C1"/>
    <w:rsid w:val="004E4DE2"/>
    <w:rsid w:val="004E768E"/>
    <w:rsid w:val="004F1173"/>
    <w:rsid w:val="004F256B"/>
    <w:rsid w:val="00500814"/>
    <w:rsid w:val="00501F90"/>
    <w:rsid w:val="005024CB"/>
    <w:rsid w:val="005055B2"/>
    <w:rsid w:val="00506283"/>
    <w:rsid w:val="00510649"/>
    <w:rsid w:val="00511056"/>
    <w:rsid w:val="0051219D"/>
    <w:rsid w:val="00517511"/>
    <w:rsid w:val="00527D32"/>
    <w:rsid w:val="00533065"/>
    <w:rsid w:val="00533698"/>
    <w:rsid w:val="005338EF"/>
    <w:rsid w:val="005350ED"/>
    <w:rsid w:val="00540882"/>
    <w:rsid w:val="00540D9E"/>
    <w:rsid w:val="00551F0B"/>
    <w:rsid w:val="0055257C"/>
    <w:rsid w:val="00553E48"/>
    <w:rsid w:val="00554AE1"/>
    <w:rsid w:val="0056265F"/>
    <w:rsid w:val="00563DAC"/>
    <w:rsid w:val="00564ADB"/>
    <w:rsid w:val="0056619C"/>
    <w:rsid w:val="00566577"/>
    <w:rsid w:val="00566FE2"/>
    <w:rsid w:val="0057064F"/>
    <w:rsid w:val="0057296F"/>
    <w:rsid w:val="00581F6A"/>
    <w:rsid w:val="00585872"/>
    <w:rsid w:val="00586184"/>
    <w:rsid w:val="005A08FA"/>
    <w:rsid w:val="005A434F"/>
    <w:rsid w:val="005A7862"/>
    <w:rsid w:val="005B04E6"/>
    <w:rsid w:val="005B09A1"/>
    <w:rsid w:val="005B6C22"/>
    <w:rsid w:val="005C59AF"/>
    <w:rsid w:val="005D55B2"/>
    <w:rsid w:val="005D7453"/>
    <w:rsid w:val="005E4A0F"/>
    <w:rsid w:val="005E69A0"/>
    <w:rsid w:val="005F3F6C"/>
    <w:rsid w:val="005F6564"/>
    <w:rsid w:val="005F6FCD"/>
    <w:rsid w:val="0060184A"/>
    <w:rsid w:val="00604DFB"/>
    <w:rsid w:val="0060693D"/>
    <w:rsid w:val="00607511"/>
    <w:rsid w:val="00607A60"/>
    <w:rsid w:val="00613EBE"/>
    <w:rsid w:val="0061750E"/>
    <w:rsid w:val="00621B97"/>
    <w:rsid w:val="006259AC"/>
    <w:rsid w:val="0063457D"/>
    <w:rsid w:val="0064027A"/>
    <w:rsid w:val="00642959"/>
    <w:rsid w:val="00650865"/>
    <w:rsid w:val="00650CE7"/>
    <w:rsid w:val="006575F1"/>
    <w:rsid w:val="0066284B"/>
    <w:rsid w:val="00664940"/>
    <w:rsid w:val="006734F9"/>
    <w:rsid w:val="006817A8"/>
    <w:rsid w:val="00682E61"/>
    <w:rsid w:val="00683FBC"/>
    <w:rsid w:val="006906C4"/>
    <w:rsid w:val="00693E01"/>
    <w:rsid w:val="006972AA"/>
    <w:rsid w:val="006A02D5"/>
    <w:rsid w:val="006A0FDB"/>
    <w:rsid w:val="006A7AC2"/>
    <w:rsid w:val="006B2E00"/>
    <w:rsid w:val="006B4443"/>
    <w:rsid w:val="006B482C"/>
    <w:rsid w:val="006C424F"/>
    <w:rsid w:val="006C7C51"/>
    <w:rsid w:val="006D3852"/>
    <w:rsid w:val="006D3C5E"/>
    <w:rsid w:val="006D48AB"/>
    <w:rsid w:val="006D759F"/>
    <w:rsid w:val="006E02E7"/>
    <w:rsid w:val="006E2D32"/>
    <w:rsid w:val="006E6086"/>
    <w:rsid w:val="006F0532"/>
    <w:rsid w:val="006F1A69"/>
    <w:rsid w:val="006F4E14"/>
    <w:rsid w:val="006F62B7"/>
    <w:rsid w:val="0070157D"/>
    <w:rsid w:val="00702B49"/>
    <w:rsid w:val="007049F8"/>
    <w:rsid w:val="0071055E"/>
    <w:rsid w:val="00712F4B"/>
    <w:rsid w:val="007140C5"/>
    <w:rsid w:val="007151C4"/>
    <w:rsid w:val="00715B2B"/>
    <w:rsid w:val="007216E0"/>
    <w:rsid w:val="00725D81"/>
    <w:rsid w:val="00726AE8"/>
    <w:rsid w:val="0073154B"/>
    <w:rsid w:val="00731B9D"/>
    <w:rsid w:val="00733BF2"/>
    <w:rsid w:val="007375A8"/>
    <w:rsid w:val="00747024"/>
    <w:rsid w:val="007470B3"/>
    <w:rsid w:val="00747BC1"/>
    <w:rsid w:val="00751E28"/>
    <w:rsid w:val="007628E8"/>
    <w:rsid w:val="0076302F"/>
    <w:rsid w:val="007660C7"/>
    <w:rsid w:val="00773F55"/>
    <w:rsid w:val="0078133D"/>
    <w:rsid w:val="00782709"/>
    <w:rsid w:val="0078397B"/>
    <w:rsid w:val="00785EFF"/>
    <w:rsid w:val="00795CAF"/>
    <w:rsid w:val="00796448"/>
    <w:rsid w:val="007A6384"/>
    <w:rsid w:val="007B5DDA"/>
    <w:rsid w:val="007B79FE"/>
    <w:rsid w:val="007C07AF"/>
    <w:rsid w:val="007C10D4"/>
    <w:rsid w:val="007C3CB4"/>
    <w:rsid w:val="007C3F2D"/>
    <w:rsid w:val="007C6A13"/>
    <w:rsid w:val="007C6BF1"/>
    <w:rsid w:val="007D51B0"/>
    <w:rsid w:val="0080429F"/>
    <w:rsid w:val="00804E2D"/>
    <w:rsid w:val="00806D6F"/>
    <w:rsid w:val="008243D2"/>
    <w:rsid w:val="00824ABE"/>
    <w:rsid w:val="00825E5F"/>
    <w:rsid w:val="00830AA8"/>
    <w:rsid w:val="0083353C"/>
    <w:rsid w:val="008345E7"/>
    <w:rsid w:val="008371F8"/>
    <w:rsid w:val="008403E5"/>
    <w:rsid w:val="00844775"/>
    <w:rsid w:val="008517CD"/>
    <w:rsid w:val="00860967"/>
    <w:rsid w:val="0086572C"/>
    <w:rsid w:val="00873F40"/>
    <w:rsid w:val="00875162"/>
    <w:rsid w:val="008800B4"/>
    <w:rsid w:val="00881A32"/>
    <w:rsid w:val="0088547A"/>
    <w:rsid w:val="008866CA"/>
    <w:rsid w:val="0088719E"/>
    <w:rsid w:val="00893D8A"/>
    <w:rsid w:val="008A5109"/>
    <w:rsid w:val="008B1FE6"/>
    <w:rsid w:val="008B6D2E"/>
    <w:rsid w:val="008B797D"/>
    <w:rsid w:val="008C0236"/>
    <w:rsid w:val="008C3CC8"/>
    <w:rsid w:val="008C50B3"/>
    <w:rsid w:val="008C5CFC"/>
    <w:rsid w:val="008C695D"/>
    <w:rsid w:val="008C7D25"/>
    <w:rsid w:val="008D2F5B"/>
    <w:rsid w:val="008D6DB3"/>
    <w:rsid w:val="008E4B9A"/>
    <w:rsid w:val="008E6364"/>
    <w:rsid w:val="008E74CE"/>
    <w:rsid w:val="008E7E98"/>
    <w:rsid w:val="008F0B4A"/>
    <w:rsid w:val="009024A9"/>
    <w:rsid w:val="00905929"/>
    <w:rsid w:val="00906268"/>
    <w:rsid w:val="009076E1"/>
    <w:rsid w:val="0091362D"/>
    <w:rsid w:val="00914F50"/>
    <w:rsid w:val="009172CB"/>
    <w:rsid w:val="0092371A"/>
    <w:rsid w:val="00933374"/>
    <w:rsid w:val="00953789"/>
    <w:rsid w:val="009635A5"/>
    <w:rsid w:val="00967AAF"/>
    <w:rsid w:val="00967BE4"/>
    <w:rsid w:val="00971624"/>
    <w:rsid w:val="00971C2B"/>
    <w:rsid w:val="0098196E"/>
    <w:rsid w:val="00982441"/>
    <w:rsid w:val="00984CE2"/>
    <w:rsid w:val="00995F1A"/>
    <w:rsid w:val="00996253"/>
    <w:rsid w:val="009A3ED9"/>
    <w:rsid w:val="009A6956"/>
    <w:rsid w:val="009A76EB"/>
    <w:rsid w:val="009B02F9"/>
    <w:rsid w:val="009B084B"/>
    <w:rsid w:val="009B2B1B"/>
    <w:rsid w:val="009B2C1F"/>
    <w:rsid w:val="009B7257"/>
    <w:rsid w:val="009C5D7A"/>
    <w:rsid w:val="009C6B1F"/>
    <w:rsid w:val="009D0BAF"/>
    <w:rsid w:val="009E3C6E"/>
    <w:rsid w:val="009F0E0F"/>
    <w:rsid w:val="009F13C3"/>
    <w:rsid w:val="00A02ACB"/>
    <w:rsid w:val="00A03C6B"/>
    <w:rsid w:val="00A04ADB"/>
    <w:rsid w:val="00A0792A"/>
    <w:rsid w:val="00A07C20"/>
    <w:rsid w:val="00A11735"/>
    <w:rsid w:val="00A12145"/>
    <w:rsid w:val="00A132CB"/>
    <w:rsid w:val="00A17BE8"/>
    <w:rsid w:val="00A20E63"/>
    <w:rsid w:val="00A225BB"/>
    <w:rsid w:val="00A22CD0"/>
    <w:rsid w:val="00A2357D"/>
    <w:rsid w:val="00A2379D"/>
    <w:rsid w:val="00A317F4"/>
    <w:rsid w:val="00A31DF9"/>
    <w:rsid w:val="00A34A3B"/>
    <w:rsid w:val="00A46B35"/>
    <w:rsid w:val="00A47257"/>
    <w:rsid w:val="00A52653"/>
    <w:rsid w:val="00A53B97"/>
    <w:rsid w:val="00A55089"/>
    <w:rsid w:val="00A57E13"/>
    <w:rsid w:val="00A65936"/>
    <w:rsid w:val="00A7067C"/>
    <w:rsid w:val="00A741E2"/>
    <w:rsid w:val="00A83132"/>
    <w:rsid w:val="00A83BA8"/>
    <w:rsid w:val="00A9063B"/>
    <w:rsid w:val="00A96F1E"/>
    <w:rsid w:val="00AC20AD"/>
    <w:rsid w:val="00AD43C4"/>
    <w:rsid w:val="00AE169E"/>
    <w:rsid w:val="00AE32C2"/>
    <w:rsid w:val="00AE6C66"/>
    <w:rsid w:val="00AE73B7"/>
    <w:rsid w:val="00AF54D4"/>
    <w:rsid w:val="00AF55A2"/>
    <w:rsid w:val="00B021BC"/>
    <w:rsid w:val="00B02723"/>
    <w:rsid w:val="00B05143"/>
    <w:rsid w:val="00B05A05"/>
    <w:rsid w:val="00B07485"/>
    <w:rsid w:val="00B10521"/>
    <w:rsid w:val="00B148B3"/>
    <w:rsid w:val="00B21B91"/>
    <w:rsid w:val="00B2406E"/>
    <w:rsid w:val="00B242AC"/>
    <w:rsid w:val="00B26F0B"/>
    <w:rsid w:val="00B32319"/>
    <w:rsid w:val="00B3508E"/>
    <w:rsid w:val="00B363E9"/>
    <w:rsid w:val="00B366AF"/>
    <w:rsid w:val="00B43B0B"/>
    <w:rsid w:val="00B45161"/>
    <w:rsid w:val="00B45B71"/>
    <w:rsid w:val="00B52898"/>
    <w:rsid w:val="00B716A5"/>
    <w:rsid w:val="00B731C5"/>
    <w:rsid w:val="00B760B2"/>
    <w:rsid w:val="00B86251"/>
    <w:rsid w:val="00B86BA6"/>
    <w:rsid w:val="00B91BAD"/>
    <w:rsid w:val="00BA0419"/>
    <w:rsid w:val="00BA57EB"/>
    <w:rsid w:val="00BA5BE1"/>
    <w:rsid w:val="00BD66DA"/>
    <w:rsid w:val="00BE03C4"/>
    <w:rsid w:val="00BE7234"/>
    <w:rsid w:val="00BF30B7"/>
    <w:rsid w:val="00BF4453"/>
    <w:rsid w:val="00BF5645"/>
    <w:rsid w:val="00BF57FD"/>
    <w:rsid w:val="00BF6151"/>
    <w:rsid w:val="00C17DA3"/>
    <w:rsid w:val="00C22AD9"/>
    <w:rsid w:val="00C23FC7"/>
    <w:rsid w:val="00C27991"/>
    <w:rsid w:val="00C409F8"/>
    <w:rsid w:val="00C40A0B"/>
    <w:rsid w:val="00C42440"/>
    <w:rsid w:val="00C4315D"/>
    <w:rsid w:val="00C52DC1"/>
    <w:rsid w:val="00C52E23"/>
    <w:rsid w:val="00C66D54"/>
    <w:rsid w:val="00C6795C"/>
    <w:rsid w:val="00C72C26"/>
    <w:rsid w:val="00C86495"/>
    <w:rsid w:val="00C915BA"/>
    <w:rsid w:val="00C93514"/>
    <w:rsid w:val="00CA76FE"/>
    <w:rsid w:val="00CB3845"/>
    <w:rsid w:val="00CB62F1"/>
    <w:rsid w:val="00CC4CB8"/>
    <w:rsid w:val="00CD2975"/>
    <w:rsid w:val="00CE39DA"/>
    <w:rsid w:val="00CE6B95"/>
    <w:rsid w:val="00CE6B9D"/>
    <w:rsid w:val="00CE7891"/>
    <w:rsid w:val="00CF0222"/>
    <w:rsid w:val="00CF0527"/>
    <w:rsid w:val="00CF15EE"/>
    <w:rsid w:val="00D0069F"/>
    <w:rsid w:val="00D0575A"/>
    <w:rsid w:val="00D07ED2"/>
    <w:rsid w:val="00D10E47"/>
    <w:rsid w:val="00D23D0B"/>
    <w:rsid w:val="00D25491"/>
    <w:rsid w:val="00D25DBC"/>
    <w:rsid w:val="00D33D74"/>
    <w:rsid w:val="00D35A5B"/>
    <w:rsid w:val="00D50B0D"/>
    <w:rsid w:val="00D549EB"/>
    <w:rsid w:val="00D54DF8"/>
    <w:rsid w:val="00D56689"/>
    <w:rsid w:val="00D56A97"/>
    <w:rsid w:val="00D62883"/>
    <w:rsid w:val="00D6480F"/>
    <w:rsid w:val="00D6754E"/>
    <w:rsid w:val="00D700F7"/>
    <w:rsid w:val="00D83D6A"/>
    <w:rsid w:val="00D84DE3"/>
    <w:rsid w:val="00D917FB"/>
    <w:rsid w:val="00D945A9"/>
    <w:rsid w:val="00D96017"/>
    <w:rsid w:val="00D96902"/>
    <w:rsid w:val="00D972CE"/>
    <w:rsid w:val="00DA2F48"/>
    <w:rsid w:val="00DA7A94"/>
    <w:rsid w:val="00DB1382"/>
    <w:rsid w:val="00DB4248"/>
    <w:rsid w:val="00DB4AE7"/>
    <w:rsid w:val="00DB5F47"/>
    <w:rsid w:val="00DC3E32"/>
    <w:rsid w:val="00DD50A6"/>
    <w:rsid w:val="00DD7F67"/>
    <w:rsid w:val="00DE498F"/>
    <w:rsid w:val="00DE6396"/>
    <w:rsid w:val="00DE75C3"/>
    <w:rsid w:val="00DF0C06"/>
    <w:rsid w:val="00DF323B"/>
    <w:rsid w:val="00E0202E"/>
    <w:rsid w:val="00E06975"/>
    <w:rsid w:val="00E11764"/>
    <w:rsid w:val="00E11BEF"/>
    <w:rsid w:val="00E12DAA"/>
    <w:rsid w:val="00E14B0E"/>
    <w:rsid w:val="00E15DFE"/>
    <w:rsid w:val="00E2314B"/>
    <w:rsid w:val="00E30364"/>
    <w:rsid w:val="00E40957"/>
    <w:rsid w:val="00E41285"/>
    <w:rsid w:val="00E443B3"/>
    <w:rsid w:val="00E5031F"/>
    <w:rsid w:val="00E51604"/>
    <w:rsid w:val="00E56385"/>
    <w:rsid w:val="00E622F5"/>
    <w:rsid w:val="00E65FBF"/>
    <w:rsid w:val="00E66D28"/>
    <w:rsid w:val="00E72EA9"/>
    <w:rsid w:val="00E73789"/>
    <w:rsid w:val="00E7448C"/>
    <w:rsid w:val="00E819E6"/>
    <w:rsid w:val="00E85486"/>
    <w:rsid w:val="00E90457"/>
    <w:rsid w:val="00E923C6"/>
    <w:rsid w:val="00E96267"/>
    <w:rsid w:val="00E977F4"/>
    <w:rsid w:val="00EA0463"/>
    <w:rsid w:val="00EA2C56"/>
    <w:rsid w:val="00EB144B"/>
    <w:rsid w:val="00EC2E7B"/>
    <w:rsid w:val="00EC4F5F"/>
    <w:rsid w:val="00EC6FD7"/>
    <w:rsid w:val="00ED5DC7"/>
    <w:rsid w:val="00ED74CA"/>
    <w:rsid w:val="00EE067F"/>
    <w:rsid w:val="00EE2DF2"/>
    <w:rsid w:val="00F0663E"/>
    <w:rsid w:val="00F07B1D"/>
    <w:rsid w:val="00F12761"/>
    <w:rsid w:val="00F1437C"/>
    <w:rsid w:val="00F1446A"/>
    <w:rsid w:val="00F16AD4"/>
    <w:rsid w:val="00F16DE8"/>
    <w:rsid w:val="00F17F03"/>
    <w:rsid w:val="00F20D53"/>
    <w:rsid w:val="00F22476"/>
    <w:rsid w:val="00F251EB"/>
    <w:rsid w:val="00F30CC7"/>
    <w:rsid w:val="00F31A63"/>
    <w:rsid w:val="00F33708"/>
    <w:rsid w:val="00F415CC"/>
    <w:rsid w:val="00F44152"/>
    <w:rsid w:val="00F44C14"/>
    <w:rsid w:val="00F55FA9"/>
    <w:rsid w:val="00F64893"/>
    <w:rsid w:val="00F708AA"/>
    <w:rsid w:val="00F71779"/>
    <w:rsid w:val="00F82642"/>
    <w:rsid w:val="00F82F8E"/>
    <w:rsid w:val="00F8321F"/>
    <w:rsid w:val="00F871A1"/>
    <w:rsid w:val="00F92DBC"/>
    <w:rsid w:val="00FA162A"/>
    <w:rsid w:val="00FA527F"/>
    <w:rsid w:val="00FA73E2"/>
    <w:rsid w:val="00FA74E4"/>
    <w:rsid w:val="00FB1962"/>
    <w:rsid w:val="00FB2BCD"/>
    <w:rsid w:val="00FC0881"/>
    <w:rsid w:val="00FC4F10"/>
    <w:rsid w:val="00FC6A56"/>
    <w:rsid w:val="00FD1DEE"/>
    <w:rsid w:val="00FE2253"/>
    <w:rsid w:val="00FE3F02"/>
    <w:rsid w:val="00FE7999"/>
    <w:rsid w:val="00FF45D7"/>
    <w:rsid w:val="00FF7201"/>
    <w:rsid w:val="00FF78E9"/>
    <w:rsid w:val="01763BCE"/>
    <w:rsid w:val="036452C8"/>
    <w:rsid w:val="05AC4FB7"/>
    <w:rsid w:val="0DA63A8D"/>
    <w:rsid w:val="0E4532A6"/>
    <w:rsid w:val="0F45554B"/>
    <w:rsid w:val="138C26B9"/>
    <w:rsid w:val="13DF48CA"/>
    <w:rsid w:val="15113AAD"/>
    <w:rsid w:val="156A6E83"/>
    <w:rsid w:val="16E439E4"/>
    <w:rsid w:val="18770500"/>
    <w:rsid w:val="1B267493"/>
    <w:rsid w:val="1DD9587E"/>
    <w:rsid w:val="20E47BE6"/>
    <w:rsid w:val="27CA6CD1"/>
    <w:rsid w:val="29F25929"/>
    <w:rsid w:val="2B6C1073"/>
    <w:rsid w:val="3001178F"/>
    <w:rsid w:val="30304CB1"/>
    <w:rsid w:val="311B1A16"/>
    <w:rsid w:val="33C03CF8"/>
    <w:rsid w:val="347A7137"/>
    <w:rsid w:val="3D1B245D"/>
    <w:rsid w:val="40D774DE"/>
    <w:rsid w:val="446705D6"/>
    <w:rsid w:val="472D60AA"/>
    <w:rsid w:val="47301CFC"/>
    <w:rsid w:val="48A1634F"/>
    <w:rsid w:val="49F033BE"/>
    <w:rsid w:val="4BEFEAC0"/>
    <w:rsid w:val="4CCE2A3B"/>
    <w:rsid w:val="50714E21"/>
    <w:rsid w:val="55CD5C7D"/>
    <w:rsid w:val="575D0756"/>
    <w:rsid w:val="57FF19C9"/>
    <w:rsid w:val="59934AC2"/>
    <w:rsid w:val="63A96660"/>
    <w:rsid w:val="65E41B21"/>
    <w:rsid w:val="67E878F3"/>
    <w:rsid w:val="685A730E"/>
    <w:rsid w:val="6B223717"/>
    <w:rsid w:val="6D0A3A3E"/>
    <w:rsid w:val="6D1F1790"/>
    <w:rsid w:val="6D8C674E"/>
    <w:rsid w:val="6EEA723F"/>
    <w:rsid w:val="738E79A8"/>
    <w:rsid w:val="75DE7F7B"/>
    <w:rsid w:val="7956473D"/>
    <w:rsid w:val="7A42046C"/>
    <w:rsid w:val="7EB62D06"/>
    <w:rsid w:val="7EFA4361"/>
    <w:rsid w:val="7F8DCF13"/>
  </w:rsids>
  <m:mathPr>
    <m:mathFont m:val="Cambria Math"/>
    <m:brkBin m:val="before"/>
    <m:brkBinSub m:val="--"/>
    <m:smallFrac m:val="1"/>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微软雅黑"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sz w:val="24"/>
      <w:szCs w:val="24"/>
      <w:lang w:val="en-US" w:eastAsia="zh-CN" w:bidi="ar-SA"/>
    </w:rPr>
  </w:style>
  <w:style w:type="paragraph" w:styleId="2">
    <w:name w:val="heading 1"/>
    <w:basedOn w:val="1"/>
    <w:next w:val="1"/>
    <w:link w:val="38"/>
    <w:qFormat/>
    <w:uiPriority w:val="9"/>
    <w:pPr>
      <w:keepNext/>
      <w:keepLines/>
      <w:spacing w:before="340" w:after="330" w:line="578" w:lineRule="auto"/>
      <w:jc w:val="both"/>
      <w:outlineLvl w:val="0"/>
    </w:pPr>
    <w:rPr>
      <w:rFonts w:ascii="Arial" w:hAnsi="Arial" w:eastAsia="微软雅黑" w:cs="AdvOTd1f5cc91.B"/>
      <w:b/>
      <w:bCs/>
      <w:kern w:val="44"/>
      <w:sz w:val="44"/>
      <w:szCs w:val="44"/>
    </w:rPr>
  </w:style>
  <w:style w:type="paragraph" w:styleId="3">
    <w:name w:val="heading 2"/>
    <w:basedOn w:val="1"/>
    <w:next w:val="1"/>
    <w:link w:val="23"/>
    <w:unhideWhenUsed/>
    <w:qFormat/>
    <w:uiPriority w:val="9"/>
    <w:pPr>
      <w:keepNext/>
      <w:keepLines/>
      <w:spacing w:before="260" w:line="360" w:lineRule="auto"/>
      <w:jc w:val="both"/>
      <w:outlineLvl w:val="1"/>
    </w:pPr>
    <w:rPr>
      <w:rFonts w:ascii="Arial" w:hAnsi="Arial" w:eastAsia="微软雅黑"/>
      <w:b/>
      <w:bCs/>
      <w:kern w:val="2"/>
      <w:sz w:val="28"/>
      <w:szCs w:val="32"/>
    </w:rPr>
  </w:style>
  <w:style w:type="paragraph" w:styleId="4">
    <w:name w:val="heading 3"/>
    <w:basedOn w:val="1"/>
    <w:next w:val="1"/>
    <w:link w:val="27"/>
    <w:unhideWhenUsed/>
    <w:qFormat/>
    <w:uiPriority w:val="9"/>
    <w:pPr>
      <w:keepNext/>
      <w:keepLines/>
      <w:spacing w:before="260" w:after="260" w:line="416" w:lineRule="auto"/>
      <w:jc w:val="both"/>
      <w:outlineLvl w:val="2"/>
    </w:pPr>
    <w:rPr>
      <w:rFonts w:ascii="Arial" w:hAnsi="Arial" w:eastAsia="微软雅黑" w:cs="AdvOTd1f5cc91.B"/>
      <w:b/>
      <w:bCs/>
      <w:kern w:val="2"/>
      <w:sz w:val="28"/>
      <w:szCs w:val="32"/>
    </w:rPr>
  </w:style>
  <w:style w:type="paragraph" w:styleId="5">
    <w:name w:val="heading 4"/>
    <w:basedOn w:val="1"/>
    <w:next w:val="1"/>
    <w:unhideWhenUsed/>
    <w:qFormat/>
    <w:uiPriority w:val="9"/>
    <w:pPr>
      <w:keepNext/>
      <w:keepLines/>
      <w:spacing w:before="280" w:after="290" w:line="372" w:lineRule="auto"/>
      <w:jc w:val="both"/>
      <w:outlineLvl w:val="3"/>
    </w:pPr>
    <w:rPr>
      <w:rFonts w:ascii="Arial" w:hAnsi="Arial" w:eastAsia="黑体" w:cs="AdvOTd1f5cc91.B"/>
      <w:b/>
      <w:kern w:val="2"/>
      <w:sz w:val="28"/>
    </w:rPr>
  </w:style>
  <w:style w:type="paragraph" w:styleId="6">
    <w:name w:val="heading 5"/>
    <w:basedOn w:val="1"/>
    <w:next w:val="1"/>
    <w:unhideWhenUsed/>
    <w:qFormat/>
    <w:uiPriority w:val="9"/>
    <w:pPr>
      <w:keepNext/>
      <w:keepLines/>
      <w:spacing w:before="280" w:after="290" w:line="372" w:lineRule="auto"/>
      <w:jc w:val="both"/>
      <w:outlineLvl w:val="4"/>
    </w:pPr>
    <w:rPr>
      <w:rFonts w:ascii="Arial" w:hAnsi="Arial" w:eastAsia="微软雅黑" w:cs="AdvOTd1f5cc91.B"/>
      <w:b/>
      <w:kern w:val="2"/>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7">
    <w:name w:val="annotation text"/>
    <w:basedOn w:val="1"/>
    <w:link w:val="41"/>
    <w:qFormat/>
    <w:uiPriority w:val="99"/>
    <w:rPr>
      <w:rFonts w:ascii="Arial" w:hAnsi="Arial" w:eastAsia="微软雅黑" w:cs="Times New Roman"/>
      <w:kern w:val="2"/>
      <w:sz w:val="21"/>
    </w:rPr>
  </w:style>
  <w:style w:type="paragraph" w:styleId="8">
    <w:name w:val="toc 3"/>
    <w:basedOn w:val="1"/>
    <w:next w:val="1"/>
    <w:qFormat/>
    <w:uiPriority w:val="39"/>
    <w:pPr>
      <w:spacing w:after="100" w:line="259" w:lineRule="auto"/>
      <w:ind w:left="440"/>
    </w:pPr>
    <w:rPr>
      <w:rFonts w:ascii="等线" w:hAnsi="等线" w:eastAsia="等线" w:cs="Times New Roman"/>
      <w:sz w:val="22"/>
      <w:szCs w:val="22"/>
    </w:rPr>
  </w:style>
  <w:style w:type="paragraph" w:styleId="9">
    <w:name w:val="Date"/>
    <w:basedOn w:val="1"/>
    <w:next w:val="1"/>
    <w:link w:val="28"/>
    <w:qFormat/>
    <w:uiPriority w:val="99"/>
    <w:pPr>
      <w:ind w:left="100" w:leftChars="2500"/>
      <w:jc w:val="both"/>
    </w:pPr>
    <w:rPr>
      <w:rFonts w:ascii="Arial" w:hAnsi="Arial" w:eastAsia="微软雅黑" w:cs="AdvOTd1f5cc91.B"/>
      <w:kern w:val="2"/>
      <w:sz w:val="21"/>
    </w:rPr>
  </w:style>
  <w:style w:type="paragraph" w:styleId="10">
    <w:name w:val="Balloon Text"/>
    <w:basedOn w:val="1"/>
    <w:link w:val="46"/>
    <w:semiHidden/>
    <w:unhideWhenUsed/>
    <w:qFormat/>
    <w:uiPriority w:val="99"/>
    <w:pPr>
      <w:jc w:val="both"/>
    </w:pPr>
    <w:rPr>
      <w:rFonts w:ascii="Arial" w:hAnsi="Arial" w:eastAsia="微软雅黑" w:cs="AdvOTd1f5cc91.B"/>
      <w:kern w:val="2"/>
      <w:sz w:val="18"/>
      <w:szCs w:val="18"/>
    </w:rPr>
  </w:style>
  <w:style w:type="paragraph" w:styleId="11">
    <w:name w:val="footer"/>
    <w:basedOn w:val="1"/>
    <w:link w:val="25"/>
    <w:qFormat/>
    <w:uiPriority w:val="99"/>
    <w:pPr>
      <w:tabs>
        <w:tab w:val="center" w:pos="4153"/>
        <w:tab w:val="right" w:pos="8306"/>
      </w:tabs>
      <w:snapToGrid w:val="0"/>
    </w:pPr>
    <w:rPr>
      <w:rFonts w:ascii="Arial" w:hAnsi="Arial" w:eastAsia="微软雅黑" w:cs="AdvOTd1f5cc91.B"/>
      <w:kern w:val="2"/>
      <w:sz w:val="18"/>
      <w:szCs w:val="18"/>
    </w:rPr>
  </w:style>
  <w:style w:type="paragraph" w:styleId="12">
    <w:name w:val="header"/>
    <w:basedOn w:val="1"/>
    <w:link w:val="24"/>
    <w:qFormat/>
    <w:uiPriority w:val="99"/>
    <w:pPr>
      <w:tabs>
        <w:tab w:val="center" w:pos="4153"/>
        <w:tab w:val="right" w:pos="8306"/>
      </w:tabs>
      <w:snapToGrid w:val="0"/>
      <w:jc w:val="center"/>
    </w:pPr>
    <w:rPr>
      <w:rFonts w:ascii="Arial" w:hAnsi="Arial" w:eastAsia="微软雅黑" w:cs="AdvOTd1f5cc91.B"/>
      <w:kern w:val="2"/>
      <w:sz w:val="18"/>
      <w:szCs w:val="18"/>
    </w:rPr>
  </w:style>
  <w:style w:type="paragraph" w:styleId="13">
    <w:name w:val="toc 1"/>
    <w:basedOn w:val="1"/>
    <w:next w:val="1"/>
    <w:qFormat/>
    <w:uiPriority w:val="39"/>
    <w:pPr>
      <w:widowControl w:val="0"/>
      <w:jc w:val="both"/>
    </w:pPr>
    <w:rPr>
      <w:rFonts w:ascii="等线" w:hAnsi="等线" w:eastAsia="等线"/>
      <w:kern w:val="2"/>
      <w:sz w:val="21"/>
      <w:szCs w:val="22"/>
    </w:rPr>
  </w:style>
  <w:style w:type="paragraph" w:styleId="14">
    <w:name w:val="toc 2"/>
    <w:basedOn w:val="1"/>
    <w:next w:val="1"/>
    <w:qFormat/>
    <w:uiPriority w:val="39"/>
    <w:pPr>
      <w:spacing w:after="100" w:line="259" w:lineRule="auto"/>
      <w:ind w:left="220"/>
    </w:pPr>
    <w:rPr>
      <w:rFonts w:ascii="等线" w:hAnsi="等线" w:eastAsia="等线" w:cs="Times New Roman"/>
      <w:sz w:val="22"/>
      <w:szCs w:val="22"/>
    </w:rPr>
  </w:style>
  <w:style w:type="paragraph" w:styleId="15">
    <w:name w:val="Normal (Web)"/>
    <w:basedOn w:val="1"/>
    <w:semiHidden/>
    <w:unhideWhenUsed/>
    <w:qFormat/>
    <w:uiPriority w:val="99"/>
    <w:pPr>
      <w:jc w:val="both"/>
    </w:pPr>
    <w:rPr>
      <w:rFonts w:ascii="Arial" w:hAnsi="Arial" w:eastAsia="微软雅黑" w:cs="AdvOTd1f5cc91.B"/>
      <w:kern w:val="2"/>
    </w:rPr>
  </w:style>
  <w:style w:type="paragraph" w:styleId="16">
    <w:name w:val="annotation subject"/>
    <w:basedOn w:val="7"/>
    <w:next w:val="7"/>
    <w:link w:val="42"/>
    <w:qFormat/>
    <w:uiPriority w:val="99"/>
    <w:rPr>
      <w:b/>
      <w:bCs/>
    </w:r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22"/>
    <w:rPr>
      <w:rFonts w:eastAsia="微软雅黑"/>
      <w:b/>
      <w:bCs/>
      <w:sz w:val="28"/>
    </w:rPr>
  </w:style>
  <w:style w:type="character" w:styleId="21">
    <w:name w:val="Hyperlink"/>
    <w:basedOn w:val="19"/>
    <w:qFormat/>
    <w:uiPriority w:val="99"/>
    <w:rPr>
      <w:color w:val="0563C1"/>
      <w:u w:val="single"/>
    </w:rPr>
  </w:style>
  <w:style w:type="character" w:styleId="22">
    <w:name w:val="annotation reference"/>
    <w:basedOn w:val="19"/>
    <w:qFormat/>
    <w:uiPriority w:val="99"/>
    <w:rPr>
      <w:sz w:val="21"/>
      <w:szCs w:val="21"/>
    </w:rPr>
  </w:style>
  <w:style w:type="character" w:customStyle="1" w:styleId="23">
    <w:name w:val="标题 2 字符"/>
    <w:basedOn w:val="19"/>
    <w:link w:val="3"/>
    <w:qFormat/>
    <w:uiPriority w:val="9"/>
    <w:rPr>
      <w:rFonts w:cs="宋体"/>
      <w:b/>
      <w:bCs/>
      <w:sz w:val="28"/>
      <w:szCs w:val="32"/>
    </w:rPr>
  </w:style>
  <w:style w:type="character" w:customStyle="1" w:styleId="24">
    <w:name w:val="页眉 字符"/>
    <w:basedOn w:val="19"/>
    <w:link w:val="12"/>
    <w:qFormat/>
    <w:uiPriority w:val="99"/>
    <w:rPr>
      <w:sz w:val="18"/>
      <w:szCs w:val="18"/>
    </w:rPr>
  </w:style>
  <w:style w:type="character" w:customStyle="1" w:styleId="25">
    <w:name w:val="页脚 字符"/>
    <w:basedOn w:val="19"/>
    <w:link w:val="11"/>
    <w:qFormat/>
    <w:uiPriority w:val="99"/>
    <w:rPr>
      <w:sz w:val="18"/>
      <w:szCs w:val="18"/>
    </w:rPr>
  </w:style>
  <w:style w:type="paragraph" w:styleId="26">
    <w:name w:val="List Paragraph"/>
    <w:basedOn w:val="1"/>
    <w:qFormat/>
    <w:uiPriority w:val="34"/>
    <w:pPr>
      <w:ind w:firstLine="420" w:firstLineChars="200"/>
      <w:jc w:val="both"/>
    </w:pPr>
    <w:rPr>
      <w:rFonts w:ascii="Arial" w:hAnsi="Arial" w:eastAsia="微软雅黑" w:cs="AdvOTd1f5cc91.B"/>
      <w:kern w:val="2"/>
      <w:sz w:val="21"/>
    </w:rPr>
  </w:style>
  <w:style w:type="character" w:customStyle="1" w:styleId="27">
    <w:name w:val="标题 3 字符"/>
    <w:basedOn w:val="19"/>
    <w:link w:val="4"/>
    <w:qFormat/>
    <w:uiPriority w:val="9"/>
    <w:rPr>
      <w:b/>
      <w:bCs/>
      <w:sz w:val="28"/>
      <w:szCs w:val="32"/>
    </w:rPr>
  </w:style>
  <w:style w:type="character" w:customStyle="1" w:styleId="28">
    <w:name w:val="日期 字符"/>
    <w:basedOn w:val="19"/>
    <w:link w:val="9"/>
    <w:qFormat/>
    <w:uiPriority w:val="99"/>
    <w:rPr>
      <w:sz w:val="21"/>
    </w:rPr>
  </w:style>
  <w:style w:type="paragraph" w:customStyle="1" w:styleId="29">
    <w:name w:val="修订1"/>
    <w:qFormat/>
    <w:uiPriority w:val="99"/>
    <w:rPr>
      <w:rFonts w:ascii="Arial" w:hAnsi="Arial" w:eastAsia="微软雅黑" w:cs="AdvOTd1f5cc91.B"/>
      <w:kern w:val="2"/>
      <w:sz w:val="21"/>
      <w:szCs w:val="24"/>
      <w:lang w:val="en-US" w:eastAsia="zh-CN" w:bidi="ar-SA"/>
    </w:rPr>
  </w:style>
  <w:style w:type="paragraph" w:customStyle="1" w:styleId="30">
    <w:name w:val="列出段落1"/>
    <w:basedOn w:val="1"/>
    <w:link w:val="31"/>
    <w:qFormat/>
    <w:uiPriority w:val="34"/>
    <w:pPr>
      <w:widowControl w:val="0"/>
      <w:ind w:firstLine="420" w:firstLineChars="200"/>
      <w:jc w:val="both"/>
    </w:pPr>
    <w:rPr>
      <w:rFonts w:ascii="等线" w:hAnsi="等线" w:eastAsia="等线"/>
      <w:kern w:val="2"/>
      <w:sz w:val="21"/>
      <w:szCs w:val="22"/>
    </w:rPr>
  </w:style>
  <w:style w:type="character" w:customStyle="1" w:styleId="31">
    <w:name w:val="列出段落 Char"/>
    <w:basedOn w:val="19"/>
    <w:link w:val="30"/>
    <w:qFormat/>
    <w:uiPriority w:val="34"/>
    <w:rPr>
      <w:rFonts w:ascii="等线" w:hAnsi="等线" w:eastAsia="等线" w:cs="宋体"/>
      <w:sz w:val="21"/>
      <w:szCs w:val="22"/>
    </w:rPr>
  </w:style>
  <w:style w:type="paragraph" w:customStyle="1" w:styleId="32">
    <w:name w:val="文献分类号"/>
    <w:qFormat/>
    <w:uiPriority w:val="0"/>
    <w:pPr>
      <w:framePr w:hSpace="180" w:vSpace="180" w:wrap="around" w:vAnchor="margin" w:hAnchor="margin" w:y="1" w:anchorLock="1"/>
      <w:widowControl w:val="0"/>
    </w:pPr>
    <w:rPr>
      <w:rFonts w:ascii="黑体" w:hAnsi="Times New Roman" w:eastAsia="黑体" w:cs="Times New Roman"/>
      <w:sz w:val="21"/>
      <w:szCs w:val="21"/>
      <w:lang w:val="en-US" w:eastAsia="zh-CN" w:bidi="ar-SA"/>
    </w:rPr>
  </w:style>
  <w:style w:type="paragraph" w:customStyle="1" w:styleId="33">
    <w:name w:val="Heading #2|1"/>
    <w:basedOn w:val="1"/>
    <w:qFormat/>
    <w:uiPriority w:val="0"/>
    <w:pPr>
      <w:widowControl w:val="0"/>
      <w:spacing w:after="400"/>
      <w:ind w:hanging="780"/>
      <w:outlineLvl w:val="1"/>
    </w:pPr>
    <w:rPr>
      <w:sz w:val="40"/>
      <w:szCs w:val="40"/>
      <w:lang w:val="zh-TW" w:eastAsia="zh-TW" w:bidi="zh-TW"/>
    </w:rPr>
  </w:style>
  <w:style w:type="paragraph" w:customStyle="1" w:styleId="34">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35">
    <w:name w:val="标准称谓"/>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36">
    <w:name w:val="发布部门"/>
    <w:qFormat/>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37">
    <w:name w:val="其他发布日期"/>
    <w:basedOn w:val="1"/>
    <w:qFormat/>
    <w:uiPriority w:val="0"/>
    <w:pPr>
      <w:framePr w:w="3997" w:h="471" w:hRule="exact" w:vSpace="181" w:wrap="around" w:vAnchor="page" w:hAnchor="text" w:x="1419" w:y="14097" w:anchorLock="1"/>
    </w:pPr>
    <w:rPr>
      <w:rFonts w:ascii="Times New Roman" w:hAnsi="Times New Roman" w:eastAsia="黑体" w:cs="Times New Roman"/>
      <w:sz w:val="28"/>
      <w:szCs w:val="20"/>
    </w:rPr>
  </w:style>
  <w:style w:type="character" w:customStyle="1" w:styleId="38">
    <w:name w:val="标题 1 字符"/>
    <w:basedOn w:val="19"/>
    <w:link w:val="2"/>
    <w:qFormat/>
    <w:uiPriority w:val="9"/>
    <w:rPr>
      <w:b/>
      <w:bCs/>
      <w:kern w:val="44"/>
      <w:sz w:val="44"/>
      <w:szCs w:val="44"/>
    </w:rPr>
  </w:style>
  <w:style w:type="paragraph" w:customStyle="1" w:styleId="39">
    <w:name w:val="TOC 标题1"/>
    <w:basedOn w:val="2"/>
    <w:qFormat/>
    <w:uiPriority w:val="39"/>
    <w:pPr>
      <w:spacing w:before="240" w:after="0" w:line="259" w:lineRule="auto"/>
      <w:jc w:val="left"/>
      <w:outlineLvl w:val="9"/>
    </w:pPr>
    <w:rPr>
      <w:rFonts w:ascii="等线 Light" w:hAnsi="等线 Light" w:eastAsia="等线 Light" w:cs="宋体"/>
      <w:b w:val="0"/>
      <w:bCs w:val="0"/>
      <w:color w:val="2F5597"/>
      <w:kern w:val="0"/>
      <w:sz w:val="32"/>
      <w:szCs w:val="32"/>
    </w:rPr>
  </w:style>
  <w:style w:type="paragraph" w:customStyle="1" w:styleId="40">
    <w:name w:val="修订2"/>
    <w:qFormat/>
    <w:uiPriority w:val="99"/>
    <w:rPr>
      <w:rFonts w:ascii="Arial" w:hAnsi="Arial" w:eastAsia="微软雅黑" w:cs="AdvOTd1f5cc91.B"/>
      <w:kern w:val="2"/>
      <w:sz w:val="21"/>
      <w:szCs w:val="24"/>
      <w:lang w:val="en-US" w:eastAsia="zh-CN" w:bidi="ar-SA"/>
    </w:rPr>
  </w:style>
  <w:style w:type="character" w:customStyle="1" w:styleId="41">
    <w:name w:val="批注文字 字符"/>
    <w:basedOn w:val="19"/>
    <w:link w:val="7"/>
    <w:qFormat/>
    <w:uiPriority w:val="99"/>
    <w:rPr>
      <w:kern w:val="2"/>
      <w:sz w:val="21"/>
      <w:szCs w:val="24"/>
    </w:rPr>
  </w:style>
  <w:style w:type="character" w:customStyle="1" w:styleId="42">
    <w:name w:val="批注主题 字符"/>
    <w:basedOn w:val="41"/>
    <w:link w:val="16"/>
    <w:qFormat/>
    <w:uiPriority w:val="99"/>
    <w:rPr>
      <w:b/>
      <w:bCs/>
      <w:kern w:val="2"/>
      <w:sz w:val="21"/>
      <w:szCs w:val="24"/>
    </w:rPr>
  </w:style>
  <w:style w:type="paragraph" w:customStyle="1" w:styleId="43">
    <w:name w:val="Revision_d822b0a6-4730-45dd-85db-ed42173d7a8a"/>
    <w:qFormat/>
    <w:uiPriority w:val="99"/>
    <w:rPr>
      <w:rFonts w:ascii="Arial" w:hAnsi="Arial" w:eastAsia="微软雅黑" w:cs="AdvOTd1f5cc91.B"/>
      <w:kern w:val="2"/>
      <w:sz w:val="21"/>
      <w:szCs w:val="24"/>
      <w:lang w:val="en-US" w:eastAsia="zh-CN" w:bidi="ar-SA"/>
    </w:rPr>
  </w:style>
  <w:style w:type="paragraph" w:customStyle="1" w:styleId="44">
    <w:name w:val="修订3"/>
    <w:hidden/>
    <w:semiHidden/>
    <w:qFormat/>
    <w:uiPriority w:val="99"/>
    <w:rPr>
      <w:rFonts w:ascii="Arial" w:hAnsi="Arial" w:eastAsia="微软雅黑" w:cs="AdvOTd1f5cc91.B"/>
      <w:kern w:val="2"/>
      <w:sz w:val="21"/>
      <w:szCs w:val="24"/>
      <w:lang w:val="en-US" w:eastAsia="zh-CN" w:bidi="ar-SA"/>
    </w:rPr>
  </w:style>
  <w:style w:type="paragraph" w:customStyle="1" w:styleId="45">
    <w:name w:val="修订4"/>
    <w:hidden/>
    <w:unhideWhenUsed/>
    <w:qFormat/>
    <w:uiPriority w:val="99"/>
    <w:rPr>
      <w:rFonts w:ascii="Arial" w:hAnsi="Arial" w:eastAsia="微软雅黑" w:cs="AdvOTd1f5cc91.B"/>
      <w:kern w:val="2"/>
      <w:sz w:val="21"/>
      <w:szCs w:val="24"/>
      <w:lang w:val="en-US" w:eastAsia="zh-CN" w:bidi="ar-SA"/>
    </w:rPr>
  </w:style>
  <w:style w:type="character" w:customStyle="1" w:styleId="46">
    <w:name w:val="批注框文本 字符"/>
    <w:basedOn w:val="19"/>
    <w:link w:val="10"/>
    <w:semiHidden/>
    <w:qFormat/>
    <w:uiPriority w:val="99"/>
    <w:rPr>
      <w:kern w:val="2"/>
      <w:sz w:val="18"/>
      <w:szCs w:val="18"/>
    </w:rPr>
  </w:style>
  <w:style w:type="paragraph" w:customStyle="1" w:styleId="47">
    <w:name w:val="修订5"/>
    <w:hidden/>
    <w:semiHidden/>
    <w:qFormat/>
    <w:uiPriority w:val="99"/>
    <w:rPr>
      <w:rFonts w:ascii="Arial" w:hAnsi="Arial" w:eastAsia="微软雅黑" w:cs="AdvOTd1f5cc91.B"/>
      <w:kern w:val="2"/>
      <w:sz w:val="21"/>
      <w:szCs w:val="24"/>
      <w:lang w:val="en-US" w:eastAsia="zh-CN" w:bidi="ar-SA"/>
    </w:rPr>
  </w:style>
  <w:style w:type="paragraph" w:customStyle="1" w:styleId="48">
    <w:name w:val="修订6"/>
    <w:hidden/>
    <w:semiHidden/>
    <w:qFormat/>
    <w:uiPriority w:val="99"/>
    <w:rPr>
      <w:rFonts w:ascii="Arial" w:hAnsi="Arial" w:eastAsia="微软雅黑" w:cs="AdvOTd1f5cc91.B"/>
      <w:kern w:val="2"/>
      <w:sz w:val="21"/>
      <w:szCs w:val="24"/>
      <w:lang w:val="en-US" w:eastAsia="zh-CN" w:bidi="ar-SA"/>
    </w:rPr>
  </w:style>
  <w:style w:type="paragraph" w:customStyle="1" w:styleId="49">
    <w:name w:val="WPSOffice手动目录 1"/>
    <w:qFormat/>
    <w:uiPriority w:val="0"/>
    <w:rPr>
      <w:rFonts w:ascii="Arial" w:hAnsi="Arial" w:eastAsia="微软雅黑" w:cs="AdvOTd1f5cc91.B"/>
      <w:lang w:val="en-US" w:eastAsia="zh-CN" w:bidi="ar-SA"/>
    </w:rPr>
  </w:style>
  <w:style w:type="paragraph" w:customStyle="1" w:styleId="50">
    <w:name w:val="修订7"/>
    <w:hidden/>
    <w:unhideWhenUsed/>
    <w:qFormat/>
    <w:uiPriority w:val="99"/>
    <w:rPr>
      <w:rFonts w:ascii="Arial" w:hAnsi="Arial" w:eastAsia="微软雅黑" w:cs="AdvOTd1f5cc91.B"/>
      <w:kern w:val="2"/>
      <w:sz w:val="21"/>
      <w:szCs w:val="24"/>
      <w:lang w:val="en-US" w:eastAsia="zh-CN" w:bidi="ar-SA"/>
    </w:rPr>
  </w:style>
  <w:style w:type="table" w:customStyle="1" w:styleId="51">
    <w:name w:val="网格型1"/>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2">
    <w:name w:val="网格型2"/>
    <w:basedOn w:val="17"/>
    <w:qFormat/>
    <w:uiPriority w:val="3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3">
    <w:name w:val="TOC 标题2"/>
    <w:basedOn w:val="2"/>
    <w:next w:val="1"/>
    <w:unhideWhenUsed/>
    <w:qFormat/>
    <w:uiPriority w:val="39"/>
    <w:pPr>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styleId="54">
    <w:name w:val="Placeholder Text"/>
    <w:basedOn w:val="19"/>
    <w:unhideWhenUsed/>
    <w:qFormat/>
    <w:uiPriority w:val="99"/>
    <w:rPr>
      <w:color w:val="666666"/>
    </w:rPr>
  </w:style>
  <w:style w:type="paragraph" w:customStyle="1" w:styleId="55">
    <w:name w:val="Default"/>
    <w:basedOn w:val="1"/>
    <w:qFormat/>
    <w:uiPriority w:val="0"/>
    <w:pPr>
      <w:widowControl w:val="0"/>
      <w:autoSpaceDE w:val="0"/>
      <w:autoSpaceDN w:val="0"/>
      <w:adjustRightInd w:val="0"/>
    </w:pPr>
    <w:rPr>
      <w:rFonts w:ascii="Times New Roman" w:hAnsi="Times New Roman" w:cs="Times New Roman"/>
      <w:color w:val="000000"/>
    </w:rPr>
  </w:style>
  <w:style w:type="paragraph" w:customStyle="1" w:styleId="56">
    <w:name w:val="书目1"/>
    <w:basedOn w:val="1"/>
    <w:next w:val="1"/>
    <w:unhideWhenUsed/>
    <w:qFormat/>
    <w:uiPriority w:val="37"/>
    <w:pPr>
      <w:tabs>
        <w:tab w:val="left" w:pos="260"/>
        <w:tab w:val="left" w:pos="380"/>
      </w:tabs>
      <w:spacing w:after="240"/>
      <w:ind w:left="264" w:hanging="264"/>
      <w:jc w:val="both"/>
    </w:pPr>
    <w:rPr>
      <w:rFonts w:ascii="Arial" w:hAnsi="Arial" w:eastAsia="微软雅黑" w:cs="AdvOTd1f5cc91.B"/>
      <w:kern w:val="2"/>
      <w:sz w:val="21"/>
    </w:rPr>
  </w:style>
  <w:style w:type="paragraph" w:customStyle="1" w:styleId="57">
    <w:name w:val="修订8"/>
    <w:hidden/>
    <w:unhideWhenUsed/>
    <w:qFormat/>
    <w:uiPriority w:val="99"/>
    <w:rPr>
      <w:rFonts w:ascii="宋体" w:hAnsi="宋体" w:eastAsia="宋体" w:cs="宋体"/>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2.pn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Version="6"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544F02-5C0F-4AE2-8753-847A2DA7159B}">
  <ds:schemaRefs/>
</ds:datastoreItem>
</file>

<file path=docProps/app.xml><?xml version="1.0" encoding="utf-8"?>
<Properties xmlns="http://schemas.openxmlformats.org/officeDocument/2006/extended-properties" xmlns:vt="http://schemas.openxmlformats.org/officeDocument/2006/docPropsVTypes">
  <Template>Normal.dotm</Template>
  <Pages>27</Pages>
  <Words>5422</Words>
  <Characters>6352</Characters>
  <Lines>160</Lines>
  <Paragraphs>45</Paragraphs>
  <TotalTime>82</TotalTime>
  <ScaleCrop>false</ScaleCrop>
  <LinksUpToDate>false</LinksUpToDate>
  <CharactersWithSpaces>6600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2026-04-01T09:44:00Z</dcterms:created>
  <dc:creator>付瑞琴</dc:creator>
  <cp:lastModifiedBy>J</cp:lastModifiedBy>
  <dcterms:modified xsi:type="dcterms:W3CDTF">2026-04-24T03:46:30Z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A99A203574B646AEBA890D19282B149F_13</vt:lpwstr>
  </property>
  <property fmtid="{D5CDD505-2E9C-101B-9397-08002B2CF9AE}" pid="4" name="KSOTemplateDocerSaveRecord">
    <vt:lpwstr>eyJoZGlkIjoiMTFmMDJjZGU0YzYzNjgxMjg1NzBlNDNlZWZkY2IyNjMiLCJ1c2VySWQiOiIxMzc2MzQzNjk3In0=</vt:lpwstr>
  </property>
  <property fmtid="{D5CDD505-2E9C-101B-9397-08002B2CF9AE}" pid="5" name="ZOTERO_PREF_1">
    <vt:lpwstr>&lt;data data-version="3" zotero-version="7.0.30"&gt;&lt;session id="fZkBmNCX"/&gt;&lt;style id="http://www.zotero.org/styles/american-medical-association" hasBibliography="1" bibliographyStyleHasBeenSet="1"/&gt;&lt;prefs&gt;&lt;pref name="fieldType" value="Field"/&gt;&lt;pref name="auto</vt:lpwstr>
  </property>
  <property fmtid="{D5CDD505-2E9C-101B-9397-08002B2CF9AE}" pid="6" name="ZOTERO_PREF_2">
    <vt:lpwstr>maticJournalAbbreviations" value="true"/&gt;&lt;/prefs&gt;&lt;/data&gt;</vt:lpwstr>
  </property>
</Properties>
</file>