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2F85FE">
      <w:pPr>
        <w:pStyle w:val="38"/>
        <w:framePr w:wrap="around" w:vAnchor="page" w:hAnchor="page" w:x="1821" w:y="541"/>
        <w:rPr>
          <w:b/>
          <w:bCs/>
        </w:rPr>
      </w:pPr>
      <w:r>
        <w:rPr>
          <w:rFonts w:ascii="Times New Roman"/>
          <w:b/>
          <w:bCs/>
        </w:rPr>
        <w:t>ICS</w:t>
      </w:r>
      <w:r>
        <w:rPr>
          <w:rFonts w:hint="eastAsia" w:ascii="Times New Roman"/>
          <w:b/>
          <w:bCs/>
        </w:rPr>
        <w:t xml:space="preserve"> 11</w:t>
      </w:r>
      <w:r>
        <w:rPr>
          <w:rFonts w:ascii="Times New Roman"/>
          <w:b/>
          <w:bCs/>
        </w:rPr>
        <w:t>.0</w:t>
      </w:r>
      <w:r>
        <w:rPr>
          <w:rFonts w:hint="eastAsia" w:ascii="Times New Roman"/>
          <w:b/>
          <w:bCs/>
        </w:rPr>
        <w:t>2</w:t>
      </w:r>
      <w:r>
        <w:rPr>
          <w:rFonts w:ascii="Times New Roman"/>
          <w:b/>
          <w:bCs/>
        </w:rPr>
        <w:t>0</w:t>
      </w:r>
    </w:p>
    <w:p w14:paraId="7E342A1A">
      <w:pPr>
        <w:pStyle w:val="38"/>
        <w:framePr w:wrap="around" w:vAnchor="page" w:hAnchor="page" w:x="1821" w:y="541"/>
        <w:rPr>
          <w:rFonts w:ascii="Times New Roman"/>
          <w:b/>
          <w:bCs/>
        </w:rPr>
      </w:pPr>
      <w:r>
        <w:rPr>
          <w:rFonts w:hint="eastAsia" w:ascii="Times New Roman"/>
          <w:b/>
          <w:bCs/>
        </w:rPr>
        <w:t>CCS C 05</w:t>
      </w:r>
    </w:p>
    <w:p w14:paraId="32401691">
      <w:pPr>
        <w:pStyle w:val="42"/>
        <w:framePr w:w="8178" w:h="856" w:hRule="exact" w:wrap="around" w:x="2055" w:y="2221"/>
        <w:rPr>
          <w:rFonts w:hint="eastAsia" w:ascii="黑体" w:hAnsi="黑体" w:eastAsia="黑体"/>
          <w:b w:val="0"/>
          <w:sz w:val="56"/>
          <w:szCs w:val="52"/>
        </w:rPr>
      </w:pPr>
      <w:r>
        <w:rPr>
          <w:rFonts w:hint="eastAsia" w:ascii="黑体" w:hAnsi="黑体" w:eastAsia="黑体"/>
          <w:b w:val="0"/>
          <w:sz w:val="56"/>
          <w:szCs w:val="52"/>
        </w:rPr>
        <w:t>团体标准</w:t>
      </w:r>
    </w:p>
    <w:tbl>
      <w:tblPr>
        <w:tblStyle w:val="13"/>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439FCD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5FAE7A89">
            <w:pPr>
              <w:pStyle w:val="40"/>
              <w:framePr w:wrap="around" w:x="1382" w:y="3031"/>
              <w:rPr>
                <w:lang w:val="fr-FR"/>
              </w:rPr>
            </w:pPr>
            <w:r>
              <w:rPr>
                <w:rFonts w:hint="eastAsia" w:ascii="Times New Roman"/>
                <w:b/>
                <w:bCs/>
                <w:lang w:val="fr-FR"/>
              </w:rPr>
              <w:t>T</w:t>
            </w:r>
            <w:r>
              <w:rPr>
                <w:rFonts w:ascii="Times New Roman"/>
                <w:b/>
                <w:bCs/>
                <w:lang w:val="fr-FR"/>
              </w:rPr>
              <w:t>/</w:t>
            </w:r>
            <w:r>
              <w:rPr>
                <w:rFonts w:hint="eastAsia" w:ascii="Times New Roman"/>
                <w:b/>
                <w:bCs/>
                <w:lang w:val="fr-FR"/>
              </w:rPr>
              <w:t>C</w:t>
            </w:r>
            <w:bookmarkStart w:id="0" w:name="StdNo1"/>
            <w:r>
              <w:rPr>
                <w:rFonts w:hint="eastAsia" w:ascii="Times New Roman"/>
                <w:b/>
                <w:bCs/>
                <w:lang w:val="fr-FR"/>
              </w:rPr>
              <w:t>RHA</w:t>
            </w:r>
            <w:bookmarkEnd w:id="0"/>
            <w:r>
              <w:rPr>
                <w:rFonts w:hint="eastAsia" w:ascii="Times New Roman"/>
                <w:lang w:val="fr-FR"/>
              </w:rPr>
              <w:t xml:space="preserve"> </w:t>
            </w:r>
            <w:r>
              <w:rPr>
                <w:rFonts w:hint="eastAsia"/>
                <w:lang w:val="fr-FR"/>
              </w:rPr>
              <w:t>XXX</w:t>
            </w:r>
            <w:r>
              <w:rPr>
                <w:lang w:val="fr-FR"/>
              </w:rPr>
              <w:t>—</w:t>
            </w:r>
            <w:r>
              <w:rPr>
                <w:rFonts w:hint="eastAsia"/>
                <w:lang w:val="fr-FR"/>
              </w:rPr>
              <w:t>202X</w:t>
            </w:r>
          </w:p>
        </w:tc>
      </w:tr>
    </w:tbl>
    <w:p w14:paraId="6488AD80">
      <w:pPr>
        <w:pStyle w:val="40"/>
        <w:framePr w:wrap="around" w:x="1382" w:y="3031"/>
        <w:jc w:val="center"/>
        <w:rPr>
          <w:lang w:val="fr-FR"/>
        </w:rPr>
      </w:pPr>
      <w:r>
        <w:rPr>
          <w:rFonts w:hint="eastAsia"/>
          <w:lang w:val="fr-FR"/>
        </w:rPr>
        <w:t>————————————————————————————————————————</w:t>
      </w:r>
    </w:p>
    <w:p w14:paraId="6A74F74A">
      <w:pPr>
        <w:pStyle w:val="40"/>
        <w:framePr w:wrap="around" w:x="1382" w:y="3031"/>
        <w:rPr>
          <w:lang w:val="fr-FR"/>
        </w:rPr>
      </w:pPr>
    </w:p>
    <w:p w14:paraId="3F76E726">
      <w:pPr>
        <w:pStyle w:val="39"/>
        <w:keepNext/>
        <w:keepLines/>
        <w:framePr w:w="9116" w:h="3482" w:hRule="exact" w:wrap="around" w:vAnchor="page" w:hAnchor="page" w:x="1327" w:y="6897" w:anchorLock="1"/>
        <w:ind w:firstLine="0"/>
        <w:jc w:val="center"/>
        <w:outlineLvl w:val="9"/>
        <w:rPr>
          <w:rFonts w:hint="eastAsia" w:ascii="黑体" w:hAnsi="黑体" w:eastAsia="黑体" w:cs="黑体"/>
          <w:color w:val="000000"/>
          <w:sz w:val="52"/>
          <w:szCs w:val="52"/>
          <w:lang w:val="fr-FR" w:eastAsia="zh-CN"/>
        </w:rPr>
      </w:pPr>
      <w:bookmarkStart w:id="1" w:name="OLE_LINK1"/>
      <w:bookmarkStart w:id="2" w:name="StdEnglishName"/>
      <w:r>
        <w:rPr>
          <w:rFonts w:hint="eastAsia" w:ascii="黑体" w:hAnsi="黑体" w:eastAsia="黑体" w:cs="黑体"/>
          <w:color w:val="000000"/>
          <w:sz w:val="52"/>
          <w:szCs w:val="52"/>
          <w:lang w:val="en-US" w:eastAsia="zh-CN"/>
        </w:rPr>
        <w:t>胸腺瘤影像学诊断规范</w:t>
      </w:r>
    </w:p>
    <w:bookmarkEnd w:id="1"/>
    <w:p w14:paraId="4F8E65B6">
      <w:pPr>
        <w:pStyle w:val="39"/>
        <w:keepNext/>
        <w:keepLines/>
        <w:framePr w:w="9116" w:h="3482" w:hRule="exact" w:wrap="around" w:vAnchor="page" w:hAnchor="page" w:x="1327" w:y="6897" w:anchorLock="1"/>
        <w:ind w:firstLine="0"/>
        <w:jc w:val="center"/>
        <w:outlineLvl w:val="9"/>
        <w:rPr>
          <w:rFonts w:ascii="Times New Roman" w:hAnsi="Times New Roman" w:eastAsia="黑体" w:cs="Times New Roman"/>
          <w:color w:val="000000"/>
          <w:sz w:val="28"/>
          <w:szCs w:val="28"/>
          <w:lang w:val="fr-FR" w:eastAsia="zh-CN"/>
        </w:rPr>
      </w:pPr>
      <w:r>
        <w:rPr>
          <w:rFonts w:ascii="Times New Roman" w:hAnsi="Times New Roman" w:eastAsia="黑体" w:cs="Times New Roman"/>
          <w:color w:val="000000"/>
          <w:sz w:val="28"/>
          <w:szCs w:val="28"/>
          <w:lang w:val="fr-FR" w:eastAsia="zh-CN"/>
        </w:rPr>
        <w:t>Standardization of imaging diagnosis for thymoma</w:t>
      </w:r>
    </w:p>
    <w:p w14:paraId="24E0C6D8">
      <w:pPr>
        <w:pStyle w:val="39"/>
        <w:keepNext/>
        <w:keepLines/>
        <w:framePr w:w="9116" w:h="3482" w:hRule="exact" w:wrap="around" w:vAnchor="page" w:hAnchor="page" w:x="1327" w:y="6897" w:anchorLock="1"/>
        <w:ind w:firstLine="0"/>
        <w:jc w:val="center"/>
        <w:outlineLvl w:val="9"/>
        <w:rPr>
          <w:rFonts w:ascii="Times New Roman" w:hAnsi="Times New Roman" w:cs="Times New Roman"/>
          <w:b w:val="0"/>
          <w:bCs w:val="0"/>
          <w:color w:val="000000"/>
          <w:sz w:val="28"/>
          <w:szCs w:val="28"/>
          <w:lang w:val="fr-FR" w:eastAsia="zh-CN"/>
        </w:rPr>
      </w:pPr>
      <w:r>
        <w:rPr>
          <w:rFonts w:hint="eastAsia" w:ascii="Times New Roman" w:hAnsi="Times New Roman" w:cs="Times New Roman"/>
          <w:b w:val="0"/>
          <w:bCs w:val="0"/>
          <w:color w:val="000000"/>
          <w:sz w:val="28"/>
          <w:szCs w:val="28"/>
          <w:lang w:val="fr-FR" w:eastAsia="zh-CN"/>
        </w:rPr>
        <w:t>（</w:t>
      </w:r>
      <w:r>
        <w:rPr>
          <w:rFonts w:hint="eastAsia" w:ascii="Times New Roman" w:hAnsi="Times New Roman" w:cs="Times New Roman"/>
          <w:b w:val="0"/>
          <w:bCs w:val="0"/>
          <w:color w:val="000000"/>
          <w:sz w:val="28"/>
          <w:szCs w:val="28"/>
          <w:lang w:val="en-US" w:eastAsia="zh-CN"/>
        </w:rPr>
        <w:t>征求意见稿</w:t>
      </w:r>
      <w:r>
        <w:rPr>
          <w:rFonts w:hint="eastAsia" w:ascii="Times New Roman" w:hAnsi="Times New Roman" w:cs="Times New Roman"/>
          <w:b w:val="0"/>
          <w:bCs w:val="0"/>
          <w:color w:val="000000"/>
          <w:sz w:val="28"/>
          <w:szCs w:val="28"/>
          <w:lang w:val="fr-FR" w:eastAsia="zh-CN"/>
        </w:rPr>
        <w:t>）</w:t>
      </w:r>
    </w:p>
    <w:p w14:paraId="5E390A22">
      <w:pPr>
        <w:pStyle w:val="46"/>
        <w:framePr w:wrap="around" w:hAnchor="page" w:x="1181" w:y="15181"/>
        <w:rPr>
          <w:lang w:val="fr-FR"/>
        </w:rPr>
      </w:pPr>
      <w:r>
        <w:rPr>
          <w:rFonts w:hint="eastAsia" w:ascii="黑体" w:hAnsi="黑体"/>
          <w:lang w:val="fr-FR"/>
        </w:rPr>
        <w:t>202X</w:t>
      </w:r>
      <w:r>
        <w:rPr>
          <w:rFonts w:ascii="黑体" w:hAnsi="黑体"/>
          <w:lang w:val="fr-FR"/>
        </w:rPr>
        <w:t>-</w:t>
      </w:r>
      <w:r>
        <w:rPr>
          <w:rFonts w:hint="eastAsia" w:ascii="黑体" w:hAnsi="黑体"/>
          <w:lang w:val="fr-FR"/>
        </w:rPr>
        <w:t>XX</w:t>
      </w:r>
      <w:r>
        <w:rPr>
          <w:rFonts w:ascii="黑体" w:hAnsi="黑体"/>
          <w:lang w:val="fr-FR"/>
        </w:rPr>
        <w:t>-</w:t>
      </w:r>
      <w:r>
        <w:rPr>
          <w:rFonts w:hint="eastAsia" w:ascii="黑体" w:hAnsi="黑体"/>
          <w:szCs w:val="22"/>
          <w:lang w:val="fr-FR"/>
        </w:rPr>
        <w:t>XX</w:t>
      </w:r>
      <w:r>
        <w:rPr>
          <w:rFonts w:hint="eastAsia"/>
        </w:rPr>
        <w:t>发布</w:t>
      </w:r>
      <w:r>
        <w:rPr>
          <w:rFonts w:hint="eastAsia"/>
          <w:lang w:val="fr-FR"/>
        </w:rPr>
        <w:t xml:space="preserve">                                     </w:t>
      </w:r>
      <w:r>
        <w:rPr>
          <w:rFonts w:hint="eastAsia" w:ascii="黑体" w:hAnsi="黑体"/>
          <w:szCs w:val="22"/>
          <w:lang w:val="fr-FR"/>
        </w:rPr>
        <w:t>202X-XX-XX</w:t>
      </w:r>
      <w:r>
        <w:rPr>
          <w:rFonts w:hint="eastAsia" w:ascii="黑体" w:hAnsi="黑体"/>
          <w:szCs w:val="22"/>
        </w:rPr>
        <w:t>实施</w:t>
      </w:r>
      <w:r>
        <mc:AlternateContent>
          <mc:Choice Requires="wps">
            <w:drawing>
              <wp:anchor distT="0" distB="0" distL="114300" distR="114300" simplePos="0" relativeHeight="251659264" behindDoc="0" locked="1" layoutInCell="1" allowOverlap="1">
                <wp:simplePos x="0" y="0"/>
                <wp:positionH relativeFrom="margin">
                  <wp:posOffset>-280670</wp:posOffset>
                </wp:positionH>
                <wp:positionV relativeFrom="margin">
                  <wp:posOffset>8956675</wp:posOffset>
                </wp:positionV>
                <wp:extent cx="6120130" cy="0"/>
                <wp:effectExtent l="0" t="0" r="14605" b="19050"/>
                <wp:wrapSquare wrapText="bothSides"/>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22.1pt;margin-top:705.25pt;height:0pt;width:481.9pt;mso-position-horizontal-relative:margin;mso-position-vertical-relative:margin;mso-wrap-distance-bottom:0pt;mso-wrap-distance-left:9pt;mso-wrap-distance-right:9pt;mso-wrap-distance-top:0pt;z-index:251659264;mso-width-relative:page;mso-height-relative:page;" filled="f" stroked="t" coordsize="21600,21600" o:gfxdata="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EeLOL&#10;2AAAAA0BAAAPAAAAAAAAAAEAIAAAACIAAABkcnMvZG93bnJldi54bWxQSwECFAAUAAAACACHTuJA&#10;0XtT/egBAAC4AwAADgAAAAAAAAABACAAAAAnAQAAZHJzL2Uyb0RvYy54bWxQSwUGAAAAAAYABgBZ&#10;AQAAgQUAAAAA&#10;">
                <v:fill on="f" focussize="0,0"/>
                <v:stroke color="#000000" joinstyle="round"/>
                <v:imagedata o:title=""/>
                <o:lock v:ext="edit" aspectratio="f"/>
                <w10:wrap type="square"/>
                <w10:anchorlock/>
              </v:line>
            </w:pict>
          </mc:Fallback>
        </mc:AlternateContent>
      </w:r>
    </w:p>
    <w:p w14:paraId="4D46A6FF">
      <w:pPr>
        <w:pStyle w:val="44"/>
        <w:framePr w:wrap="around" w:x="1276" w:y="15581"/>
        <w:rPr>
          <w:rFonts w:hint="eastAsia"/>
          <w:b/>
          <w:bCs/>
          <w:sz w:val="28"/>
          <w:szCs w:val="28"/>
          <w:lang w:val="fr-FR"/>
        </w:rPr>
      </w:pPr>
      <w:r>
        <w:rPr>
          <w:rFonts w:hint="eastAsia"/>
          <w:sz w:val="28"/>
          <w:szCs w:val="28"/>
        </w:rPr>
        <w:t>中国研究型医院学会</w:t>
      </w:r>
      <w:r>
        <w:rPr>
          <w:rFonts w:hint="eastAsia"/>
          <w:sz w:val="28"/>
          <w:szCs w:val="28"/>
          <w:lang w:val="fr-FR"/>
        </w:rPr>
        <w:t xml:space="preserve"> </w:t>
      </w:r>
      <w:r>
        <w:rPr>
          <w:rFonts w:hint="eastAsia"/>
          <w:sz w:val="28"/>
          <w:szCs w:val="28"/>
        </w:rPr>
        <w:t>发布</w:t>
      </w:r>
      <w:bookmarkEnd w:id="2"/>
    </w:p>
    <w:p w14:paraId="2A816D03">
      <w:pPr>
        <w:rPr>
          <w:rFonts w:hint="eastAsia" w:eastAsia="宋体"/>
          <w:lang w:val="fr-FR"/>
        </w:rPr>
      </w:pPr>
      <w:r>
        <w:rPr>
          <w:rFonts w:hint="eastAsia" w:eastAsia="宋体"/>
        </w:rPr>
        <w:drawing>
          <wp:anchor distT="0" distB="0" distL="114300" distR="114300" simplePos="0" relativeHeight="251663360" behindDoc="0" locked="0" layoutInCell="1" allowOverlap="1">
            <wp:simplePos x="0" y="0"/>
            <wp:positionH relativeFrom="column">
              <wp:posOffset>4586605</wp:posOffset>
            </wp:positionH>
            <wp:positionV relativeFrom="page">
              <wp:posOffset>146050</wp:posOffset>
            </wp:positionV>
            <wp:extent cx="1076325" cy="1040130"/>
            <wp:effectExtent l="0" t="0" r="9525" b="7620"/>
            <wp:wrapTopAndBottom/>
            <wp:docPr id="1" name="图片 1"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a06827f94baeb281ac1150c54aaec17"/>
                    <pic:cNvPicPr>
                      <a:picLocks noChangeAspect="1"/>
                    </pic:cNvPicPr>
                  </pic:nvPicPr>
                  <pic:blipFill>
                    <a:blip r:embed="rId17"/>
                    <a:stretch>
                      <a:fillRect/>
                    </a:stretch>
                  </pic:blipFill>
                  <pic:spPr>
                    <a:xfrm>
                      <a:off x="0" y="0"/>
                      <a:ext cx="1076325" cy="1040130"/>
                    </a:xfrm>
                    <a:prstGeom prst="rect">
                      <a:avLst/>
                    </a:prstGeom>
                  </pic:spPr>
                </pic:pic>
              </a:graphicData>
            </a:graphic>
          </wp:anchor>
        </w:drawing>
      </w:r>
    </w:p>
    <w:p w14:paraId="423FE6E7">
      <w:pPr>
        <w:spacing w:line="360" w:lineRule="auto"/>
        <w:jc w:val="center"/>
        <w:rPr>
          <w:rFonts w:hint="eastAsia" w:ascii="宋体" w:hAnsi="宋体" w:eastAsia="宋体" w:cs="Times New Roman"/>
          <w:bCs/>
          <w:sz w:val="24"/>
          <w:szCs w:val="24"/>
          <w:lang w:val="fr-FR"/>
        </w:rPr>
      </w:pPr>
    </w:p>
    <w:p w14:paraId="288A0B74">
      <w:pPr>
        <w:spacing w:line="360" w:lineRule="auto"/>
        <w:jc w:val="center"/>
        <w:rPr>
          <w:rFonts w:hint="eastAsia" w:ascii="宋体" w:hAnsi="宋体" w:eastAsia="宋体" w:cs="Times New Roman"/>
          <w:bCs/>
          <w:sz w:val="24"/>
          <w:szCs w:val="24"/>
          <w:lang w:val="fr-FR"/>
        </w:rPr>
      </w:pPr>
    </w:p>
    <w:p w14:paraId="52E62B52">
      <w:pPr>
        <w:widowControl/>
        <w:spacing w:line="360" w:lineRule="auto"/>
        <w:jc w:val="center"/>
        <w:rPr>
          <w:rFonts w:hint="eastAsia" w:ascii="黑体" w:hAnsi="黑体" w:eastAsia="黑体" w:cs="黑体"/>
          <w:sz w:val="32"/>
          <w:szCs w:val="32"/>
          <w:lang w:val="fr-FR"/>
        </w:rPr>
        <w:sectPr>
          <w:headerReference r:id="rId3" w:type="default"/>
          <w:footerReference r:id="rId5" w:type="default"/>
          <w:headerReference r:id="rId4" w:type="even"/>
          <w:pgSz w:w="11906" w:h="16838"/>
          <w:pgMar w:top="1100" w:right="1800" w:bottom="1100" w:left="1800" w:header="851" w:footer="992" w:gutter="0"/>
          <w:pgNumType w:fmt="upperRoman" w:start="0"/>
          <w:cols w:space="425" w:num="1"/>
          <w:titlePg/>
          <w:docGrid w:type="lines" w:linePitch="312" w:charSpace="0"/>
        </w:sectPr>
      </w:pPr>
    </w:p>
    <w:p w14:paraId="4C017248">
      <w:pPr>
        <w:widowControl/>
        <w:spacing w:before="312" w:beforeLines="100" w:after="312" w:afterLines="100" w:line="240" w:lineRule="auto"/>
        <w:jc w:val="center"/>
        <w:rPr>
          <w:rFonts w:hint="eastAsia" w:ascii="黑体" w:hAnsi="黑体" w:eastAsia="黑体" w:cs="黑体"/>
          <w:sz w:val="32"/>
          <w:szCs w:val="32"/>
        </w:rPr>
      </w:pPr>
      <w:r>
        <w:rPr>
          <w:rFonts w:hint="eastAsia" w:ascii="黑体" w:hAnsi="黑体" w:eastAsia="黑体" w:cs="黑体"/>
          <w:sz w:val="32"/>
          <w:szCs w:val="32"/>
        </w:rPr>
        <w:t>目  次</w:t>
      </w:r>
    </w:p>
    <w:sdt>
      <w:sdtPr>
        <w:rPr>
          <w:rFonts w:asciiTheme="minorHAnsi" w:hAnsiTheme="minorHAnsi" w:eastAsiaTheme="minorEastAsia" w:cstheme="minorBidi"/>
          <w:color w:val="auto"/>
          <w:kern w:val="2"/>
          <w:sz w:val="21"/>
          <w:szCs w:val="22"/>
          <w:lang w:val="zh-CN"/>
        </w:rPr>
        <w:id w:val="888305459"/>
        <w:docPartObj>
          <w:docPartGallery w:val="Table of Contents"/>
          <w:docPartUnique/>
        </w:docPartObj>
      </w:sdtPr>
      <w:sdtEndPr>
        <w:rPr>
          <w:rFonts w:asciiTheme="minorHAnsi" w:hAnsiTheme="minorHAnsi" w:eastAsiaTheme="minorEastAsia" w:cstheme="minorBidi"/>
          <w:b/>
          <w:bCs/>
          <w:color w:val="auto"/>
          <w:kern w:val="2"/>
          <w:sz w:val="21"/>
          <w:szCs w:val="22"/>
          <w:lang w:val="zh-CN"/>
        </w:rPr>
      </w:sdtEndPr>
      <w:sdtContent>
        <w:p w14:paraId="62B70415">
          <w:pPr>
            <w:pStyle w:val="56"/>
            <w:rPr>
              <w:rFonts w:hint="eastAsia"/>
              <w:sz w:val="21"/>
              <w:szCs w:val="21"/>
            </w:rPr>
          </w:pPr>
        </w:p>
        <w:p w14:paraId="70E3F96C">
          <w:pPr>
            <w:pStyle w:val="9"/>
            <w:tabs>
              <w:tab w:val="right" w:leader="dot" w:pos="8296"/>
            </w:tabs>
            <w:rPr>
              <w:rFonts w:hint="eastAsia" w:ascii="Times New Roman" w:hAnsi="Times New Roman" w:eastAsia="宋体" w:cs="Times New Roman"/>
              <w:sz w:val="22"/>
              <w:szCs w:val="24"/>
              <w14:ligatures w14:val="standardContextual"/>
            </w:rPr>
          </w:pPr>
          <w:r>
            <w:fldChar w:fldCharType="begin"/>
          </w:r>
          <w:r>
            <w:instrText xml:space="preserve"> TOC \o "1-3" \h \z \u </w:instrText>
          </w:r>
          <w:r>
            <w:fldChar w:fldCharType="separate"/>
          </w: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"_Toc226898513"</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前言</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_Toc226898513 \h </w:instrText>
          </w:r>
          <w:r>
            <w:rPr>
              <w:rFonts w:hint="eastAsia" w:ascii="Times New Roman" w:hAnsi="Times New Roman" w:eastAsia="宋体" w:cs="Times New Roman"/>
            </w:rPr>
            <w:fldChar w:fldCharType="separate"/>
          </w:r>
          <w:r>
            <w:rPr>
              <w:rFonts w:ascii="Times New Roman" w:hAnsi="Times New Roman" w:eastAsia="宋体" w:cs="Times New Roman"/>
            </w:rPr>
            <w:t>II</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74E4AAA7">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"_Toc226898514"</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1 范围</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_Toc226898514 \h </w:instrText>
          </w:r>
          <w:r>
            <w:rPr>
              <w:rFonts w:hint="eastAsia" w:ascii="Times New Roman" w:hAnsi="Times New Roman" w:eastAsia="宋体" w:cs="Times New Roman"/>
            </w:rPr>
            <w:fldChar w:fldCharType="separate"/>
          </w:r>
          <w:r>
            <w:rPr>
              <w:rFonts w:ascii="Times New Roman" w:hAnsi="Times New Roman" w:eastAsia="宋体" w:cs="Times New Roman"/>
            </w:rPr>
            <w:t>1</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0373C3C7">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"_Toc226898515"</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2 规范性引用文件</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_Toc226898515 \h </w:instrText>
          </w:r>
          <w:r>
            <w:rPr>
              <w:rFonts w:hint="eastAsia" w:ascii="Times New Roman" w:hAnsi="Times New Roman" w:eastAsia="宋体" w:cs="Times New Roman"/>
            </w:rPr>
            <w:fldChar w:fldCharType="separate"/>
          </w:r>
          <w:r>
            <w:rPr>
              <w:rFonts w:ascii="Times New Roman" w:hAnsi="Times New Roman" w:eastAsia="宋体" w:cs="Times New Roman"/>
            </w:rPr>
            <w:t>1</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0B2A6D8E">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"_Toc226898516"</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3 术语和定义</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_Toc226898516 \h </w:instrText>
          </w:r>
          <w:r>
            <w:rPr>
              <w:rFonts w:hint="eastAsia" w:ascii="Times New Roman" w:hAnsi="Times New Roman" w:eastAsia="宋体" w:cs="Times New Roman"/>
            </w:rPr>
            <w:fldChar w:fldCharType="separate"/>
          </w:r>
          <w:r>
            <w:rPr>
              <w:rFonts w:ascii="Times New Roman" w:hAnsi="Times New Roman" w:eastAsia="宋体" w:cs="Times New Roman"/>
            </w:rPr>
            <w:t>1</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75B9A644">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"_Toc226898517"</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4 缩略语</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_Toc226898517 \h </w:instrText>
          </w:r>
          <w:r>
            <w:rPr>
              <w:rFonts w:hint="eastAsia" w:ascii="Times New Roman" w:hAnsi="Times New Roman" w:eastAsia="宋体" w:cs="Times New Roman"/>
            </w:rPr>
            <w:fldChar w:fldCharType="separate"/>
          </w:r>
          <w:r>
            <w:rPr>
              <w:rFonts w:ascii="Times New Roman" w:hAnsi="Times New Roman" w:eastAsia="宋体" w:cs="Times New Roman"/>
            </w:rPr>
            <w:t>3</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6E2C7C0E">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"_Toc226898518"</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5 影像学检查技术</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_Toc226898518 \h </w:instrText>
          </w:r>
          <w:r>
            <w:rPr>
              <w:rFonts w:hint="eastAsia" w:ascii="Times New Roman" w:hAnsi="Times New Roman" w:eastAsia="宋体" w:cs="Times New Roman"/>
            </w:rPr>
            <w:fldChar w:fldCharType="separate"/>
          </w:r>
          <w:r>
            <w:rPr>
              <w:rFonts w:ascii="Times New Roman" w:hAnsi="Times New Roman" w:eastAsia="宋体" w:cs="Times New Roman"/>
            </w:rPr>
            <w:t>3</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3BA020F1">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"_Toc226898519"</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6 影像学诊断与评估</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_Toc226898519 \h </w:instrText>
          </w:r>
          <w:r>
            <w:rPr>
              <w:rFonts w:hint="eastAsia" w:ascii="Times New Roman" w:hAnsi="Times New Roman" w:eastAsia="宋体" w:cs="Times New Roman"/>
            </w:rPr>
            <w:fldChar w:fldCharType="separate"/>
          </w:r>
          <w:r>
            <w:rPr>
              <w:rFonts w:ascii="Times New Roman" w:hAnsi="Times New Roman" w:eastAsia="宋体" w:cs="Times New Roman"/>
            </w:rPr>
            <w:t>4</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091CA122">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"_Toc226898520"</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7 鉴别诊断</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_Toc226898520 \h </w:instrText>
          </w:r>
          <w:r>
            <w:rPr>
              <w:rFonts w:hint="eastAsia" w:ascii="Times New Roman" w:hAnsi="Times New Roman" w:eastAsia="宋体" w:cs="Times New Roman"/>
            </w:rPr>
            <w:fldChar w:fldCharType="separate"/>
          </w:r>
          <w:r>
            <w:rPr>
              <w:rFonts w:ascii="Times New Roman" w:hAnsi="Times New Roman" w:eastAsia="宋体" w:cs="Times New Roman"/>
            </w:rPr>
            <w:t>7</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2A5E5830">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"_Toc226898521"</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8 结构化报告内容要求</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_Toc226898521 \h </w:instrText>
          </w:r>
          <w:r>
            <w:rPr>
              <w:rFonts w:hint="eastAsia" w:ascii="Times New Roman" w:hAnsi="Times New Roman" w:eastAsia="宋体" w:cs="Times New Roman"/>
            </w:rPr>
            <w:fldChar w:fldCharType="separate"/>
          </w:r>
          <w:r>
            <w:rPr>
              <w:rFonts w:ascii="Times New Roman" w:hAnsi="Times New Roman" w:eastAsia="宋体" w:cs="Times New Roman"/>
            </w:rPr>
            <w:t>8</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006A042E">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"_Toc226898522"</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rPr>
            <w:t>9 质量控制与多学科协作</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_Toc226898522 \h </w:instrText>
          </w:r>
          <w:r>
            <w:rPr>
              <w:rFonts w:hint="eastAsia" w:ascii="Times New Roman" w:hAnsi="Times New Roman" w:eastAsia="宋体" w:cs="Times New Roman"/>
            </w:rPr>
            <w:fldChar w:fldCharType="separate"/>
          </w:r>
          <w:r>
            <w:rPr>
              <w:rFonts w:ascii="Times New Roman" w:hAnsi="Times New Roman" w:eastAsia="宋体" w:cs="Times New Roman"/>
            </w:rPr>
            <w:t>9</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59E794E1">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"_Toc226898523"</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bCs/>
            </w:rPr>
            <w:t>附录</w:t>
          </w:r>
          <w:r>
            <w:rPr>
              <w:rStyle w:val="18"/>
              <w:rFonts w:ascii="Times New Roman" w:hAnsi="Times New Roman" w:eastAsia="宋体" w:cs="Times New Roman"/>
              <w:bCs/>
            </w:rPr>
            <w:t>A（资料性）</w:t>
          </w:r>
          <w:r>
            <w:rPr>
              <w:rStyle w:val="18"/>
              <w:rFonts w:hint="eastAsia" w:ascii="Times New Roman" w:hAnsi="Times New Roman" w:eastAsia="宋体" w:cs="Times New Roman"/>
              <w:bCs/>
            </w:rPr>
            <w:t>胸腺瘤影像学结构化报告要素</w:t>
          </w:r>
          <w:r>
            <w:rPr>
              <w:rStyle w:val="18"/>
              <w:rFonts w:hint="eastAsia" w:ascii="Times New Roman" w:hAnsi="Times New Roman" w:eastAsia="宋体" w:cs="Times New Roman"/>
            </w:rPr>
            <w:tab/>
          </w: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PAGEREF _Toc226898523 \h </w:instrText>
          </w:r>
          <w:r>
            <w:rPr>
              <w:rStyle w:val="18"/>
              <w:rFonts w:hint="eastAsia" w:ascii="Times New Roman" w:hAnsi="Times New Roman" w:eastAsia="宋体" w:cs="Times New Roman"/>
            </w:rPr>
            <w:fldChar w:fldCharType="separate"/>
          </w:r>
          <w:r>
            <w:rPr>
              <w:rStyle w:val="18"/>
              <w:rFonts w:ascii="Times New Roman" w:hAnsi="Times New Roman" w:eastAsia="宋体" w:cs="Times New Roman"/>
            </w:rPr>
            <w:t>10</w:t>
          </w:r>
          <w:r>
            <w:rPr>
              <w:rStyle w:val="18"/>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24476C35">
          <w:pPr>
            <w:pStyle w:val="9"/>
            <w:tabs>
              <w:tab w:val="right" w:leader="dot" w:pos="8296"/>
            </w:tabs>
            <w:rPr>
              <w:rFonts w:hint="eastAsia" w:ascii="Times New Roman" w:hAnsi="Times New Roman" w:eastAsia="宋体" w:cs="Times New Roman"/>
              <w:sz w:val="22"/>
              <w:szCs w:val="24"/>
              <w14:ligatures w14:val="standardContextual"/>
            </w:rPr>
          </w:pPr>
          <w:r>
            <w:rPr>
              <w:rStyle w:val="18"/>
              <w:rFonts w:hint="eastAsia" w:ascii="Times New Roman" w:hAnsi="Times New Roman" w:eastAsia="宋体" w:cs="Times New Roman"/>
            </w:rPr>
            <w:fldChar w:fldCharType="begin"/>
          </w:r>
          <w:r>
            <w:rPr>
              <w:rStyle w:val="18"/>
              <w:rFonts w:hint="eastAsia" w:ascii="Times New Roman" w:hAnsi="Times New Roman" w:eastAsia="宋体" w:cs="Times New Roman"/>
            </w:rPr>
            <w:instrText xml:space="preserve"> </w:instrText>
          </w:r>
          <w:r>
            <w:rPr>
              <w:rFonts w:hint="eastAsia" w:ascii="Times New Roman" w:hAnsi="Times New Roman" w:eastAsia="宋体" w:cs="Times New Roman"/>
            </w:rPr>
            <w:instrText xml:space="preserve">HYPERLINK \l "_Toc226898526"</w:instrText>
          </w:r>
          <w:r>
            <w:rPr>
              <w:rStyle w:val="18"/>
              <w:rFonts w:hint="eastAsia" w:ascii="Times New Roman" w:hAnsi="Times New Roman" w:eastAsia="宋体" w:cs="Times New Roman"/>
            </w:rPr>
            <w:instrText xml:space="preserve"> </w:instrText>
          </w:r>
          <w:r>
            <w:rPr>
              <w:rStyle w:val="18"/>
              <w:rFonts w:hint="eastAsia" w:ascii="Times New Roman" w:hAnsi="Times New Roman" w:eastAsia="宋体" w:cs="Times New Roman"/>
            </w:rPr>
            <w:fldChar w:fldCharType="separate"/>
          </w:r>
          <w:r>
            <w:rPr>
              <w:rStyle w:val="18"/>
              <w:rFonts w:hint="eastAsia" w:ascii="Times New Roman" w:hAnsi="Times New Roman" w:eastAsia="宋体" w:cs="Times New Roman"/>
              <w:bCs/>
              <w:shd w:val="clear" w:color="auto" w:fill="FFFFFF"/>
            </w:rPr>
            <w:t>参考文献</w:t>
          </w:r>
          <w:r>
            <w:rPr>
              <w:rFonts w:hint="eastAsia" w:ascii="Times New Roman" w:hAnsi="Times New Roman" w:eastAsia="宋体" w:cs="Times New Roman"/>
            </w:rPr>
            <w:tab/>
          </w:r>
          <w:r>
            <w:rPr>
              <w:rFonts w:hint="eastAsia" w:ascii="Times New Roman" w:hAnsi="Times New Roman" w:eastAsia="宋体" w:cs="Times New Roman"/>
            </w:rPr>
            <w:fldChar w:fldCharType="begin"/>
          </w:r>
          <w:r>
            <w:rPr>
              <w:rFonts w:hint="eastAsia" w:ascii="Times New Roman" w:hAnsi="Times New Roman" w:eastAsia="宋体" w:cs="Times New Roman"/>
            </w:rPr>
            <w:instrText xml:space="preserve"> PAGEREF _Toc226898526 \h </w:instrText>
          </w:r>
          <w:r>
            <w:rPr>
              <w:rFonts w:hint="eastAsia" w:ascii="Times New Roman" w:hAnsi="Times New Roman" w:eastAsia="宋体" w:cs="Times New Roman"/>
            </w:rPr>
            <w:fldChar w:fldCharType="separate"/>
          </w:r>
          <w:r>
            <w:rPr>
              <w:rFonts w:ascii="Times New Roman" w:hAnsi="Times New Roman" w:eastAsia="宋体" w:cs="Times New Roman"/>
            </w:rPr>
            <w:t>12</w:t>
          </w:r>
          <w:r>
            <w:rPr>
              <w:rFonts w:hint="eastAsia" w:ascii="Times New Roman" w:hAnsi="Times New Roman" w:eastAsia="宋体" w:cs="Times New Roman"/>
            </w:rPr>
            <w:fldChar w:fldCharType="end"/>
          </w:r>
          <w:r>
            <w:rPr>
              <w:rStyle w:val="18"/>
              <w:rFonts w:hint="eastAsia" w:ascii="Times New Roman" w:hAnsi="Times New Roman" w:eastAsia="宋体" w:cs="Times New Roman"/>
            </w:rPr>
            <w:fldChar w:fldCharType="end"/>
          </w:r>
        </w:p>
        <w:p w14:paraId="222477AB">
          <w:pPr>
            <w:rPr>
              <w:rFonts w:hint="eastAsia"/>
            </w:rPr>
          </w:pPr>
          <w:r>
            <w:rPr>
              <w:b/>
              <w:bCs/>
              <w:lang w:val="zh-CN"/>
            </w:rPr>
            <w:fldChar w:fldCharType="end"/>
          </w:r>
        </w:p>
      </w:sdtContent>
    </w:sdt>
    <w:p w14:paraId="2CD71AE8">
      <w:pPr>
        <w:widowControl/>
        <w:spacing w:line="360" w:lineRule="auto"/>
        <w:rPr>
          <w:rFonts w:hint="eastAsia"/>
        </w:rPr>
        <w:sectPr>
          <w:headerReference r:id="rId6" w:type="first"/>
          <w:footerReference r:id="rId9" w:type="first"/>
          <w:footerReference r:id="rId7" w:type="default"/>
          <w:footerReference r:id="rId8" w:type="even"/>
          <w:pgSz w:w="11906" w:h="16838"/>
          <w:pgMar w:top="1440" w:right="1800" w:bottom="1440" w:left="1800" w:header="851" w:footer="992" w:gutter="0"/>
          <w:pgNumType w:fmt="upperRoman" w:start="1"/>
          <w:cols w:space="425" w:num="1"/>
          <w:titlePg/>
          <w:docGrid w:type="lines" w:linePitch="312" w:charSpace="0"/>
        </w:sectPr>
      </w:pPr>
    </w:p>
    <w:p w14:paraId="532FFEF6">
      <w:pPr>
        <w:pStyle w:val="9"/>
        <w:spacing w:before="312" w:beforeLines="100" w:after="312" w:afterLines="100"/>
        <w:jc w:val="center"/>
        <w:outlineLvl w:val="0"/>
        <w:rPr>
          <w:rFonts w:hint="eastAsia" w:ascii="黑体" w:hAnsi="黑体" w:eastAsia="黑体" w:cs="黑体"/>
          <w:sz w:val="32"/>
          <w:szCs w:val="32"/>
        </w:rPr>
      </w:pPr>
      <w:bookmarkStart w:id="3" w:name="_Toc226898513"/>
      <w:r>
        <w:rPr>
          <w:rFonts w:hint="eastAsia" w:ascii="黑体" w:hAnsi="黑体" w:eastAsia="黑体" w:cs="黑体"/>
          <w:sz w:val="32"/>
          <w:szCs w:val="32"/>
        </w:rPr>
        <w:t>前  言</w:t>
      </w:r>
      <w:bookmarkEnd w:id="3"/>
    </w:p>
    <w:p w14:paraId="1F9C5F41">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本文件按照GB/T 1.1</w:t>
      </w:r>
      <w:r>
        <w:rPr>
          <w:rFonts w:hint="eastAsia" w:ascii="Times New Roman" w:hAnsi="Times New Roman" w:eastAsia="宋体" w:cs="Times New Roman"/>
          <w:szCs w:val="21"/>
        </w:rPr>
        <w:t>-</w:t>
      </w:r>
      <w:r>
        <w:rPr>
          <w:rFonts w:hint="eastAsia" w:ascii="Times New Roman" w:hAnsi="Times New Roman" w:eastAsia="宋体" w:cs="Times New Roman"/>
          <w:szCs w:val="21"/>
        </w:rPr>
        <w:t>2020</w:t>
      </w:r>
      <w:r>
        <w:rPr>
          <w:rFonts w:hint="eastAsia" w:ascii="Times New Roman" w:hAnsi="Times New Roman" w:eastAsia="宋体" w:cs="Times New Roman"/>
          <w:szCs w:val="21"/>
        </w:rPr>
        <w:t xml:space="preserve"> </w:t>
      </w:r>
      <w:r>
        <w:rPr>
          <w:rFonts w:hint="eastAsia" w:ascii="Times New Roman" w:hAnsi="Times New Roman" w:eastAsia="宋体" w:cs="Times New Roman"/>
          <w:szCs w:val="21"/>
        </w:rPr>
        <w:t>《标准化工作导则 第1部分：标准化文件的结构和起草规则》的规定起草。</w:t>
      </w:r>
    </w:p>
    <w:p w14:paraId="4CFF05C6">
      <w:pPr>
        <w:pStyle w:val="49"/>
        <w:rPr>
          <w:rFonts w:hint="eastAsia" w:ascii="Times New Roman" w:hAnsi="Times New Roman"/>
        </w:rPr>
      </w:pPr>
      <w:r>
        <w:rPr>
          <w:rFonts w:hint="eastAsia"/>
        </w:rPr>
        <w:t>请注意本文件的某些内容可能涉及专利。本文件的发布机构不承担识别专利的责任。</w:t>
      </w:r>
    </w:p>
    <w:p w14:paraId="6E8D4981">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本文件由江西省人民医院提出。</w:t>
      </w:r>
    </w:p>
    <w:p w14:paraId="3D49CC21">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本文件由中国研究型医院学会归口。</w:t>
      </w:r>
    </w:p>
    <w:p w14:paraId="5328E7FA">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本文件主要起草单位：。</w:t>
      </w:r>
    </w:p>
    <w:p w14:paraId="6358416D">
      <w:pPr>
        <w:ind w:firstLine="420" w:firstLineChars="200"/>
        <w:rPr>
          <w:rFonts w:hint="eastAsia" w:ascii="Times New Roman" w:hAnsi="Times New Roman" w:eastAsia="宋体" w:cs="Times New Roman"/>
          <w:szCs w:val="21"/>
        </w:rPr>
        <w:sectPr>
          <w:footerReference r:id="rId12" w:type="first"/>
          <w:footerReference r:id="rId10" w:type="default"/>
          <w:footerReference r:id="rId11" w:type="even"/>
          <w:pgSz w:w="11906" w:h="16838"/>
          <w:pgMar w:top="1440" w:right="1800" w:bottom="1440" w:left="1800" w:header="851" w:footer="992" w:gutter="0"/>
          <w:pgNumType w:fmt="upperRoman"/>
          <w:cols w:space="425" w:num="1"/>
          <w:docGrid w:type="lines" w:linePitch="312" w:charSpace="0"/>
        </w:sectPr>
      </w:pPr>
      <w:r>
        <w:rPr>
          <w:rFonts w:hint="eastAsia" w:ascii="Times New Roman" w:hAnsi="Times New Roman" w:eastAsia="宋体" w:cs="Times New Roman"/>
          <w:szCs w:val="21"/>
        </w:rPr>
        <w:t>本文件主要起草人：。</w:t>
      </w:r>
    </w:p>
    <w:p w14:paraId="49F8F84D">
      <w:pPr>
        <w:pStyle w:val="49"/>
        <w:spacing w:line="240" w:lineRule="auto"/>
        <w:ind w:firstLine="0" w:firstLineChars="0"/>
        <w:jc w:val="center"/>
        <w:rPr>
          <w:rFonts w:ascii="黑体" w:hAnsi="黑体" w:eastAsia="黑体"/>
          <w:b w:val="0"/>
          <w:bCs w:val="0"/>
          <w:sz w:val="32"/>
          <w:szCs w:val="32"/>
        </w:rPr>
      </w:pPr>
      <w:bookmarkStart w:id="4" w:name="_Toc17028"/>
      <w:r>
        <w:rPr>
          <w:rFonts w:hint="eastAsia" w:ascii="黑体" w:hAnsi="黑体" w:eastAsia="黑体"/>
          <w:b w:val="0"/>
          <w:bCs w:val="0"/>
          <w:sz w:val="32"/>
          <w:szCs w:val="32"/>
        </w:rPr>
        <w:t>胸腺瘤影像学诊断规范</w:t>
      </w:r>
    </w:p>
    <w:p w14:paraId="4BD2EA1C">
      <w:pPr>
        <w:pStyle w:val="49"/>
        <w:spacing w:before="312" w:beforeLines="100" w:after="312" w:afterLines="100" w:line="240" w:lineRule="auto"/>
        <w:ind w:firstLine="0" w:firstLineChars="0"/>
        <w:outlineLvl w:val="0"/>
        <w:rPr>
          <w:rFonts w:ascii="黑体" w:hAnsi="黑体" w:eastAsia="黑体"/>
          <w:b w:val="0"/>
          <w:bCs w:val="0"/>
          <w:sz w:val="21"/>
          <w:szCs w:val="21"/>
        </w:rPr>
      </w:pPr>
      <w:bookmarkStart w:id="5" w:name="_Toc226898514"/>
      <w:r>
        <w:rPr>
          <w:rFonts w:ascii="黑体" w:hAnsi="黑体" w:eastAsia="黑体"/>
          <w:b w:val="0"/>
          <w:bCs w:val="0"/>
          <w:sz w:val="21"/>
          <w:szCs w:val="21"/>
        </w:rPr>
        <w:t xml:space="preserve">1 </w:t>
      </w:r>
      <w:r>
        <w:rPr>
          <w:rFonts w:hint="eastAsia" w:ascii="黑体" w:hAnsi="黑体" w:eastAsia="黑体"/>
          <w:b w:val="0"/>
          <w:bCs w:val="0"/>
          <w:sz w:val="21"/>
          <w:szCs w:val="21"/>
        </w:rPr>
        <w:t>范围</w:t>
      </w:r>
      <w:bookmarkEnd w:id="5"/>
    </w:p>
    <w:p w14:paraId="756C0325">
      <w:pPr>
        <w:pStyle w:val="49"/>
      </w:pPr>
      <w:r>
        <w:rPr>
          <w:rFonts w:hint="eastAsia"/>
        </w:rPr>
        <w:t>本文件规定了胸腺瘤（含胸腺上皮肿瘤相关亚型）影像学检查技术、诊断评估要点、鉴别诊断、报告规范及质量控制的基本要求。</w:t>
      </w:r>
    </w:p>
    <w:p w14:paraId="4BC18D83">
      <w:pPr>
        <w:pStyle w:val="49"/>
      </w:pPr>
      <w:r>
        <w:rPr>
          <w:rFonts w:hint="eastAsia"/>
        </w:rPr>
        <w:t>本文件适用于中国境内各级医疗机构放射科及相关临床科室对胸腺瘤的影像学检查、诊断与报告工作。</w:t>
      </w:r>
    </w:p>
    <w:p w14:paraId="5B5ECA28">
      <w:pPr>
        <w:pStyle w:val="49"/>
        <w:spacing w:before="312" w:beforeLines="100" w:after="312" w:afterLines="100" w:line="240" w:lineRule="auto"/>
        <w:ind w:firstLine="0" w:firstLineChars="0"/>
        <w:outlineLvl w:val="0"/>
        <w:rPr>
          <w:rFonts w:ascii="黑体" w:hAnsi="黑体" w:eastAsia="黑体"/>
          <w:b w:val="0"/>
          <w:bCs w:val="0"/>
          <w:sz w:val="21"/>
          <w:szCs w:val="21"/>
        </w:rPr>
      </w:pPr>
      <w:bookmarkStart w:id="6" w:name="_Toc226898515"/>
      <w:r>
        <w:rPr>
          <w:rFonts w:ascii="黑体" w:hAnsi="黑体" w:eastAsia="黑体"/>
          <w:b w:val="0"/>
          <w:bCs w:val="0"/>
          <w:sz w:val="21"/>
          <w:szCs w:val="21"/>
        </w:rPr>
        <w:t xml:space="preserve">2 </w:t>
      </w:r>
      <w:r>
        <w:rPr>
          <w:rFonts w:hint="eastAsia" w:ascii="黑体" w:hAnsi="黑体" w:eastAsia="黑体"/>
          <w:b w:val="0"/>
          <w:bCs w:val="0"/>
          <w:sz w:val="21"/>
          <w:szCs w:val="21"/>
        </w:rPr>
        <w:t>规范性引用文件</w:t>
      </w:r>
      <w:bookmarkEnd w:id="6"/>
    </w:p>
    <w:p w14:paraId="5E7E4C20">
      <w:pPr>
        <w:pStyle w:val="49"/>
        <w:ind w:firstLineChars="0"/>
      </w:pPr>
      <w:r>
        <w:rPr>
          <w:rFonts w:hint="eastAsia"/>
        </w:rPr>
        <w:t>本文件没有规范性引用文件。</w:t>
      </w:r>
    </w:p>
    <w:p w14:paraId="2E3B6189">
      <w:pPr>
        <w:pStyle w:val="49"/>
        <w:spacing w:before="312" w:beforeLines="100" w:after="312" w:afterLines="100" w:line="240" w:lineRule="auto"/>
        <w:ind w:firstLine="0" w:firstLineChars="0"/>
        <w:outlineLvl w:val="0"/>
        <w:rPr>
          <w:rFonts w:ascii="黑体" w:hAnsi="黑体" w:eastAsia="黑体"/>
          <w:b w:val="0"/>
          <w:bCs w:val="0"/>
          <w:sz w:val="21"/>
          <w:szCs w:val="21"/>
        </w:rPr>
      </w:pPr>
      <w:bookmarkStart w:id="7" w:name="_Toc226898516"/>
      <w:r>
        <w:rPr>
          <w:rFonts w:ascii="黑体" w:hAnsi="黑体" w:eastAsia="黑体"/>
          <w:b w:val="0"/>
          <w:bCs w:val="0"/>
          <w:sz w:val="21"/>
          <w:szCs w:val="21"/>
        </w:rPr>
        <w:t xml:space="preserve">3 </w:t>
      </w:r>
      <w:r>
        <w:rPr>
          <w:rFonts w:hint="eastAsia" w:ascii="黑体" w:hAnsi="黑体" w:eastAsia="黑体"/>
          <w:b w:val="0"/>
          <w:bCs w:val="0"/>
          <w:sz w:val="21"/>
          <w:szCs w:val="21"/>
        </w:rPr>
        <w:t>术语和定义</w:t>
      </w:r>
      <w:bookmarkEnd w:id="7"/>
    </w:p>
    <w:p w14:paraId="37198C8D">
      <w:pPr>
        <w:pStyle w:val="49"/>
        <w:ind w:firstLineChars="0"/>
      </w:pPr>
      <w:r>
        <w:rPr>
          <w:rFonts w:hint="eastAsia"/>
        </w:rPr>
        <w:t>下列术语和定义适用于本文件。</w:t>
      </w:r>
    </w:p>
    <w:p w14:paraId="30A35C89">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3.1</w:t>
      </w:r>
    </w:p>
    <w:p w14:paraId="6A31D782">
      <w:pPr>
        <w:pStyle w:val="49"/>
        <w:spacing w:line="240" w:lineRule="auto"/>
        <w:ind w:firstLine="420" w:firstLineChars="200"/>
        <w:rPr>
          <w:b w:val="0"/>
          <w:bCs w:val="0"/>
        </w:rPr>
      </w:pPr>
      <w:r>
        <w:rPr>
          <w:rFonts w:hint="eastAsia" w:ascii="黑体" w:hAnsi="黑体" w:eastAsia="黑体"/>
          <w:b w:val="0"/>
          <w:bCs w:val="0"/>
        </w:rPr>
        <w:t>胸腺瘤</w:t>
      </w:r>
      <w:r>
        <w:rPr>
          <w:b w:val="0"/>
          <w:bCs w:val="0"/>
        </w:rPr>
        <w:t xml:space="preserve"> thymoma</w:t>
      </w:r>
    </w:p>
    <w:p w14:paraId="152591B6">
      <w:pPr>
        <w:pStyle w:val="49"/>
        <w:spacing w:line="240" w:lineRule="auto"/>
        <w:ind w:firstLineChars="0"/>
      </w:pPr>
      <w:r>
        <w:rPr>
          <w:rFonts w:hint="eastAsia"/>
        </w:rPr>
        <w:t>起源于胸腺上皮细胞的肿瘤，属于前纵隔常见原发性肿瘤。根据世界卫生组织（WHO）分类，可分为A型、AB型、B1型、B2型、B3型等组织学亚型。</w:t>
      </w:r>
    </w:p>
    <w:p w14:paraId="327C8E8E">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3.2</w:t>
      </w:r>
    </w:p>
    <w:p w14:paraId="5D53B3C7">
      <w:pPr>
        <w:pStyle w:val="49"/>
        <w:spacing w:line="240" w:lineRule="auto"/>
        <w:ind w:firstLine="420" w:firstLineChars="200"/>
      </w:pPr>
      <w:r>
        <w:rPr>
          <w:rFonts w:hint="eastAsia" w:ascii="黑体" w:hAnsi="黑体" w:eastAsia="黑体"/>
          <w:b w:val="0"/>
          <w:bCs w:val="0"/>
        </w:rPr>
        <w:t>胸腺癌</w:t>
      </w:r>
      <w:r>
        <w:rPr>
          <w:b w:val="0"/>
          <w:bCs w:val="0"/>
        </w:rPr>
        <w:t xml:space="preserve"> thymic carcinoma</w:t>
      </w:r>
    </w:p>
    <w:p w14:paraId="6F24D020">
      <w:pPr>
        <w:pStyle w:val="49"/>
        <w:spacing w:line="240" w:lineRule="auto"/>
        <w:ind w:firstLineChars="0"/>
      </w:pPr>
      <w:r>
        <w:rPr>
          <w:rFonts w:hint="eastAsia"/>
        </w:rPr>
        <w:t>胸腺上皮肿瘤中恶性程度最高的亚型，组织学上表现为明显异型性和侵袭性，影像学上常表现为边界不清、内部坏死明显、强化不均匀的肿块。</w:t>
      </w:r>
    </w:p>
    <w:p w14:paraId="46DE6C25">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3.3</w:t>
      </w:r>
    </w:p>
    <w:p w14:paraId="72515EF9">
      <w:pPr>
        <w:pStyle w:val="49"/>
        <w:spacing w:line="240" w:lineRule="auto"/>
        <w:ind w:firstLine="420" w:firstLineChars="200"/>
        <w:rPr>
          <w:b w:val="0"/>
          <w:bCs w:val="0"/>
        </w:rPr>
      </w:pPr>
      <w:r>
        <w:rPr>
          <w:rFonts w:hint="eastAsia" w:ascii="黑体" w:hAnsi="黑体" w:eastAsia="黑体"/>
          <w:b w:val="0"/>
          <w:bCs w:val="0"/>
        </w:rPr>
        <w:t>低风险胸腺瘤</w:t>
      </w:r>
      <w:r>
        <w:rPr>
          <w:b w:val="0"/>
          <w:bCs w:val="0"/>
        </w:rPr>
        <w:t xml:space="preserve"> low-risk thymoma</w:t>
      </w:r>
    </w:p>
    <w:p w14:paraId="36B56055">
      <w:pPr>
        <w:pStyle w:val="49"/>
        <w:spacing w:line="240" w:lineRule="auto"/>
        <w:ind w:firstLineChars="0"/>
      </w:pPr>
      <w:r>
        <w:rPr>
          <w:rFonts w:hint="eastAsia"/>
        </w:rPr>
        <w:t>WHO组织学分型中生物学行为相对惰性的胸腺瘤，通常包括A型、AB型和B1型。</w:t>
      </w:r>
    </w:p>
    <w:p w14:paraId="140C691F">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3.4</w:t>
      </w:r>
    </w:p>
    <w:p w14:paraId="673D69AE">
      <w:pPr>
        <w:pStyle w:val="49"/>
        <w:spacing w:line="240" w:lineRule="auto"/>
        <w:ind w:firstLine="420" w:firstLineChars="200"/>
        <w:rPr>
          <w:b w:val="0"/>
          <w:bCs w:val="0"/>
        </w:rPr>
      </w:pPr>
      <w:r>
        <w:rPr>
          <w:rFonts w:hint="eastAsia" w:ascii="黑体" w:hAnsi="黑体" w:eastAsia="黑体"/>
          <w:b w:val="0"/>
          <w:bCs w:val="0"/>
        </w:rPr>
        <w:t>高风险胸腺瘤</w:t>
      </w:r>
      <w:r>
        <w:rPr>
          <w:b w:val="0"/>
          <w:bCs w:val="0"/>
        </w:rPr>
        <w:t xml:space="preserve"> high-risk thymoma</w:t>
      </w:r>
    </w:p>
    <w:p w14:paraId="3A0C1905">
      <w:pPr>
        <w:pStyle w:val="49"/>
        <w:spacing w:line="240" w:lineRule="auto"/>
        <w:ind w:firstLineChars="0"/>
      </w:pPr>
      <w:r>
        <w:rPr>
          <w:rFonts w:hint="eastAsia"/>
        </w:rPr>
        <w:t>WHO组织学分型中具有较强侵袭性和转移潜能的胸腺瘤，通常包括B2型、B3型。</w:t>
      </w:r>
    </w:p>
    <w:p w14:paraId="11CDD101">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3.5</w:t>
      </w:r>
    </w:p>
    <w:p w14:paraId="7D28A25D">
      <w:pPr>
        <w:pStyle w:val="49"/>
        <w:spacing w:line="240" w:lineRule="auto"/>
        <w:ind w:firstLine="420" w:firstLineChars="200"/>
        <w:rPr>
          <w:b w:val="0"/>
          <w:bCs w:val="0"/>
        </w:rPr>
      </w:pPr>
      <w:r>
        <w:rPr>
          <w:rFonts w:hint="eastAsia" w:ascii="黑体" w:hAnsi="黑体" w:eastAsia="黑体"/>
          <w:b w:val="0"/>
          <w:bCs w:val="0"/>
        </w:rPr>
        <w:t>侵袭性胸腺瘤</w:t>
      </w:r>
      <w:r>
        <w:rPr>
          <w:b w:val="0"/>
          <w:bCs w:val="0"/>
        </w:rPr>
        <w:t xml:space="preserve"> invasive thymoma</w:t>
      </w:r>
    </w:p>
    <w:p w14:paraId="1AE9C9EA">
      <w:pPr>
        <w:pStyle w:val="49"/>
        <w:spacing w:line="240" w:lineRule="auto"/>
        <w:ind w:firstLineChars="0"/>
      </w:pPr>
      <w:r>
        <w:rPr>
          <w:rFonts w:hint="eastAsia"/>
        </w:rPr>
        <w:t>指肿瘤突破包膜侵犯周围组织，对应于Masaoka-Koga分期II期及以上的胸腺瘤。</w:t>
      </w:r>
    </w:p>
    <w:p w14:paraId="2803DAE8">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3.6</w:t>
      </w:r>
    </w:p>
    <w:p w14:paraId="15F3E0DD">
      <w:pPr>
        <w:pStyle w:val="49"/>
        <w:spacing w:line="240" w:lineRule="auto"/>
        <w:ind w:firstLine="420" w:firstLineChars="200"/>
        <w:rPr>
          <w:b w:val="0"/>
          <w:bCs w:val="0"/>
        </w:rPr>
      </w:pPr>
      <w:r>
        <w:rPr>
          <w:rFonts w:hint="eastAsia" w:ascii="黑体" w:hAnsi="黑体" w:eastAsia="黑体"/>
          <w:b w:val="0"/>
          <w:bCs w:val="0"/>
        </w:rPr>
        <w:t>非侵袭性胸腺瘤</w:t>
      </w:r>
      <w:r>
        <w:rPr>
          <w:b w:val="0"/>
          <w:bCs w:val="0"/>
        </w:rPr>
        <w:t xml:space="preserve"> non-invasive thymoma</w:t>
      </w:r>
    </w:p>
    <w:p w14:paraId="4806435E">
      <w:pPr>
        <w:pStyle w:val="49"/>
        <w:spacing w:line="240" w:lineRule="auto"/>
        <w:ind w:firstLineChars="0"/>
      </w:pPr>
      <w:r>
        <w:rPr>
          <w:rFonts w:hint="eastAsia"/>
        </w:rPr>
        <w:t>指包膜完整、未侵犯周围组织的胸腺瘤，对应于Masaoka-Koga分期I期的胸腺瘤。</w:t>
      </w:r>
    </w:p>
    <w:p w14:paraId="158FD6EF">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3.7</w:t>
      </w:r>
    </w:p>
    <w:p w14:paraId="3353591F">
      <w:pPr>
        <w:pStyle w:val="49"/>
        <w:spacing w:line="240" w:lineRule="auto"/>
        <w:ind w:firstLine="420" w:firstLineChars="200"/>
        <w:rPr>
          <w:b w:val="0"/>
          <w:bCs w:val="0"/>
        </w:rPr>
      </w:pPr>
      <w:r>
        <w:rPr>
          <w:rFonts w:eastAsia="黑体"/>
          <w:b w:val="0"/>
          <w:bCs w:val="0"/>
        </w:rPr>
        <w:t>Masaoka-Koga</w:t>
      </w:r>
      <w:r>
        <w:rPr>
          <w:rFonts w:hint="eastAsia" w:eastAsia="黑体"/>
          <w:b w:val="0"/>
          <w:bCs w:val="0"/>
        </w:rPr>
        <w:t>分</w:t>
      </w:r>
      <w:r>
        <w:rPr>
          <w:rFonts w:hint="eastAsia" w:ascii="黑体" w:hAnsi="黑体" w:eastAsia="黑体"/>
          <w:b w:val="0"/>
          <w:bCs w:val="0"/>
        </w:rPr>
        <w:t>期</w:t>
      </w:r>
      <w:r>
        <w:rPr>
          <w:b w:val="0"/>
          <w:bCs w:val="0"/>
        </w:rPr>
        <w:t xml:space="preserve"> Masaoka-Koga staging</w:t>
      </w:r>
    </w:p>
    <w:p w14:paraId="1F8ECA4A">
      <w:pPr>
        <w:pStyle w:val="49"/>
        <w:spacing w:line="240" w:lineRule="auto"/>
        <w:ind w:firstLineChars="0"/>
      </w:pPr>
      <w:r>
        <w:rPr>
          <w:rFonts w:hint="eastAsia"/>
        </w:rPr>
        <w:t>基于肿瘤局部侵犯范围的胸腺瘤临床病理分期系统，分为I期、II期、III期和IV期，用于指导治疗和评估预后。</w:t>
      </w:r>
    </w:p>
    <w:p w14:paraId="0297D6B5">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3.8</w:t>
      </w:r>
    </w:p>
    <w:p w14:paraId="43F32C0F">
      <w:pPr>
        <w:pStyle w:val="49"/>
        <w:spacing w:line="240" w:lineRule="auto"/>
        <w:ind w:firstLine="420" w:firstLineChars="200"/>
        <w:rPr>
          <w:b w:val="0"/>
          <w:bCs w:val="0"/>
        </w:rPr>
      </w:pPr>
      <w:r>
        <w:rPr>
          <w:rFonts w:hint="eastAsia" w:ascii="黑体" w:hAnsi="黑体" w:eastAsia="黑体"/>
          <w:b w:val="0"/>
          <w:bCs w:val="0"/>
        </w:rPr>
        <w:t>纵隔淋巴结分区</w:t>
      </w:r>
      <w:r>
        <w:rPr>
          <w:b w:val="0"/>
          <w:bCs w:val="0"/>
        </w:rPr>
        <w:t xml:space="preserve"> mediastinal lymph node map</w:t>
      </w:r>
    </w:p>
    <w:p w14:paraId="62EE179C">
      <w:pPr>
        <w:pStyle w:val="49"/>
        <w:spacing w:line="240" w:lineRule="auto"/>
        <w:ind w:firstLineChars="0"/>
      </w:pPr>
      <w:r>
        <w:rPr>
          <w:rFonts w:hint="eastAsia"/>
        </w:rPr>
        <w:t>根据国际胸腺肿瘤协作组（ITMIG）和国际肺癌研究协会（IASLC）制定的纵隔淋巴结解剖分区图谱，用于规范化描述淋巴结位置，指导N分期评估。</w:t>
      </w:r>
    </w:p>
    <w:p w14:paraId="412E92B5">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3.9</w:t>
      </w:r>
    </w:p>
    <w:p w14:paraId="630CA58B">
      <w:pPr>
        <w:pStyle w:val="49"/>
        <w:spacing w:line="240" w:lineRule="auto"/>
        <w:ind w:firstLine="420" w:firstLineChars="200"/>
        <w:rPr>
          <w:b w:val="0"/>
          <w:bCs w:val="0"/>
        </w:rPr>
      </w:pPr>
      <w:r>
        <w:rPr>
          <w:rFonts w:hint="eastAsia" w:ascii="黑体" w:hAnsi="黑体" w:eastAsia="黑体"/>
          <w:b w:val="0"/>
          <w:bCs w:val="0"/>
        </w:rPr>
        <w:t>前纵隔</w:t>
      </w:r>
      <w:r>
        <w:rPr>
          <w:b w:val="0"/>
          <w:bCs w:val="0"/>
        </w:rPr>
        <w:t xml:space="preserve"> anterior mediastinum</w:t>
      </w:r>
    </w:p>
    <w:p w14:paraId="7737B895">
      <w:pPr>
        <w:pStyle w:val="49"/>
        <w:spacing w:line="240" w:lineRule="auto"/>
        <w:ind w:firstLineChars="0"/>
      </w:pPr>
      <w:r>
        <w:rPr>
          <w:rFonts w:hint="eastAsia"/>
        </w:rPr>
        <w:t>解剖学上位于胸骨后方、心包及大血管前方的纵隔间隙，为胸腺及胸腺瘤的原发部位。</w:t>
      </w:r>
    </w:p>
    <w:p w14:paraId="6042CD39">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3.10</w:t>
      </w:r>
    </w:p>
    <w:p w14:paraId="2FB12C55">
      <w:pPr>
        <w:pStyle w:val="49"/>
        <w:spacing w:line="240" w:lineRule="auto"/>
        <w:ind w:firstLine="420" w:firstLineChars="200"/>
        <w:rPr>
          <w:b w:val="0"/>
          <w:bCs w:val="0"/>
        </w:rPr>
      </w:pPr>
      <w:r>
        <w:rPr>
          <w:rFonts w:hint="eastAsia" w:ascii="黑体" w:hAnsi="黑体" w:eastAsia="黑体"/>
          <w:b w:val="0"/>
          <w:bCs w:val="0"/>
        </w:rPr>
        <w:t>强化模式</w:t>
      </w:r>
      <w:r>
        <w:rPr>
          <w:b w:val="0"/>
          <w:bCs w:val="0"/>
        </w:rPr>
        <w:t xml:space="preserve"> enhancement pattern</w:t>
      </w:r>
    </w:p>
    <w:p w14:paraId="3AFE8AA0">
      <w:pPr>
        <w:pStyle w:val="49"/>
        <w:spacing w:line="240" w:lineRule="auto"/>
        <w:ind w:firstLineChars="0"/>
      </w:pPr>
      <w:r>
        <w:rPr>
          <w:rFonts w:hint="eastAsia"/>
        </w:rPr>
        <w:t>对比剂注射后，肿瘤组织的强化特征，可分为均匀强化、不均匀强化、渐进性强化及廓清型强化等类型。</w:t>
      </w:r>
    </w:p>
    <w:p w14:paraId="1B23EE9C">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3.11</w:t>
      </w:r>
    </w:p>
    <w:p w14:paraId="5218FC7B">
      <w:pPr>
        <w:pStyle w:val="49"/>
        <w:spacing w:line="240" w:lineRule="auto"/>
        <w:ind w:firstLine="420" w:firstLineChars="200"/>
        <w:rPr>
          <w:b w:val="0"/>
          <w:bCs w:val="0"/>
        </w:rPr>
      </w:pPr>
      <w:r>
        <w:rPr>
          <w:rFonts w:hint="eastAsia" w:ascii="黑体" w:hAnsi="黑体" w:eastAsia="黑体"/>
          <w:b w:val="0"/>
          <w:bCs w:val="0"/>
        </w:rPr>
        <w:t>弥散加权成像</w:t>
      </w:r>
      <w:r>
        <w:rPr>
          <w:b w:val="0"/>
          <w:bCs w:val="0"/>
        </w:rPr>
        <w:t xml:space="preserve"> diffusion-weighted imaging; DWI</w:t>
      </w:r>
    </w:p>
    <w:p w14:paraId="239AEB27">
      <w:pPr>
        <w:pStyle w:val="49"/>
        <w:spacing w:line="240" w:lineRule="auto"/>
        <w:ind w:firstLineChars="0"/>
      </w:pPr>
      <w:r>
        <w:rPr>
          <w:rFonts w:hint="eastAsia"/>
        </w:rPr>
        <w:t>一种反映组织内水分子弥散运动的磁共振功能成像技术，通过测量表观扩散系数（ADC）值，可用于评估肿瘤的细胞密度和侵袭性。</w:t>
      </w:r>
    </w:p>
    <w:p w14:paraId="568A922C">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3.12</w:t>
      </w:r>
    </w:p>
    <w:p w14:paraId="093C034C">
      <w:pPr>
        <w:pStyle w:val="49"/>
        <w:spacing w:line="240" w:lineRule="auto"/>
        <w:ind w:firstLine="420" w:firstLineChars="200"/>
        <w:rPr>
          <w:b w:val="0"/>
          <w:bCs w:val="0"/>
        </w:rPr>
      </w:pPr>
      <w:r>
        <w:rPr>
          <w:rFonts w:hint="eastAsia" w:ascii="黑体" w:hAnsi="黑体" w:eastAsia="黑体"/>
          <w:b w:val="0"/>
          <w:bCs w:val="0"/>
        </w:rPr>
        <w:t>表观扩散系数</w:t>
      </w:r>
      <w:r>
        <w:rPr>
          <w:b w:val="0"/>
          <w:bCs w:val="0"/>
        </w:rPr>
        <w:t xml:space="preserve"> apparent diffusion coefficient; ADC</w:t>
      </w:r>
    </w:p>
    <w:p w14:paraId="5E574310">
      <w:pPr>
        <w:pStyle w:val="49"/>
        <w:spacing w:line="240" w:lineRule="auto"/>
        <w:ind w:firstLineChars="0"/>
      </w:pPr>
      <w:r>
        <w:rPr>
          <w:rFonts w:hint="eastAsia"/>
        </w:rPr>
        <w:t>弥散加权成像（DWI）中定量反映组织内水分子扩散受限程度的参数，单位为mm²/s。</w:t>
      </w:r>
    </w:p>
    <w:p w14:paraId="00D3B94F">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3.13</w:t>
      </w:r>
    </w:p>
    <w:p w14:paraId="54B4AF74">
      <w:pPr>
        <w:pStyle w:val="49"/>
        <w:spacing w:line="240" w:lineRule="auto"/>
        <w:ind w:firstLine="420" w:firstLineChars="200"/>
        <w:rPr>
          <w:b w:val="0"/>
          <w:bCs w:val="0"/>
        </w:rPr>
      </w:pPr>
      <w:r>
        <w:rPr>
          <w:rFonts w:hint="eastAsia" w:ascii="黑体" w:hAnsi="黑体" w:eastAsia="黑体"/>
          <w:b w:val="0"/>
          <w:bCs w:val="0"/>
        </w:rPr>
        <w:t>动态增强磁共振成像</w:t>
      </w:r>
      <w:r>
        <w:rPr>
          <w:b w:val="0"/>
          <w:bCs w:val="0"/>
        </w:rPr>
        <w:t xml:space="preserve"> dynamic contrast-enhanced MRI; DCE-MRI</w:t>
      </w:r>
    </w:p>
    <w:p w14:paraId="32BBCB89">
      <w:pPr>
        <w:pStyle w:val="49"/>
        <w:spacing w:line="240" w:lineRule="auto"/>
        <w:ind w:firstLineChars="0"/>
      </w:pPr>
      <w:r>
        <w:rPr>
          <w:rFonts w:hint="eastAsia"/>
        </w:rPr>
        <w:t>通过连续快速采集对比剂注射后的多期相图像，分析组织血流动力学特征的磁共振成像技术，常用于评估肿瘤的微血管灌注和强化模式。</w:t>
      </w:r>
    </w:p>
    <w:p w14:paraId="1CA48DA4">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3.14</w:t>
      </w:r>
    </w:p>
    <w:p w14:paraId="697C0ACD">
      <w:pPr>
        <w:pStyle w:val="49"/>
        <w:spacing w:line="240" w:lineRule="auto"/>
        <w:ind w:firstLine="420" w:firstLineChars="200"/>
        <w:rPr>
          <w:b w:val="0"/>
          <w:bCs w:val="0"/>
        </w:rPr>
      </w:pPr>
      <w:r>
        <w:rPr>
          <w:rFonts w:hint="eastAsia" w:ascii="黑体" w:hAnsi="黑体" w:eastAsia="黑体"/>
          <w:b w:val="0"/>
          <w:bCs w:val="0"/>
        </w:rPr>
        <w:t>多平面重组</w:t>
      </w:r>
      <w:r>
        <w:rPr>
          <w:b w:val="0"/>
          <w:bCs w:val="0"/>
        </w:rPr>
        <w:t xml:space="preserve"> multiplanar reconstruction; MPR</w:t>
      </w:r>
    </w:p>
    <w:p w14:paraId="56B757FA">
      <w:pPr>
        <w:pStyle w:val="49"/>
        <w:spacing w:line="240" w:lineRule="auto"/>
        <w:ind w:firstLineChars="0"/>
      </w:pPr>
      <w:r>
        <w:rPr>
          <w:rFonts w:hint="eastAsia"/>
        </w:rPr>
        <w:t>将原始横断面图像数据重建成冠状面、矢状面或其他任意斜面图像的后处理技术。</w:t>
      </w:r>
    </w:p>
    <w:p w14:paraId="2CB44299">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3.15</w:t>
      </w:r>
    </w:p>
    <w:p w14:paraId="52B6F52D">
      <w:pPr>
        <w:pStyle w:val="49"/>
        <w:spacing w:line="240" w:lineRule="auto"/>
        <w:ind w:firstLine="420" w:firstLineChars="200"/>
        <w:rPr>
          <w:b w:val="0"/>
          <w:bCs w:val="0"/>
        </w:rPr>
      </w:pPr>
      <w:r>
        <w:rPr>
          <w:rFonts w:hint="eastAsia" w:ascii="黑体" w:hAnsi="黑体" w:eastAsia="黑体"/>
          <w:b w:val="0"/>
          <w:bCs w:val="0"/>
        </w:rPr>
        <w:t>最大密度投影</w:t>
      </w:r>
      <w:r>
        <w:rPr>
          <w:b w:val="0"/>
          <w:bCs w:val="0"/>
        </w:rPr>
        <w:t xml:space="preserve"> maximum intensity projection; MIP</w:t>
      </w:r>
    </w:p>
    <w:p w14:paraId="4FE893A4">
      <w:pPr>
        <w:pStyle w:val="49"/>
        <w:spacing w:line="240" w:lineRule="auto"/>
        <w:ind w:firstLineChars="0"/>
      </w:pPr>
      <w:r>
        <w:rPr>
          <w:rFonts w:hint="eastAsia"/>
        </w:rPr>
        <w:t>从三维体数据中投射最大密度像素所形成的二维图像，主要用于显示高密度结构。</w:t>
      </w:r>
    </w:p>
    <w:p w14:paraId="7404683B">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3.16</w:t>
      </w:r>
    </w:p>
    <w:p w14:paraId="2874E1AE">
      <w:pPr>
        <w:pStyle w:val="49"/>
        <w:spacing w:line="240" w:lineRule="auto"/>
        <w:ind w:firstLine="420" w:firstLineChars="200"/>
        <w:rPr>
          <w:b w:val="0"/>
          <w:bCs w:val="0"/>
        </w:rPr>
      </w:pPr>
      <w:r>
        <w:rPr>
          <w:rFonts w:hint="eastAsia" w:ascii="黑体" w:hAnsi="黑体" w:eastAsia="黑体"/>
          <w:b w:val="0"/>
          <w:bCs w:val="0"/>
        </w:rPr>
        <w:t>结构化报告</w:t>
      </w:r>
      <w:r>
        <w:rPr>
          <w:b w:val="0"/>
          <w:bCs w:val="0"/>
        </w:rPr>
        <w:t xml:space="preserve"> structured report</w:t>
      </w:r>
    </w:p>
    <w:p w14:paraId="2702A7A7">
      <w:pPr>
        <w:pStyle w:val="49"/>
        <w:spacing w:line="240" w:lineRule="auto"/>
        <w:ind w:firstLineChars="0"/>
      </w:pPr>
      <w:r>
        <w:rPr>
          <w:rFonts w:hint="eastAsia"/>
        </w:rPr>
        <w:t>按照预先定义的格式和内容条目生成的影像学诊断报告，以确保信息的完整性、准确性和标准化。</w:t>
      </w:r>
    </w:p>
    <w:p w14:paraId="2BE68A89">
      <w:pPr>
        <w:pStyle w:val="49"/>
        <w:spacing w:before="312" w:beforeLines="100" w:after="312" w:afterLines="100" w:line="240" w:lineRule="auto"/>
        <w:ind w:firstLine="0" w:firstLineChars="0"/>
        <w:outlineLvl w:val="0"/>
        <w:rPr>
          <w:rFonts w:ascii="黑体" w:hAnsi="黑体" w:eastAsia="黑体"/>
          <w:b w:val="0"/>
          <w:bCs w:val="0"/>
          <w:sz w:val="21"/>
          <w:szCs w:val="21"/>
        </w:rPr>
      </w:pPr>
      <w:bookmarkStart w:id="8" w:name="_Toc226898517"/>
      <w:r>
        <w:rPr>
          <w:rFonts w:ascii="黑体" w:hAnsi="黑体" w:eastAsia="黑体"/>
          <w:b w:val="0"/>
          <w:bCs w:val="0"/>
          <w:sz w:val="21"/>
          <w:szCs w:val="21"/>
        </w:rPr>
        <w:t xml:space="preserve">4 </w:t>
      </w:r>
      <w:r>
        <w:rPr>
          <w:rFonts w:hint="eastAsia" w:ascii="黑体" w:hAnsi="黑体" w:eastAsia="黑体"/>
          <w:b w:val="0"/>
          <w:bCs w:val="0"/>
          <w:sz w:val="21"/>
          <w:szCs w:val="21"/>
        </w:rPr>
        <w:t>缩略语</w:t>
      </w:r>
      <w:bookmarkEnd w:id="8"/>
    </w:p>
    <w:p w14:paraId="465D6D94">
      <w:pPr>
        <w:pStyle w:val="49"/>
        <w:spacing w:line="240" w:lineRule="auto"/>
        <w:ind w:firstLineChars="200"/>
      </w:pPr>
      <w:r>
        <w:rPr>
          <w:rFonts w:hint="eastAsia"/>
        </w:rPr>
        <w:t>下列缩略语适用于本文件。</w:t>
      </w:r>
    </w:p>
    <w:p w14:paraId="37F17281">
      <w:pPr>
        <w:pStyle w:val="49"/>
        <w:spacing w:line="240" w:lineRule="auto"/>
        <w:ind w:firstLineChars="200"/>
      </w:pPr>
      <w:r>
        <w:rPr>
          <w:rFonts w:hint="eastAsia"/>
        </w:rPr>
        <w:t>ChART：中国胸腺肿瘤协作组(Chinese Alliance for Research in Thymomas)</w:t>
      </w:r>
    </w:p>
    <w:p w14:paraId="5C1AF511">
      <w:pPr>
        <w:pStyle w:val="49"/>
        <w:spacing w:line="240" w:lineRule="auto"/>
        <w:ind w:firstLineChars="200"/>
      </w:pPr>
      <w:r>
        <w:rPr>
          <w:rFonts w:hint="eastAsia"/>
        </w:rPr>
        <w:t>HU：亨氏单位(Hounsfield Unit)</w:t>
      </w:r>
    </w:p>
    <w:p w14:paraId="407240F9">
      <w:pPr>
        <w:pStyle w:val="49"/>
        <w:spacing w:line="240" w:lineRule="auto"/>
        <w:ind w:firstLineChars="200"/>
      </w:pPr>
      <w:r>
        <w:rPr>
          <w:rFonts w:hint="eastAsia"/>
        </w:rPr>
        <w:t>ITMIG：国际胸腺肿瘤协作组(International Thymic Malignancy Interest Group)</w:t>
      </w:r>
    </w:p>
    <w:p w14:paraId="7A336413">
      <w:pPr>
        <w:pStyle w:val="49"/>
        <w:spacing w:line="240" w:lineRule="auto"/>
        <w:ind w:firstLineChars="200"/>
      </w:pPr>
      <w:r>
        <w:rPr>
          <w:rFonts w:hint="eastAsia"/>
        </w:rPr>
        <w:t>IVIM-DWI：体素内不相干运动扩散加权成像(Intravoxel Incoherent Motion Diffusion-Weighted Imaging)</w:t>
      </w:r>
    </w:p>
    <w:p w14:paraId="20932204">
      <w:pPr>
        <w:pStyle w:val="49"/>
        <w:spacing w:line="240" w:lineRule="auto"/>
        <w:ind w:firstLineChars="200"/>
      </w:pPr>
      <w:r>
        <w:rPr>
          <w:rFonts w:hint="eastAsia"/>
        </w:rPr>
        <w:t>kV：千伏 (kilovolt)</w:t>
      </w:r>
    </w:p>
    <w:p w14:paraId="7F228E1F">
      <w:pPr>
        <w:pStyle w:val="49"/>
        <w:spacing w:line="240" w:lineRule="auto"/>
        <w:ind w:firstLineChars="200"/>
      </w:pPr>
      <w:r>
        <w:rPr>
          <w:rFonts w:hint="eastAsia"/>
        </w:rPr>
        <w:t>MinIP：最小密度投影(Minimum Intensity Projection)</w:t>
      </w:r>
    </w:p>
    <w:p w14:paraId="499B9429">
      <w:pPr>
        <w:pStyle w:val="49"/>
        <w:spacing w:line="240" w:lineRule="auto"/>
        <w:ind w:firstLineChars="200"/>
      </w:pPr>
      <w:r>
        <w:rPr>
          <w:rFonts w:hint="eastAsia"/>
        </w:rPr>
        <w:t>PET/CT：正电子发射断层扫描/计算机断层扫描(Positron Emission Tomography/Computed Tomography)</w:t>
      </w:r>
    </w:p>
    <w:p w14:paraId="708FD5B0">
      <w:pPr>
        <w:pStyle w:val="49"/>
        <w:spacing w:line="240" w:lineRule="auto"/>
        <w:ind w:firstLineChars="200"/>
      </w:pPr>
      <w:r>
        <w:rPr>
          <w:rFonts w:hint="eastAsia"/>
        </w:rPr>
        <w:t>T1WI：T1加权成像(T1-Weighted Imaging)</w:t>
      </w:r>
    </w:p>
    <w:p w14:paraId="5905B740">
      <w:pPr>
        <w:pStyle w:val="49"/>
        <w:spacing w:line="240" w:lineRule="auto"/>
        <w:ind w:firstLineChars="200"/>
      </w:pPr>
      <w:r>
        <w:rPr>
          <w:rFonts w:hint="eastAsia"/>
        </w:rPr>
        <w:t>T2WI：T2加权成像(T2-Weighted Imaging)</w:t>
      </w:r>
    </w:p>
    <w:p w14:paraId="4B53E4E5">
      <w:pPr>
        <w:pStyle w:val="49"/>
        <w:spacing w:line="240" w:lineRule="auto"/>
        <w:ind w:firstLineChars="200"/>
      </w:pPr>
      <w:r>
        <w:rPr>
          <w:rFonts w:hint="eastAsia"/>
        </w:rPr>
        <w:t>TC：胸腺癌(Thymic Carcinoma)</w:t>
      </w:r>
    </w:p>
    <w:p w14:paraId="6C810C71">
      <w:pPr>
        <w:pStyle w:val="49"/>
        <w:spacing w:line="240" w:lineRule="auto"/>
        <w:ind w:firstLineChars="200"/>
      </w:pPr>
      <w:r>
        <w:rPr>
          <w:rFonts w:hint="eastAsia"/>
        </w:rPr>
        <w:t>TNM：肿瘤-淋巴结-远处转移分期系统(Tumor, Node, Metastasis Staging System)</w:t>
      </w:r>
    </w:p>
    <w:p w14:paraId="4D99BCA9">
      <w:pPr>
        <w:pStyle w:val="49"/>
        <w:spacing w:line="240" w:lineRule="auto"/>
        <w:ind w:firstLineChars="200"/>
      </w:pPr>
      <w:r>
        <w:rPr>
          <w:rFonts w:hint="eastAsia"/>
        </w:rPr>
        <w:t>CSR：化学位移比值(Chemical Shift Ratio)</w:t>
      </w:r>
    </w:p>
    <w:p w14:paraId="1DE76AED">
      <w:pPr>
        <w:pStyle w:val="49"/>
        <w:spacing w:line="240" w:lineRule="auto"/>
        <w:ind w:firstLineChars="200"/>
      </w:pPr>
      <w:r>
        <w:rPr>
          <w:rFonts w:hint="eastAsia"/>
        </w:rPr>
        <w:t>MEN-1：多发性内分泌肿瘤综合征1型(Multiple Endocrine Neoplasia Type 1)</w:t>
      </w:r>
    </w:p>
    <w:p w14:paraId="51FDBD2B">
      <w:pPr>
        <w:pStyle w:val="49"/>
        <w:spacing w:before="312" w:beforeLines="100" w:after="312" w:afterLines="100" w:line="240" w:lineRule="auto"/>
        <w:ind w:firstLine="0" w:firstLineChars="0"/>
        <w:outlineLvl w:val="0"/>
        <w:rPr>
          <w:rFonts w:ascii="黑体" w:hAnsi="黑体" w:eastAsia="黑体"/>
          <w:b w:val="0"/>
          <w:bCs w:val="0"/>
          <w:sz w:val="21"/>
          <w:szCs w:val="21"/>
        </w:rPr>
      </w:pPr>
      <w:bookmarkStart w:id="9" w:name="_Toc226898518"/>
      <w:r>
        <w:rPr>
          <w:rFonts w:ascii="黑体" w:hAnsi="黑体" w:eastAsia="黑体"/>
          <w:b w:val="0"/>
          <w:bCs w:val="0"/>
          <w:sz w:val="21"/>
          <w:szCs w:val="21"/>
        </w:rPr>
        <w:t xml:space="preserve">5 </w:t>
      </w:r>
      <w:r>
        <w:rPr>
          <w:rFonts w:hint="eastAsia" w:ascii="黑体" w:hAnsi="黑体" w:eastAsia="黑体"/>
          <w:b w:val="0"/>
          <w:bCs w:val="0"/>
          <w:sz w:val="21"/>
          <w:szCs w:val="21"/>
        </w:rPr>
        <w:t>影像学检查技术</w:t>
      </w:r>
      <w:bookmarkEnd w:id="9"/>
    </w:p>
    <w:p w14:paraId="0E4F07DF">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 xml:space="preserve">5.1 </w:t>
      </w:r>
      <w:r>
        <w:rPr>
          <w:rFonts w:eastAsia="黑体"/>
          <w:b w:val="0"/>
          <w:bCs w:val="0"/>
        </w:rPr>
        <w:t>CT</w:t>
      </w:r>
      <w:r>
        <w:rPr>
          <w:rFonts w:hint="eastAsia" w:ascii="黑体" w:hAnsi="黑体" w:eastAsia="黑体"/>
          <w:b w:val="0"/>
          <w:bCs w:val="0"/>
        </w:rPr>
        <w:t>检查技术</w:t>
      </w:r>
    </w:p>
    <w:p w14:paraId="08EDA30C">
      <w:pPr>
        <w:pStyle w:val="49"/>
        <w:spacing w:line="240" w:lineRule="auto"/>
        <w:ind w:firstLine="0" w:firstLineChars="0"/>
        <w:rPr>
          <w:rFonts w:ascii="黑体" w:hAnsi="黑体" w:eastAsia="黑体"/>
          <w:b w:val="0"/>
          <w:bCs w:val="0"/>
        </w:rPr>
      </w:pPr>
      <w:r>
        <w:rPr>
          <w:rFonts w:ascii="黑体" w:hAnsi="黑体" w:eastAsia="黑体"/>
          <w:b w:val="0"/>
          <w:bCs w:val="0"/>
        </w:rPr>
        <w:t xml:space="preserve">5.1.1 </w:t>
      </w:r>
      <w:r>
        <w:rPr>
          <w:rFonts w:hint="eastAsia" w:ascii="黑体" w:hAnsi="黑体" w:eastAsia="黑体"/>
          <w:b w:val="0"/>
          <w:bCs w:val="0"/>
        </w:rPr>
        <w:t>适应证</w:t>
      </w:r>
    </w:p>
    <w:p w14:paraId="1F94BD35">
      <w:pPr>
        <w:pStyle w:val="49"/>
        <w:spacing w:line="240" w:lineRule="auto"/>
        <w:ind w:firstLineChars="200"/>
      </w:pPr>
      <w:r>
        <w:rPr>
          <w:rFonts w:hint="eastAsia"/>
        </w:rPr>
        <w:t>适用于疑似胸腺肿瘤的初诊评估、术前分期、术后随访及转移监测 [1]。</w:t>
      </w:r>
    </w:p>
    <w:p w14:paraId="282B566C">
      <w:pPr>
        <w:pStyle w:val="49"/>
        <w:spacing w:line="240" w:lineRule="auto"/>
        <w:ind w:firstLine="0" w:firstLineChars="0"/>
        <w:rPr>
          <w:rFonts w:ascii="黑体" w:hAnsi="黑体" w:eastAsia="黑体"/>
          <w:b w:val="0"/>
          <w:bCs w:val="0"/>
        </w:rPr>
      </w:pPr>
      <w:r>
        <w:rPr>
          <w:rFonts w:ascii="黑体" w:hAnsi="黑体" w:eastAsia="黑体"/>
          <w:b w:val="0"/>
          <w:bCs w:val="0"/>
        </w:rPr>
        <w:t xml:space="preserve">5.1.2 </w:t>
      </w:r>
      <w:r>
        <w:rPr>
          <w:rFonts w:hint="eastAsia" w:ascii="黑体" w:hAnsi="黑体" w:eastAsia="黑体"/>
          <w:b w:val="0"/>
          <w:bCs w:val="0"/>
        </w:rPr>
        <w:t>扫描前准备</w:t>
      </w:r>
    </w:p>
    <w:p w14:paraId="219F419B">
      <w:pPr>
        <w:pStyle w:val="49"/>
        <w:spacing w:line="240" w:lineRule="auto"/>
        <w:ind w:firstLineChars="200"/>
      </w:pPr>
      <w:r>
        <w:rPr>
          <w:rFonts w:hint="eastAsia"/>
        </w:rPr>
        <w:t>患者取仰卧位，双臂上举抱头 [2]。训练患者屏气。</w:t>
      </w:r>
    </w:p>
    <w:p w14:paraId="75A49F03">
      <w:pPr>
        <w:pStyle w:val="49"/>
        <w:spacing w:line="240" w:lineRule="auto"/>
        <w:ind w:firstLine="0" w:firstLineChars="0"/>
        <w:rPr>
          <w:rFonts w:ascii="黑体" w:hAnsi="黑体" w:eastAsia="黑体"/>
          <w:b w:val="0"/>
          <w:bCs w:val="0"/>
        </w:rPr>
      </w:pPr>
      <w:r>
        <w:rPr>
          <w:rFonts w:ascii="黑体" w:hAnsi="黑体" w:eastAsia="黑体"/>
          <w:b w:val="0"/>
          <w:bCs w:val="0"/>
        </w:rPr>
        <w:t xml:space="preserve">5.1.3 </w:t>
      </w:r>
      <w:r>
        <w:rPr>
          <w:rFonts w:hint="eastAsia" w:ascii="黑体" w:hAnsi="黑体" w:eastAsia="黑体"/>
          <w:b w:val="0"/>
          <w:bCs w:val="0"/>
        </w:rPr>
        <w:t>扫描范围</w:t>
      </w:r>
    </w:p>
    <w:p w14:paraId="47752FC6">
      <w:pPr>
        <w:pStyle w:val="49"/>
        <w:spacing w:line="240" w:lineRule="auto"/>
        <w:ind w:firstLineChars="200"/>
      </w:pPr>
      <w:r>
        <w:rPr>
          <w:rFonts w:hint="eastAsia"/>
        </w:rPr>
        <w:t>应从胸廓入口至肋膈角水平，完整覆盖前纵隔及胸腺区域 [3]。</w:t>
      </w:r>
    </w:p>
    <w:p w14:paraId="75B6982B">
      <w:pPr>
        <w:pStyle w:val="49"/>
        <w:spacing w:line="240" w:lineRule="auto"/>
        <w:ind w:firstLine="0" w:firstLineChars="0"/>
        <w:rPr>
          <w:rFonts w:ascii="黑体" w:hAnsi="黑体" w:eastAsia="黑体"/>
          <w:b w:val="0"/>
          <w:bCs w:val="0"/>
        </w:rPr>
      </w:pPr>
      <w:r>
        <w:rPr>
          <w:rFonts w:ascii="黑体" w:hAnsi="黑体" w:eastAsia="黑体"/>
          <w:b w:val="0"/>
          <w:bCs w:val="0"/>
        </w:rPr>
        <w:t xml:space="preserve">5.1.4 </w:t>
      </w:r>
      <w:r>
        <w:rPr>
          <w:rFonts w:hint="eastAsia" w:ascii="黑体" w:hAnsi="黑体" w:eastAsia="黑体"/>
          <w:b w:val="0"/>
          <w:bCs w:val="0"/>
        </w:rPr>
        <w:t>扫描参数与方案</w:t>
      </w:r>
    </w:p>
    <w:p w14:paraId="78F89045">
      <w:pPr>
        <w:pStyle w:val="49"/>
        <w:spacing w:line="240" w:lineRule="auto"/>
        <w:ind w:firstLineChars="200"/>
      </w:pPr>
      <w:r>
        <w:rPr>
          <w:rFonts w:hint="eastAsia"/>
        </w:rPr>
        <w:t>a) 平扫：常规采用螺旋扫描模式。管电压100 kV-140 kV（根据体型自动或手动选择），采用自动管电流调制技术 [2]。重建层厚≤1.0 mm，重建间隔≤1.0 mm。</w:t>
      </w:r>
    </w:p>
    <w:p w14:paraId="72C3A192">
      <w:pPr>
        <w:pStyle w:val="49"/>
        <w:spacing w:line="240" w:lineRule="auto"/>
        <w:ind w:firstLineChars="200"/>
      </w:pPr>
      <w:r>
        <w:rPr>
          <w:rFonts w:hint="eastAsia"/>
        </w:rPr>
        <w:t>b) 增强扫描：推荐使用非离子型碘对比剂 [4]。</w:t>
      </w:r>
      <w:r>
        <w:rPr>
          <w:rFonts w:hint="eastAsia"/>
          <w:color w:val="000000" w:themeColor="text1"/>
          <w14:textFill>
            <w14:solidFill>
              <w14:schemeClr w14:val="tx1"/>
            </w14:solidFill>
          </w14:textFill>
        </w:rPr>
        <w:t>按体重1.0 mL/kg-2.0 mL/kg计算（参照药品说明书），注射流率2.5 mL/s-3.0 mL/s。采用对</w:t>
      </w:r>
      <w:r>
        <w:rPr>
          <w:rFonts w:hint="eastAsia"/>
        </w:rPr>
        <w:t>比剂团注追踪技术，在主动脉弓层面监测，阈值设定为100 HU-150 HU触发扫描。常规采集动脉期经验时间（25 s-35 s）和静脉期（60 s-70 s）图像 [2]。</w:t>
      </w:r>
    </w:p>
    <w:p w14:paraId="561A5DA4">
      <w:pPr>
        <w:pStyle w:val="49"/>
        <w:spacing w:line="240" w:lineRule="auto"/>
        <w:ind w:firstLineChars="200"/>
      </w:pPr>
      <w:r>
        <w:rPr>
          <w:rFonts w:hint="eastAsia"/>
        </w:rPr>
        <w:t>c) 图像后处理：应常规进行薄层多平面重组（MPR）。建议使用最大密度投影（MIP）和最小密度投影（MinIP）辅助评估血管关系及病灶内部结构 [4]。</w:t>
      </w:r>
    </w:p>
    <w:p w14:paraId="4C87434E">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 xml:space="preserve">5.2 </w:t>
      </w:r>
      <w:r>
        <w:rPr>
          <w:rFonts w:eastAsia="黑体"/>
          <w:b w:val="0"/>
          <w:bCs w:val="0"/>
        </w:rPr>
        <w:t>MRI</w:t>
      </w:r>
      <w:r>
        <w:rPr>
          <w:rFonts w:hint="eastAsia" w:eastAsia="黑体"/>
          <w:b w:val="0"/>
          <w:bCs w:val="0"/>
        </w:rPr>
        <w:t>检</w:t>
      </w:r>
      <w:r>
        <w:rPr>
          <w:rFonts w:hint="eastAsia" w:ascii="黑体" w:hAnsi="黑体" w:eastAsia="黑体"/>
          <w:b w:val="0"/>
          <w:bCs w:val="0"/>
        </w:rPr>
        <w:t>查技术</w:t>
      </w:r>
    </w:p>
    <w:p w14:paraId="7C2DE24C">
      <w:pPr>
        <w:pStyle w:val="49"/>
        <w:spacing w:line="240" w:lineRule="auto"/>
        <w:ind w:firstLine="0" w:firstLineChars="0"/>
        <w:rPr>
          <w:rFonts w:ascii="黑体" w:hAnsi="黑体" w:eastAsia="黑体"/>
          <w:b w:val="0"/>
          <w:bCs w:val="0"/>
        </w:rPr>
      </w:pPr>
      <w:r>
        <w:rPr>
          <w:rFonts w:ascii="黑体" w:hAnsi="黑体" w:eastAsia="黑体"/>
          <w:b w:val="0"/>
          <w:bCs w:val="0"/>
        </w:rPr>
        <w:t xml:space="preserve">5.2.1 </w:t>
      </w:r>
      <w:r>
        <w:rPr>
          <w:rFonts w:hint="eastAsia" w:ascii="黑体" w:hAnsi="黑体" w:eastAsia="黑体"/>
          <w:b w:val="0"/>
          <w:bCs w:val="0"/>
        </w:rPr>
        <w:t>适应证</w:t>
      </w:r>
    </w:p>
    <w:p w14:paraId="074F6B15">
      <w:pPr>
        <w:pStyle w:val="49"/>
        <w:spacing w:line="240" w:lineRule="auto"/>
        <w:ind w:firstLineChars="200"/>
      </w:pPr>
      <w:r>
        <w:rPr>
          <w:rFonts w:hint="eastAsia"/>
        </w:rPr>
        <w:t>适用于以下情况：</w:t>
      </w:r>
    </w:p>
    <w:p w14:paraId="0CCBC6A5">
      <w:pPr>
        <w:pStyle w:val="49"/>
        <w:spacing w:line="240" w:lineRule="auto"/>
        <w:ind w:firstLineChars="200"/>
      </w:pPr>
      <w:r>
        <w:rPr>
          <w:rFonts w:hint="eastAsia"/>
        </w:rPr>
        <w:t>a) 评估囊性病变（如胸腺囊肿、囊性胸腺瘤）[5]；</w:t>
      </w:r>
    </w:p>
    <w:p w14:paraId="00905C65">
      <w:pPr>
        <w:pStyle w:val="49"/>
        <w:spacing w:line="240" w:lineRule="auto"/>
        <w:ind w:firstLineChars="200"/>
      </w:pPr>
      <w:r>
        <w:rPr>
          <w:rFonts w:hint="eastAsia"/>
        </w:rPr>
        <w:t>b) 鉴别胸腺增生与胸腺肿瘤 [5]；</w:t>
      </w:r>
    </w:p>
    <w:p w14:paraId="3D3547DD">
      <w:pPr>
        <w:pStyle w:val="49"/>
        <w:spacing w:line="240" w:lineRule="auto"/>
        <w:ind w:firstLineChars="200"/>
      </w:pPr>
      <w:r>
        <w:rPr>
          <w:rFonts w:hint="eastAsia"/>
        </w:rPr>
        <w:t>c) 碘对比剂禁忌患者 [5]；</w:t>
      </w:r>
    </w:p>
    <w:p w14:paraId="4012B377">
      <w:pPr>
        <w:pStyle w:val="49"/>
        <w:spacing w:line="240" w:lineRule="auto"/>
        <w:ind w:firstLineChars="200"/>
      </w:pPr>
      <w:r>
        <w:rPr>
          <w:rFonts w:hint="eastAsia"/>
        </w:rPr>
        <w:t>d) 需要多参数评估肿瘤性质时。</w:t>
      </w:r>
    </w:p>
    <w:p w14:paraId="287BBACB">
      <w:pPr>
        <w:pStyle w:val="49"/>
        <w:spacing w:line="240" w:lineRule="auto"/>
        <w:ind w:firstLine="0" w:firstLineChars="0"/>
        <w:rPr>
          <w:rFonts w:ascii="黑体" w:hAnsi="黑体" w:eastAsia="黑体"/>
          <w:b w:val="0"/>
          <w:bCs w:val="0"/>
        </w:rPr>
      </w:pPr>
      <w:r>
        <w:rPr>
          <w:rFonts w:ascii="黑体" w:hAnsi="黑体" w:eastAsia="黑体"/>
          <w:b w:val="0"/>
          <w:bCs w:val="0"/>
        </w:rPr>
        <w:t xml:space="preserve">5.2.2 </w:t>
      </w:r>
      <w:r>
        <w:rPr>
          <w:rFonts w:hint="eastAsia" w:ascii="黑体" w:hAnsi="黑体" w:eastAsia="黑体"/>
          <w:b w:val="0"/>
          <w:bCs w:val="0"/>
        </w:rPr>
        <w:t>扫描前准备与体位</w:t>
      </w:r>
    </w:p>
    <w:p w14:paraId="2DB9BA11">
      <w:pPr>
        <w:pStyle w:val="49"/>
        <w:spacing w:line="240" w:lineRule="auto"/>
        <w:ind w:firstLineChars="200"/>
      </w:pPr>
      <w:r>
        <w:rPr>
          <w:rFonts w:hint="eastAsia"/>
        </w:rPr>
        <w:t>使用多通道体部或心脏线圈。患者取仰卧位，头先进或脚先进 [6]。</w:t>
      </w:r>
    </w:p>
    <w:p w14:paraId="4923DA1E">
      <w:pPr>
        <w:pStyle w:val="49"/>
        <w:spacing w:line="240" w:lineRule="auto"/>
        <w:ind w:firstLine="0" w:firstLineChars="0"/>
        <w:rPr>
          <w:rFonts w:ascii="黑体" w:hAnsi="黑体" w:eastAsia="黑体"/>
          <w:b w:val="0"/>
          <w:bCs w:val="0"/>
        </w:rPr>
      </w:pPr>
      <w:r>
        <w:rPr>
          <w:rFonts w:ascii="黑体" w:hAnsi="黑体" w:eastAsia="黑体"/>
          <w:b w:val="0"/>
          <w:bCs w:val="0"/>
        </w:rPr>
        <w:t xml:space="preserve">5.2.3 </w:t>
      </w:r>
      <w:r>
        <w:rPr>
          <w:rFonts w:hint="eastAsia" w:ascii="黑体" w:hAnsi="黑体" w:eastAsia="黑体"/>
          <w:b w:val="0"/>
          <w:bCs w:val="0"/>
        </w:rPr>
        <w:t>扫描范围</w:t>
      </w:r>
    </w:p>
    <w:p w14:paraId="7F7396B9">
      <w:pPr>
        <w:pStyle w:val="49"/>
        <w:spacing w:line="240" w:lineRule="auto"/>
        <w:ind w:firstLineChars="200"/>
      </w:pPr>
      <w:r>
        <w:rPr>
          <w:rFonts w:hint="eastAsia"/>
        </w:rPr>
        <w:t>同CT扫描范围，覆盖整个胸腺区域。</w:t>
      </w:r>
    </w:p>
    <w:p w14:paraId="106A31A5">
      <w:pPr>
        <w:pStyle w:val="49"/>
        <w:spacing w:line="240" w:lineRule="auto"/>
        <w:ind w:firstLine="0" w:firstLineChars="0"/>
        <w:rPr>
          <w:rFonts w:ascii="黑体" w:hAnsi="黑体" w:eastAsia="黑体"/>
          <w:b w:val="0"/>
          <w:bCs w:val="0"/>
        </w:rPr>
      </w:pPr>
      <w:r>
        <w:rPr>
          <w:rFonts w:ascii="黑体" w:hAnsi="黑体" w:eastAsia="黑体"/>
          <w:b w:val="0"/>
          <w:bCs w:val="0"/>
        </w:rPr>
        <w:t xml:space="preserve">5.2.4 </w:t>
      </w:r>
      <w:r>
        <w:rPr>
          <w:rFonts w:hint="eastAsia" w:ascii="黑体" w:hAnsi="黑体" w:eastAsia="黑体"/>
          <w:b w:val="0"/>
          <w:bCs w:val="0"/>
        </w:rPr>
        <w:t>扫描序列</w:t>
      </w:r>
    </w:p>
    <w:p w14:paraId="54FF32EC">
      <w:pPr>
        <w:pStyle w:val="49"/>
        <w:spacing w:line="240" w:lineRule="auto"/>
        <w:ind w:firstLineChars="200"/>
      </w:pPr>
      <w:r>
        <w:rPr>
          <w:rFonts w:hint="eastAsia"/>
        </w:rPr>
        <w:t>应至少包括以下序列 [6]：</w:t>
      </w:r>
    </w:p>
    <w:p w14:paraId="5D517979">
      <w:pPr>
        <w:pStyle w:val="49"/>
        <w:spacing w:line="240" w:lineRule="auto"/>
        <w:ind w:firstLineChars="200"/>
      </w:pPr>
      <w:r>
        <w:rPr>
          <w:rFonts w:hint="eastAsia"/>
        </w:rPr>
        <w:t>a) 横断面T1加权成像（T1WI）；</w:t>
      </w:r>
    </w:p>
    <w:p w14:paraId="19AE0CD2">
      <w:pPr>
        <w:pStyle w:val="49"/>
        <w:spacing w:line="240" w:lineRule="auto"/>
        <w:ind w:firstLineChars="200"/>
      </w:pPr>
      <w:r>
        <w:rPr>
          <w:rFonts w:hint="eastAsia"/>
        </w:rPr>
        <w:t>b) 横断面及冠状面T2加权成像（T2WI），建议使用脂肪抑制技术；</w:t>
      </w:r>
    </w:p>
    <w:p w14:paraId="452EA36A">
      <w:pPr>
        <w:pStyle w:val="49"/>
        <w:spacing w:line="240" w:lineRule="auto"/>
        <w:ind w:firstLineChars="200"/>
      </w:pPr>
      <w:r>
        <w:rPr>
          <w:rFonts w:hint="eastAsia"/>
        </w:rPr>
        <w:t>c) 横断面扩散加权成像（DWI），推荐b值为50 s/mm²、800 s/mm²，并计算ADC图；</w:t>
      </w:r>
    </w:p>
    <w:p w14:paraId="293FEC28">
      <w:pPr>
        <w:pStyle w:val="49"/>
        <w:spacing w:line="240" w:lineRule="auto"/>
        <w:ind w:firstLineChars="200"/>
      </w:pPr>
      <w:r>
        <w:rPr>
          <w:rFonts w:hint="eastAsia"/>
        </w:rPr>
        <w:t>d) 动态增强磁共振成像（DCE-MRI）：采用横断面T1WI脂肪抑制序列</w:t>
      </w:r>
      <w:r>
        <w:rPr>
          <w:rFonts w:hint="eastAsia"/>
          <w:color w:val="000000" w:themeColor="text1"/>
          <w14:textFill>
            <w14:solidFill>
              <w14:schemeClr w14:val="tx1"/>
            </w14:solidFill>
          </w14:textFill>
        </w:rPr>
        <w:t>，对比剂按0.1 mmol/kg体重注射，流率2 mL/s ~ 3 mL/s，注射后以相同流率注射15 mL ~ 20 mL</w:t>
      </w:r>
      <w:r>
        <w:rPr>
          <w:rFonts w:hint="eastAsia"/>
        </w:rPr>
        <w:t>生理盐水。连续采集多期相图像，分析时间-信号强度曲线；</w:t>
      </w:r>
    </w:p>
    <w:p w14:paraId="14537B6C">
      <w:pPr>
        <w:pStyle w:val="49"/>
        <w:spacing w:line="240" w:lineRule="auto"/>
        <w:ind w:firstLineChars="200"/>
      </w:pPr>
      <w:r>
        <w:rPr>
          <w:rFonts w:hint="eastAsia"/>
        </w:rPr>
        <w:t>e) 延迟增强扫描：注射对比剂后3 min ~ 5 min，行横断面、冠状面及矢状面T1WI脂肪抑制序列扫描。</w:t>
      </w:r>
    </w:p>
    <w:p w14:paraId="61B29D3F">
      <w:pPr>
        <w:pStyle w:val="49"/>
        <w:spacing w:before="156" w:beforeLines="50" w:after="156" w:afterLines="50" w:line="240" w:lineRule="auto"/>
        <w:ind w:firstLine="0" w:firstLineChars="0"/>
        <w:rPr>
          <w:rFonts w:ascii="黑体" w:hAnsi="黑体" w:eastAsia="黑体"/>
        </w:rPr>
      </w:pPr>
      <w:r>
        <w:rPr>
          <w:rFonts w:ascii="黑体" w:hAnsi="黑体" w:eastAsia="黑体"/>
          <w:b w:val="0"/>
          <w:bCs w:val="0"/>
        </w:rPr>
        <w:t xml:space="preserve">5.3 </w:t>
      </w:r>
      <w:r>
        <w:rPr>
          <w:rFonts w:eastAsia="黑体"/>
          <w:b w:val="0"/>
          <w:bCs w:val="0"/>
        </w:rPr>
        <w:t>PET/CT</w:t>
      </w:r>
      <w:r>
        <w:rPr>
          <w:rFonts w:hint="eastAsia" w:ascii="黑体" w:hAnsi="黑体" w:eastAsia="黑体"/>
          <w:b w:val="0"/>
          <w:bCs w:val="0"/>
        </w:rPr>
        <w:t>检查技术</w:t>
      </w:r>
    </w:p>
    <w:p w14:paraId="1C4770E0">
      <w:pPr>
        <w:pStyle w:val="49"/>
        <w:spacing w:line="240" w:lineRule="auto"/>
        <w:ind w:firstLine="0" w:firstLineChars="0"/>
        <w:rPr>
          <w:rFonts w:ascii="黑体" w:hAnsi="黑体" w:eastAsia="黑体"/>
          <w:b w:val="0"/>
          <w:bCs w:val="0"/>
        </w:rPr>
      </w:pPr>
      <w:r>
        <w:rPr>
          <w:rFonts w:ascii="黑体" w:hAnsi="黑体" w:eastAsia="黑体"/>
          <w:b w:val="0"/>
          <w:bCs w:val="0"/>
        </w:rPr>
        <w:t xml:space="preserve">5.3.1 </w:t>
      </w:r>
      <w:r>
        <w:rPr>
          <w:rFonts w:hint="eastAsia" w:ascii="黑体" w:hAnsi="黑体" w:eastAsia="黑体"/>
          <w:b w:val="0"/>
          <w:bCs w:val="0"/>
        </w:rPr>
        <w:t>适应证</w:t>
      </w:r>
    </w:p>
    <w:p w14:paraId="7BC205EE">
      <w:pPr>
        <w:pStyle w:val="49"/>
        <w:spacing w:line="240" w:lineRule="auto"/>
        <w:ind w:firstLineChars="200"/>
      </w:pPr>
      <w:r>
        <w:rPr>
          <w:rFonts w:hint="eastAsia"/>
        </w:rPr>
        <w:t>适用于以下情况 [7,8]：</w:t>
      </w:r>
    </w:p>
    <w:p w14:paraId="5D6A8361">
      <w:pPr>
        <w:pStyle w:val="49"/>
        <w:spacing w:line="240" w:lineRule="auto"/>
        <w:ind w:firstLineChars="200"/>
      </w:pPr>
      <w:r>
        <w:rPr>
          <w:rFonts w:hint="eastAsia"/>
        </w:rPr>
        <w:t>a）进展期/晚期胸腺上皮肿瘤（如胸腺癌、B3型胸腺瘤）的分期评估；</w:t>
      </w:r>
    </w:p>
    <w:p w14:paraId="5A3F0D42">
      <w:pPr>
        <w:pStyle w:val="49"/>
        <w:spacing w:line="240" w:lineRule="auto"/>
        <w:ind w:firstLineChars="200"/>
      </w:pPr>
      <w:r>
        <w:rPr>
          <w:rFonts w:hint="eastAsia"/>
        </w:rPr>
        <w:t>b）远处转移（胸膜、淋巴结、骨等）检测；</w:t>
      </w:r>
    </w:p>
    <w:p w14:paraId="3FEC81D5">
      <w:pPr>
        <w:pStyle w:val="49"/>
        <w:spacing w:line="240" w:lineRule="auto"/>
        <w:ind w:firstLineChars="200"/>
      </w:pPr>
      <w:r>
        <w:rPr>
          <w:rFonts w:hint="eastAsia"/>
        </w:rPr>
        <w:t>c）可疑复发灶的鉴别诊断；</w:t>
      </w:r>
    </w:p>
    <w:p w14:paraId="6F3D8E96">
      <w:pPr>
        <w:pStyle w:val="49"/>
        <w:spacing w:line="240" w:lineRule="auto"/>
        <w:ind w:firstLineChars="200"/>
      </w:pPr>
      <w:r>
        <w:rPr>
          <w:rFonts w:hint="eastAsia"/>
        </w:rPr>
        <w:t>d）治疗反应预测（诱导治疗后代谢参数变化）。</w:t>
      </w:r>
    </w:p>
    <w:p w14:paraId="2793F1E7">
      <w:pPr>
        <w:pStyle w:val="49"/>
        <w:spacing w:line="240" w:lineRule="auto"/>
        <w:ind w:firstLine="0" w:firstLineChars="0"/>
        <w:rPr>
          <w:rFonts w:ascii="黑体" w:hAnsi="黑体" w:eastAsia="黑体"/>
          <w:b w:val="0"/>
          <w:bCs w:val="0"/>
        </w:rPr>
      </w:pPr>
      <w:r>
        <w:rPr>
          <w:rFonts w:ascii="黑体" w:hAnsi="黑体" w:eastAsia="黑体"/>
          <w:b w:val="0"/>
          <w:bCs w:val="0"/>
        </w:rPr>
        <w:t xml:space="preserve">5.3.2 </w:t>
      </w:r>
      <w:r>
        <w:rPr>
          <w:rFonts w:hint="eastAsia" w:ascii="黑体" w:hAnsi="黑体" w:eastAsia="黑体"/>
          <w:b w:val="0"/>
          <w:bCs w:val="0"/>
        </w:rPr>
        <w:t>检查前准备</w:t>
      </w:r>
      <w:r>
        <w:rPr>
          <w:rFonts w:ascii="黑体" w:hAnsi="黑体" w:eastAsia="黑体"/>
          <w:b w:val="0"/>
          <w:bCs w:val="0"/>
        </w:rPr>
        <w:t xml:space="preserve"> </w:t>
      </w:r>
      <w:r>
        <w:rPr>
          <w:rFonts w:ascii="黑体" w:hAnsi="黑体" w:eastAsia="黑体"/>
        </w:rPr>
        <w:t>[9]</w:t>
      </w:r>
    </w:p>
    <w:p w14:paraId="71B3E37C">
      <w:pPr>
        <w:pStyle w:val="49"/>
        <w:spacing w:line="240" w:lineRule="auto"/>
        <w:ind w:firstLineChars="200"/>
      </w:pPr>
      <w:r>
        <w:rPr>
          <w:rFonts w:hint="eastAsia"/>
        </w:rPr>
        <w:t>a）患者禁食4 h-6 h，禁含糖饮料及葡萄糖输液；</w:t>
      </w:r>
    </w:p>
    <w:p w14:paraId="1D2B1192">
      <w:pPr>
        <w:pStyle w:val="49"/>
        <w:spacing w:line="240" w:lineRule="auto"/>
        <w:ind w:firstLineChars="200"/>
      </w:pPr>
      <w:r>
        <w:rPr>
          <w:rFonts w:hint="eastAsia"/>
        </w:rPr>
        <w:t>b）测量血糖，应控制在＜11.1 mmol/L（＞3.9 mmol/L），血糖过高者需调整后再行检查；</w:t>
      </w:r>
    </w:p>
    <w:p w14:paraId="184DDBE4">
      <w:pPr>
        <w:pStyle w:val="49"/>
        <w:spacing w:line="240" w:lineRule="auto"/>
        <w:ind w:firstLineChars="200"/>
      </w:pPr>
      <w:r>
        <w:rPr>
          <w:rFonts w:hint="eastAsia"/>
        </w:rPr>
        <w:t>c）签署知情同意书，去除金属物品，训练患者吸气-屏气；</w:t>
      </w:r>
    </w:p>
    <w:p w14:paraId="7DF98919">
      <w:pPr>
        <w:pStyle w:val="49"/>
        <w:spacing w:line="240" w:lineRule="auto"/>
        <w:ind w:firstLineChars="200"/>
      </w:pPr>
      <w:r>
        <w:rPr>
          <w:rFonts w:hint="eastAsia"/>
        </w:rPr>
        <w:t>d）建立静脉通路，注射18F-FDG前患者应安静休息，避免光照及剧烈活动。</w:t>
      </w:r>
    </w:p>
    <w:p w14:paraId="690D8B07">
      <w:pPr>
        <w:pStyle w:val="49"/>
        <w:spacing w:line="240" w:lineRule="auto"/>
        <w:ind w:firstLine="0" w:firstLineChars="0"/>
        <w:rPr>
          <w:rFonts w:ascii="黑体" w:hAnsi="黑体" w:eastAsia="黑体"/>
          <w:b w:val="0"/>
          <w:bCs w:val="0"/>
        </w:rPr>
      </w:pPr>
      <w:r>
        <w:rPr>
          <w:rFonts w:ascii="黑体" w:hAnsi="黑体" w:eastAsia="黑体"/>
          <w:b w:val="0"/>
          <w:bCs w:val="0"/>
        </w:rPr>
        <w:t xml:space="preserve">5.3.3 </w:t>
      </w:r>
      <w:r>
        <w:rPr>
          <w:rFonts w:hint="eastAsia" w:ascii="黑体" w:hAnsi="黑体" w:eastAsia="黑体"/>
          <w:b w:val="0"/>
          <w:bCs w:val="0"/>
        </w:rPr>
        <w:t>检查方案</w:t>
      </w:r>
      <w:r>
        <w:rPr>
          <w:rFonts w:ascii="黑体" w:hAnsi="黑体" w:eastAsia="黑体"/>
          <w:b w:val="0"/>
          <w:bCs w:val="0"/>
        </w:rPr>
        <w:t xml:space="preserve"> </w:t>
      </w:r>
      <w:r>
        <w:rPr>
          <w:rFonts w:ascii="黑体" w:hAnsi="黑体" w:eastAsia="黑体"/>
        </w:rPr>
        <w:t>[9]</w:t>
      </w:r>
    </w:p>
    <w:p w14:paraId="479B6AA0">
      <w:pPr>
        <w:pStyle w:val="49"/>
        <w:spacing w:line="240" w:lineRule="auto"/>
        <w:ind w:firstLineChars="200"/>
      </w:pPr>
      <w:r>
        <w:rPr>
          <w:rFonts w:hint="eastAsia"/>
        </w:rPr>
        <w:t>a）体位：患者取仰卧位，双手上举抱头。</w:t>
      </w:r>
    </w:p>
    <w:p w14:paraId="30566939">
      <w:pPr>
        <w:pStyle w:val="49"/>
        <w:spacing w:line="240" w:lineRule="auto"/>
        <w:ind w:firstLineChars="200"/>
      </w:pPr>
      <w:r>
        <w:rPr>
          <w:rFonts w:hint="eastAsia"/>
        </w:rPr>
        <w:t>b）扫描范围：自颅底至大腿中部。</w:t>
      </w:r>
    </w:p>
    <w:p w14:paraId="7E0F7529">
      <w:pPr>
        <w:pStyle w:val="49"/>
        <w:spacing w:line="240" w:lineRule="auto"/>
        <w:ind w:firstLineChars="200"/>
      </w:pPr>
      <w:r>
        <w:rPr>
          <w:rFonts w:hint="eastAsia"/>
        </w:rPr>
        <w:t>c）示踪剂注射：按体重注射</w:t>
      </w:r>
      <w:r>
        <w:rPr>
          <w:rFonts w:hint="eastAsia"/>
          <w:vertAlign w:val="superscript"/>
        </w:rPr>
        <w:t>18F</w:t>
      </w:r>
      <w:r>
        <w:rPr>
          <w:rFonts w:hint="eastAsia"/>
        </w:rPr>
        <w:t>-FDG 2.96 MBq/kg～7.77 MBq/kg，静息45 min～60 min后采集。</w:t>
      </w:r>
    </w:p>
    <w:p w14:paraId="320EB4B6">
      <w:pPr>
        <w:pStyle w:val="49"/>
        <w:spacing w:line="240" w:lineRule="auto"/>
        <w:ind w:firstLineChars="200"/>
      </w:pPr>
      <w:r>
        <w:rPr>
          <w:rFonts w:hint="eastAsia"/>
        </w:rPr>
        <w:t>d）采集流程：先行低剂量定位CT扫描，再行PET三维采集（1.5 min/床位～5 min/床位）。</w:t>
      </w:r>
    </w:p>
    <w:p w14:paraId="793765AF">
      <w:pPr>
        <w:pStyle w:val="49"/>
        <w:spacing w:line="240" w:lineRule="auto"/>
        <w:ind w:firstLineChars="200"/>
      </w:pPr>
      <w:r>
        <w:rPr>
          <w:rFonts w:hint="eastAsia"/>
        </w:rPr>
        <w:t>e）图像后处理：行横断面、冠状面及矢状面多平面融合图像分析。</w:t>
      </w:r>
    </w:p>
    <w:p w14:paraId="5D44D3EC">
      <w:pPr>
        <w:pStyle w:val="49"/>
        <w:spacing w:line="240" w:lineRule="auto"/>
        <w:ind w:firstLineChars="200"/>
      </w:pPr>
      <w:r>
        <w:rPr>
          <w:rFonts w:hint="eastAsia"/>
        </w:rPr>
        <w:t>f）代谢评估：采用SUV</w:t>
      </w:r>
      <w:r>
        <w:rPr>
          <w:rFonts w:hint="eastAsia"/>
          <w:vertAlign w:val="subscript"/>
        </w:rPr>
        <w:t>max</w:t>
      </w:r>
      <w:r>
        <w:rPr>
          <w:rFonts w:hint="eastAsia"/>
        </w:rPr>
        <w:t>进行定量分析，结合形态学特征综合判断；可疑转移者可行延迟显像。</w:t>
      </w:r>
    </w:p>
    <w:p w14:paraId="3482ED8F">
      <w:pPr>
        <w:pStyle w:val="49"/>
        <w:spacing w:before="312" w:beforeLines="100" w:after="312" w:afterLines="100" w:line="240" w:lineRule="auto"/>
        <w:ind w:firstLine="0" w:firstLineChars="0"/>
        <w:outlineLvl w:val="0"/>
        <w:rPr>
          <w:rFonts w:ascii="黑体" w:hAnsi="黑体" w:eastAsia="黑体"/>
          <w:b w:val="0"/>
          <w:bCs w:val="0"/>
          <w:sz w:val="21"/>
          <w:szCs w:val="21"/>
        </w:rPr>
      </w:pPr>
      <w:bookmarkStart w:id="10" w:name="_Toc226898519"/>
      <w:r>
        <w:rPr>
          <w:rFonts w:ascii="黑体" w:hAnsi="黑体" w:eastAsia="黑体"/>
          <w:b w:val="0"/>
          <w:bCs w:val="0"/>
          <w:sz w:val="21"/>
          <w:szCs w:val="21"/>
        </w:rPr>
        <w:t xml:space="preserve">6 </w:t>
      </w:r>
      <w:r>
        <w:rPr>
          <w:rFonts w:hint="eastAsia" w:ascii="黑体" w:hAnsi="黑体" w:eastAsia="黑体"/>
          <w:b w:val="0"/>
          <w:bCs w:val="0"/>
          <w:sz w:val="21"/>
          <w:szCs w:val="21"/>
        </w:rPr>
        <w:t>影像学诊断与评估</w:t>
      </w:r>
      <w:bookmarkEnd w:id="10"/>
    </w:p>
    <w:p w14:paraId="1DE06536">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 xml:space="preserve">6.1 </w:t>
      </w:r>
      <w:r>
        <w:rPr>
          <w:rFonts w:hint="eastAsia" w:ascii="黑体" w:hAnsi="黑体" w:eastAsia="黑体"/>
          <w:b w:val="0"/>
          <w:bCs w:val="0"/>
        </w:rPr>
        <w:t>关键影像学特征描述</w:t>
      </w:r>
    </w:p>
    <w:p w14:paraId="44978F6D">
      <w:pPr>
        <w:pStyle w:val="49"/>
        <w:spacing w:line="240" w:lineRule="auto"/>
        <w:ind w:firstLineChars="200"/>
      </w:pPr>
      <w:r>
        <w:rPr>
          <w:rFonts w:hint="eastAsia"/>
        </w:rPr>
        <w:t>诊断报告应系统描述以下特征：</w:t>
      </w:r>
    </w:p>
    <w:p w14:paraId="05661507">
      <w:pPr>
        <w:pStyle w:val="49"/>
        <w:spacing w:line="240" w:lineRule="auto"/>
        <w:ind w:firstLineChars="200"/>
      </w:pPr>
      <w:r>
        <w:rPr>
          <w:rFonts w:hint="eastAsia"/>
        </w:rPr>
        <w:t>a) 位置与形态：位于前纵隔胸腺区。描述形态（类圆形、分叶状、不规则形）。</w:t>
      </w:r>
    </w:p>
    <w:p w14:paraId="38416B82">
      <w:pPr>
        <w:pStyle w:val="49"/>
        <w:spacing w:line="240" w:lineRule="auto"/>
        <w:ind w:firstLineChars="200"/>
      </w:pPr>
      <w:r>
        <w:rPr>
          <w:rFonts w:hint="eastAsia"/>
        </w:rPr>
        <w:t>b) 大小与边界：测量肿瘤三维最大径（前后径×左右径×上下径）。评估边界是否清晰、包膜是否完整。</w:t>
      </w:r>
    </w:p>
    <w:p w14:paraId="40C63C62">
      <w:pPr>
        <w:pStyle w:val="49"/>
        <w:spacing w:line="240" w:lineRule="auto"/>
        <w:ind w:firstLineChars="200"/>
      </w:pPr>
      <w:r>
        <w:rPr>
          <w:rFonts w:hint="eastAsia"/>
        </w:rPr>
        <w:t>c) 内部特征：描述CT平扫密度（均匀/不均匀，有无囊变、坏死、钙化）或MRI各序列信号特点。</w:t>
      </w:r>
    </w:p>
    <w:p w14:paraId="1007537F">
      <w:pPr>
        <w:pStyle w:val="49"/>
        <w:spacing w:line="240" w:lineRule="auto"/>
        <w:ind w:firstLineChars="200"/>
      </w:pPr>
      <w:r>
        <w:rPr>
          <w:rFonts w:hint="eastAsia"/>
        </w:rPr>
        <w:t>d) 强化特征：描述增强后强化程度（轻度、中度、显著）及强化模式（均匀、不均匀、渐进性、廓清型）。</w:t>
      </w:r>
    </w:p>
    <w:p w14:paraId="041AE517">
      <w:pPr>
        <w:pStyle w:val="49"/>
        <w:spacing w:line="240" w:lineRule="auto"/>
        <w:ind w:firstLineChars="200"/>
      </w:pPr>
      <w:r>
        <w:rPr>
          <w:rFonts w:hint="eastAsia"/>
        </w:rPr>
        <w:t>e) 与周围结构关系：重点评估与心包、大血管（头臂静脉、上腔静脉、主动脉）、气管、胸膜及肺组织的关系，描述是否存在脂肪间隙消失、包绕或侵犯 [10]。</w:t>
      </w:r>
    </w:p>
    <w:p w14:paraId="16D34E71">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 xml:space="preserve">6.2 </w:t>
      </w:r>
      <w:r>
        <w:rPr>
          <w:rFonts w:hint="eastAsia" w:ascii="黑体" w:hAnsi="黑体" w:eastAsia="黑体"/>
          <w:b w:val="0"/>
          <w:bCs w:val="0"/>
        </w:rPr>
        <w:t>侵袭性行为影像学评估</w:t>
      </w:r>
    </w:p>
    <w:p w14:paraId="43750989">
      <w:pPr>
        <w:pStyle w:val="49"/>
        <w:spacing w:line="240" w:lineRule="auto"/>
        <w:ind w:firstLineChars="200"/>
      </w:pPr>
      <w:r>
        <w:rPr>
          <w:rFonts w:hint="eastAsia"/>
        </w:rPr>
        <w:t>出现以下一个或多个影像学征象时，提示肿瘤具有侵袭性行为：</w:t>
      </w:r>
    </w:p>
    <w:p w14:paraId="7BFBA75B">
      <w:pPr>
        <w:pStyle w:val="49"/>
        <w:spacing w:line="240" w:lineRule="auto"/>
        <w:ind w:firstLineChars="200"/>
      </w:pPr>
      <w:r>
        <w:rPr>
          <w:rFonts w:hint="eastAsia"/>
        </w:rPr>
        <w:t>a) 肿瘤边界模糊，呈浸润性生长；</w:t>
      </w:r>
    </w:p>
    <w:p w14:paraId="00503F0E">
      <w:pPr>
        <w:pStyle w:val="49"/>
        <w:spacing w:line="240" w:lineRule="auto"/>
        <w:ind w:firstLineChars="200"/>
      </w:pPr>
      <w:r>
        <w:rPr>
          <w:rFonts w:hint="eastAsia"/>
        </w:rPr>
        <w:t>b) 包膜不完整、中断或可见明确包膜外突；</w:t>
      </w:r>
    </w:p>
    <w:p w14:paraId="218FAC44">
      <w:pPr>
        <w:pStyle w:val="49"/>
        <w:spacing w:line="240" w:lineRule="auto"/>
        <w:ind w:firstLineChars="200"/>
      </w:pPr>
      <w:r>
        <w:rPr>
          <w:rFonts w:hint="eastAsia"/>
        </w:rPr>
        <w:t>c) 侵犯周围脂肪组织、胸膜或心包；</w:t>
      </w:r>
    </w:p>
    <w:p w14:paraId="1FD07EAE">
      <w:pPr>
        <w:pStyle w:val="49"/>
        <w:spacing w:line="240" w:lineRule="auto"/>
        <w:ind w:firstLineChars="200"/>
      </w:pPr>
      <w:r>
        <w:rPr>
          <w:rFonts w:hint="eastAsia"/>
        </w:rPr>
        <w:t>d) 侵犯邻近器官，如大血管、肺、胸壁等；</w:t>
      </w:r>
    </w:p>
    <w:p w14:paraId="1C989023">
      <w:pPr>
        <w:pStyle w:val="49"/>
        <w:spacing w:line="240" w:lineRule="auto"/>
        <w:ind w:firstLineChars="200"/>
      </w:pPr>
      <w:r>
        <w:rPr>
          <w:rFonts w:hint="eastAsia"/>
        </w:rPr>
        <w:t>e) 出现胸膜或心包种植结节、胸腔积液、心包积液；</w:t>
      </w:r>
    </w:p>
    <w:p w14:paraId="23DE47AA">
      <w:pPr>
        <w:pStyle w:val="49"/>
        <w:spacing w:line="240" w:lineRule="auto"/>
        <w:ind w:firstLineChars="200"/>
      </w:pPr>
      <w:r>
        <w:rPr>
          <w:rFonts w:hint="eastAsia"/>
        </w:rPr>
        <w:t>f) 区域淋巴结转移或远处转移。</w:t>
      </w:r>
    </w:p>
    <w:p w14:paraId="216FFA09">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 xml:space="preserve">6.3 </w:t>
      </w:r>
      <w:r>
        <w:rPr>
          <w:rFonts w:eastAsia="黑体"/>
          <w:b w:val="0"/>
          <w:bCs w:val="0"/>
        </w:rPr>
        <w:t>WHO</w:t>
      </w:r>
      <w:r>
        <w:rPr>
          <w:rFonts w:hint="eastAsia" w:eastAsia="黑体"/>
          <w:b w:val="0"/>
          <w:bCs w:val="0"/>
        </w:rPr>
        <w:t>组织</w:t>
      </w:r>
      <w:r>
        <w:rPr>
          <w:rFonts w:hint="eastAsia" w:ascii="黑体" w:hAnsi="黑体" w:eastAsia="黑体"/>
          <w:b w:val="0"/>
          <w:bCs w:val="0"/>
        </w:rPr>
        <w:t>学分型的影像学特征关联</w:t>
      </w:r>
    </w:p>
    <w:p w14:paraId="5FD7E45D">
      <w:pPr>
        <w:pStyle w:val="49"/>
        <w:spacing w:line="240" w:lineRule="auto"/>
        <w:ind w:firstLineChars="200"/>
      </w:pPr>
      <w:r>
        <w:rPr>
          <w:rFonts w:hint="eastAsia"/>
        </w:rPr>
        <w:t>基于现有循证医学证据，表1总结了低风险与高风险胸腺瘤的典型影像学特征差异，可供术前风险评估参考。</w:t>
      </w:r>
    </w:p>
    <w:p w14:paraId="7860AD5B">
      <w:pPr>
        <w:pStyle w:val="49"/>
        <w:spacing w:line="240" w:lineRule="auto"/>
        <w:ind w:firstLine="0" w:firstLineChars="0"/>
        <w:jc w:val="center"/>
      </w:pPr>
      <w:r>
        <w:rPr>
          <w:rFonts w:hint="eastAsia"/>
          <w:b w:val="0"/>
          <w:bCs w:val="0"/>
        </w:rPr>
        <w:t>表</w:t>
      </w:r>
      <w:r>
        <w:rPr>
          <w:b w:val="0"/>
          <w:bCs w:val="0"/>
        </w:rPr>
        <w:t>1</w:t>
      </w:r>
      <w:r>
        <w:rPr>
          <w:rFonts w:hint="eastAsia"/>
        </w:rPr>
        <w:t xml:space="preserve"> 低风险与高风险胸腺瘤影像学特征对比</w:t>
      </w:r>
    </w:p>
    <w:tbl>
      <w:tblPr>
        <w:tblStyle w:val="13"/>
        <w:tblW w:w="8266" w:type="dxa"/>
        <w:tblInd w:w="0" w:type="dxa"/>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1337"/>
        <w:gridCol w:w="2855"/>
        <w:gridCol w:w="4074"/>
      </w:tblGrid>
      <w:tr w14:paraId="3A9109D0">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84" w:hRule="atLeast"/>
          <w:tblHeader/>
        </w:trPr>
        <w:tc>
          <w:tcPr>
            <w:tcW w:w="1337" w:type="dxa"/>
            <w:tcBorders>
              <w:bottom w:val="single" w:color="auto" w:sz="4" w:space="0"/>
              <w:tl2br w:val="nil"/>
              <w:tr2bl w:val="nil"/>
            </w:tcBorders>
            <w:shd w:val="clear" w:color="auto" w:fill="FFFFFF"/>
            <w:tcMar>
              <w:top w:w="100" w:type="dxa"/>
              <w:left w:w="0" w:type="dxa"/>
              <w:bottom w:w="100" w:type="dxa"/>
              <w:right w:w="160" w:type="dxa"/>
            </w:tcMar>
            <w:vAlign w:val="center"/>
          </w:tcPr>
          <w:p w14:paraId="2FE779A4">
            <w:pPr>
              <w:widowControl/>
              <w:jc w:val="both"/>
              <w:rPr>
                <w:rFonts w:hint="eastAsia" w:ascii="Times New Roman" w:hAnsi="Times New Roman" w:eastAsia="宋体" w:cs="Times New Roman"/>
                <w:b w:val="0"/>
                <w:bCs w:val="0"/>
                <w:color w:val="0F1115"/>
                <w:szCs w:val="21"/>
              </w:rPr>
            </w:pPr>
            <w:r>
              <w:rPr>
                <w:rFonts w:hint="eastAsia" w:ascii="Times New Roman" w:hAnsi="Times New Roman" w:eastAsia="宋体" w:cs="Times New Roman"/>
                <w:b w:val="0"/>
                <w:bCs w:val="0"/>
                <w:color w:val="0F1115"/>
                <w:kern w:val="0"/>
                <w:szCs w:val="21"/>
                <w:lang w:bidi="ar"/>
              </w:rPr>
              <w:t>评估维度</w:t>
            </w:r>
          </w:p>
        </w:tc>
        <w:tc>
          <w:tcPr>
            <w:tcW w:w="2855" w:type="dxa"/>
            <w:tcBorders>
              <w:bottom w:val="single" w:color="auto" w:sz="4" w:space="0"/>
              <w:tl2br w:val="nil"/>
              <w:tr2bl w:val="nil"/>
            </w:tcBorders>
            <w:shd w:val="clear" w:color="auto" w:fill="FFFFFF"/>
            <w:tcMar>
              <w:top w:w="100" w:type="dxa"/>
              <w:left w:w="160" w:type="dxa"/>
              <w:bottom w:w="100" w:type="dxa"/>
              <w:right w:w="160" w:type="dxa"/>
            </w:tcMar>
            <w:vAlign w:val="center"/>
          </w:tcPr>
          <w:p w14:paraId="5E324C89">
            <w:pPr>
              <w:widowControl/>
              <w:jc w:val="both"/>
              <w:rPr>
                <w:rFonts w:hint="eastAsia" w:ascii="Times New Roman" w:hAnsi="Times New Roman" w:eastAsia="宋体" w:cs="Times New Roman"/>
                <w:b w:val="0"/>
                <w:bCs w:val="0"/>
                <w:color w:val="0F1115"/>
                <w:szCs w:val="21"/>
              </w:rPr>
            </w:pPr>
            <w:r>
              <w:rPr>
                <w:rFonts w:hint="eastAsia" w:ascii="Times New Roman" w:hAnsi="Times New Roman" w:eastAsia="宋体" w:cs="Times New Roman"/>
                <w:b w:val="0"/>
                <w:bCs w:val="0"/>
                <w:color w:val="0F1115"/>
                <w:kern w:val="0"/>
                <w:szCs w:val="21"/>
                <w:lang w:bidi="ar"/>
              </w:rPr>
              <w:t>低风险胸腺瘤(A, AB, B1型)</w:t>
            </w:r>
          </w:p>
        </w:tc>
        <w:tc>
          <w:tcPr>
            <w:tcW w:w="4074" w:type="dxa"/>
            <w:tcBorders>
              <w:bottom w:val="single" w:color="auto" w:sz="4" w:space="0"/>
              <w:tl2br w:val="nil"/>
              <w:tr2bl w:val="nil"/>
            </w:tcBorders>
            <w:shd w:val="clear" w:color="auto" w:fill="FFFFFF"/>
            <w:tcMar>
              <w:top w:w="100" w:type="dxa"/>
              <w:left w:w="160" w:type="dxa"/>
              <w:bottom w:w="100" w:type="dxa"/>
              <w:right w:w="160" w:type="dxa"/>
            </w:tcMar>
            <w:vAlign w:val="center"/>
          </w:tcPr>
          <w:p w14:paraId="4AAF1A4E">
            <w:pPr>
              <w:widowControl/>
              <w:jc w:val="both"/>
              <w:rPr>
                <w:rFonts w:hint="eastAsia" w:ascii="Times New Roman" w:hAnsi="Times New Roman" w:eastAsia="宋体" w:cs="Times New Roman"/>
                <w:b w:val="0"/>
                <w:bCs w:val="0"/>
                <w:color w:val="0F1115"/>
                <w:szCs w:val="21"/>
              </w:rPr>
            </w:pPr>
            <w:r>
              <w:rPr>
                <w:rFonts w:hint="eastAsia" w:ascii="Times New Roman" w:hAnsi="Times New Roman" w:eastAsia="宋体" w:cs="Times New Roman"/>
                <w:b w:val="0"/>
                <w:bCs w:val="0"/>
                <w:color w:val="0F1115"/>
                <w:kern w:val="0"/>
                <w:szCs w:val="21"/>
                <w:lang w:bidi="ar"/>
              </w:rPr>
              <w:t>高风险胸腺瘤及胸腺癌(B2, B3型, TC)</w:t>
            </w:r>
          </w:p>
        </w:tc>
      </w:tr>
      <w:tr w14:paraId="50A16798">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84" w:hRule="atLeast"/>
        </w:trPr>
        <w:tc>
          <w:tcPr>
            <w:tcW w:w="1337" w:type="dxa"/>
            <w:tcBorders>
              <w:top w:val="single" w:color="auto" w:sz="4" w:space="0"/>
            </w:tcBorders>
            <w:shd w:val="clear" w:color="auto" w:fill="FFFFFF"/>
            <w:tcMar>
              <w:top w:w="100" w:type="dxa"/>
              <w:left w:w="0" w:type="dxa"/>
              <w:bottom w:w="100" w:type="dxa"/>
              <w:right w:w="160" w:type="dxa"/>
            </w:tcMar>
            <w:vAlign w:val="center"/>
          </w:tcPr>
          <w:p w14:paraId="6932447B">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bCs w:val="0"/>
                <w:color w:val="0F1115"/>
                <w:kern w:val="0"/>
                <w:szCs w:val="21"/>
                <w:lang w:bidi="ar"/>
              </w:rPr>
              <w:t>形态与边界</w:t>
            </w:r>
          </w:p>
        </w:tc>
        <w:tc>
          <w:tcPr>
            <w:tcW w:w="2855" w:type="dxa"/>
            <w:tcBorders>
              <w:top w:val="single" w:color="auto" w:sz="4" w:space="0"/>
            </w:tcBorders>
            <w:shd w:val="clear" w:color="auto" w:fill="FFFFFF"/>
            <w:tcMar>
              <w:top w:w="100" w:type="dxa"/>
              <w:left w:w="160" w:type="dxa"/>
              <w:bottom w:w="100" w:type="dxa"/>
              <w:right w:w="160" w:type="dxa"/>
            </w:tcMar>
            <w:vAlign w:val="center"/>
          </w:tcPr>
          <w:p w14:paraId="487A0D4E">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类圆形/椭圆形，边界清晰，包膜完整 [11,12]。</w:t>
            </w:r>
          </w:p>
        </w:tc>
        <w:tc>
          <w:tcPr>
            <w:tcW w:w="4074" w:type="dxa"/>
            <w:tcBorders>
              <w:top w:val="single" w:color="auto" w:sz="4" w:space="0"/>
            </w:tcBorders>
            <w:shd w:val="clear" w:color="auto" w:fill="FFFFFF"/>
            <w:tcMar>
              <w:top w:w="100" w:type="dxa"/>
              <w:left w:w="160" w:type="dxa"/>
              <w:bottom w:w="100" w:type="dxa"/>
              <w:right w:w="0" w:type="dxa"/>
            </w:tcMar>
            <w:vAlign w:val="center"/>
          </w:tcPr>
          <w:p w14:paraId="0D5D5563">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不规则形/分叶状，边界模糊，包膜不完整或消失 [11,12]。</w:t>
            </w:r>
          </w:p>
        </w:tc>
      </w:tr>
      <w:tr w14:paraId="08AFB3EF">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84" w:hRule="atLeast"/>
        </w:trPr>
        <w:tc>
          <w:tcPr>
            <w:tcW w:w="1337" w:type="dxa"/>
            <w:shd w:val="clear" w:color="auto" w:fill="FFFFFF"/>
            <w:tcMar>
              <w:top w:w="100" w:type="dxa"/>
              <w:left w:w="0" w:type="dxa"/>
              <w:bottom w:w="100" w:type="dxa"/>
              <w:right w:w="160" w:type="dxa"/>
            </w:tcMar>
            <w:vAlign w:val="center"/>
          </w:tcPr>
          <w:p w14:paraId="5B1007A3">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bCs w:val="0"/>
                <w:color w:val="0F1115"/>
                <w:kern w:val="0"/>
                <w:szCs w:val="21"/>
                <w:lang w:bidi="ar"/>
              </w:rPr>
              <w:t>内部均匀性</w:t>
            </w:r>
          </w:p>
        </w:tc>
        <w:tc>
          <w:tcPr>
            <w:tcW w:w="2855" w:type="dxa"/>
            <w:shd w:val="clear" w:color="auto" w:fill="FFFFFF"/>
            <w:tcMar>
              <w:top w:w="100" w:type="dxa"/>
              <w:left w:w="160" w:type="dxa"/>
              <w:bottom w:w="100" w:type="dxa"/>
              <w:right w:w="160" w:type="dxa"/>
            </w:tcMar>
            <w:vAlign w:val="center"/>
          </w:tcPr>
          <w:p w14:paraId="1101D4C1">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密度/信号相对均匀，大片坏死、囊变少见 [13,14]。</w:t>
            </w:r>
          </w:p>
        </w:tc>
        <w:tc>
          <w:tcPr>
            <w:tcW w:w="4074" w:type="dxa"/>
            <w:shd w:val="clear" w:color="auto" w:fill="FFFFFF"/>
            <w:tcMar>
              <w:top w:w="100" w:type="dxa"/>
              <w:left w:w="160" w:type="dxa"/>
              <w:bottom w:w="100" w:type="dxa"/>
              <w:right w:w="0" w:type="dxa"/>
            </w:tcMar>
            <w:vAlign w:val="center"/>
          </w:tcPr>
          <w:p w14:paraId="0E4BB01B">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密度/信号明显不均，常见大片坏死、囊变、出血 [15,16]。</w:t>
            </w:r>
          </w:p>
        </w:tc>
      </w:tr>
      <w:tr w14:paraId="67DCF12C">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84" w:hRule="atLeast"/>
        </w:trPr>
        <w:tc>
          <w:tcPr>
            <w:tcW w:w="1337" w:type="dxa"/>
            <w:shd w:val="clear" w:color="auto" w:fill="FFFFFF"/>
            <w:tcMar>
              <w:top w:w="100" w:type="dxa"/>
              <w:left w:w="0" w:type="dxa"/>
              <w:bottom w:w="100" w:type="dxa"/>
              <w:right w:w="160" w:type="dxa"/>
            </w:tcMar>
            <w:vAlign w:val="center"/>
          </w:tcPr>
          <w:p w14:paraId="57968D2C">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bCs w:val="0"/>
                <w:color w:val="0F1115"/>
                <w:kern w:val="0"/>
                <w:szCs w:val="21"/>
                <w:lang w:bidi="ar"/>
              </w:rPr>
              <w:t>强化特征</w:t>
            </w:r>
          </w:p>
        </w:tc>
        <w:tc>
          <w:tcPr>
            <w:tcW w:w="2855" w:type="dxa"/>
            <w:shd w:val="clear" w:color="auto" w:fill="FFFFFF"/>
            <w:tcMar>
              <w:top w:w="100" w:type="dxa"/>
              <w:left w:w="160" w:type="dxa"/>
              <w:bottom w:w="100" w:type="dxa"/>
              <w:right w:w="160" w:type="dxa"/>
            </w:tcMar>
            <w:vAlign w:val="center"/>
          </w:tcPr>
          <w:p w14:paraId="45B2B769">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轻-中度、较均匀强化 [15,16]。</w:t>
            </w:r>
          </w:p>
        </w:tc>
        <w:tc>
          <w:tcPr>
            <w:tcW w:w="4074" w:type="dxa"/>
            <w:shd w:val="clear" w:color="auto" w:fill="FFFFFF"/>
            <w:tcMar>
              <w:top w:w="100" w:type="dxa"/>
              <w:left w:w="160" w:type="dxa"/>
              <w:bottom w:w="100" w:type="dxa"/>
              <w:right w:w="0" w:type="dxa"/>
            </w:tcMar>
            <w:vAlign w:val="center"/>
          </w:tcPr>
          <w:p w14:paraId="74331C98">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中度-显著、不均匀强化，坏死区无强化 [16,18,19]。</w:t>
            </w:r>
          </w:p>
        </w:tc>
      </w:tr>
      <w:tr w14:paraId="519A9100">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84" w:hRule="atLeast"/>
        </w:trPr>
        <w:tc>
          <w:tcPr>
            <w:tcW w:w="1337" w:type="dxa"/>
            <w:shd w:val="clear" w:color="auto" w:fill="FFFFFF"/>
            <w:tcMar>
              <w:top w:w="100" w:type="dxa"/>
              <w:left w:w="0" w:type="dxa"/>
              <w:bottom w:w="100" w:type="dxa"/>
              <w:right w:w="160" w:type="dxa"/>
            </w:tcMar>
            <w:vAlign w:val="center"/>
          </w:tcPr>
          <w:p w14:paraId="221D0BDD">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bCs w:val="0"/>
                <w:color w:val="0F1115"/>
                <w:kern w:val="0"/>
                <w:szCs w:val="21"/>
                <w:lang w:bidi="ar"/>
              </w:rPr>
              <w:t>DWI/ADC值</w:t>
            </w:r>
          </w:p>
        </w:tc>
        <w:tc>
          <w:tcPr>
            <w:tcW w:w="2855" w:type="dxa"/>
            <w:shd w:val="clear" w:color="auto" w:fill="FFFFFF"/>
            <w:tcMar>
              <w:top w:w="100" w:type="dxa"/>
              <w:left w:w="160" w:type="dxa"/>
              <w:bottom w:w="100" w:type="dxa"/>
              <w:right w:w="160" w:type="dxa"/>
            </w:tcMar>
            <w:vAlign w:val="center"/>
          </w:tcPr>
          <w:p w14:paraId="4F5CDFD2">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DWI信号中等，ADC值较高（常</w:t>
            </w:r>
            <w:r>
              <w:rPr>
                <w:rFonts w:ascii="Times New Roman" w:hAnsi="Times New Roman" w:eastAsia="宋体" w:cs="Times New Roman"/>
                <w:color w:val="0F1115"/>
                <w:kern w:val="0"/>
                <w:szCs w:val="21"/>
                <w:lang w:bidi="ar"/>
              </w:rPr>
              <w:t>&gt;1.2×10⁻³ mm²/s</w:t>
            </w:r>
            <w:r>
              <w:rPr>
                <w:rFonts w:hint="eastAsia" w:ascii="Times New Roman" w:hAnsi="Times New Roman" w:eastAsia="宋体" w:cs="Times New Roman"/>
                <w:color w:val="0F1115"/>
                <w:kern w:val="0"/>
                <w:szCs w:val="21"/>
                <w:lang w:bidi="ar"/>
              </w:rPr>
              <w:t>）[20-22]。</w:t>
            </w:r>
          </w:p>
        </w:tc>
        <w:tc>
          <w:tcPr>
            <w:tcW w:w="4074" w:type="dxa"/>
            <w:shd w:val="clear" w:color="auto" w:fill="FFFFFF"/>
            <w:tcMar>
              <w:top w:w="100" w:type="dxa"/>
              <w:left w:w="160" w:type="dxa"/>
              <w:bottom w:w="100" w:type="dxa"/>
              <w:right w:w="0" w:type="dxa"/>
            </w:tcMar>
            <w:vAlign w:val="center"/>
          </w:tcPr>
          <w:p w14:paraId="39036085">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DWI信号明显增高，ADC值较低 [20-22]。</w:t>
            </w:r>
          </w:p>
        </w:tc>
      </w:tr>
      <w:tr w14:paraId="521BBA55">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84" w:hRule="atLeast"/>
        </w:trPr>
        <w:tc>
          <w:tcPr>
            <w:tcW w:w="1337" w:type="dxa"/>
            <w:tcBorders>
              <w:tl2br w:val="nil"/>
              <w:tr2bl w:val="nil"/>
            </w:tcBorders>
            <w:shd w:val="clear" w:color="auto" w:fill="FFFFFF"/>
            <w:tcMar>
              <w:top w:w="100" w:type="dxa"/>
              <w:left w:w="0" w:type="dxa"/>
              <w:bottom w:w="100" w:type="dxa"/>
              <w:right w:w="160" w:type="dxa"/>
            </w:tcMar>
            <w:vAlign w:val="center"/>
          </w:tcPr>
          <w:p w14:paraId="31B9A02A">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bCs w:val="0"/>
                <w:color w:val="0F1115"/>
                <w:kern w:val="0"/>
                <w:szCs w:val="21"/>
                <w:lang w:bidi="ar"/>
              </w:rPr>
              <w:t>DCE-MRI曲线</w:t>
            </w:r>
          </w:p>
        </w:tc>
        <w:tc>
          <w:tcPr>
            <w:tcW w:w="2855" w:type="dxa"/>
            <w:tcBorders>
              <w:tl2br w:val="nil"/>
              <w:tr2bl w:val="nil"/>
            </w:tcBorders>
            <w:shd w:val="clear" w:color="auto" w:fill="FFFFFF"/>
            <w:tcMar>
              <w:top w:w="100" w:type="dxa"/>
              <w:left w:w="160" w:type="dxa"/>
              <w:bottom w:w="100" w:type="dxa"/>
              <w:right w:w="160" w:type="dxa"/>
            </w:tcMar>
            <w:vAlign w:val="center"/>
          </w:tcPr>
          <w:p w14:paraId="39424C11">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多呈廓清型（Wash-out）[23,24]。</w:t>
            </w:r>
          </w:p>
        </w:tc>
        <w:tc>
          <w:tcPr>
            <w:tcW w:w="4074" w:type="dxa"/>
            <w:tcBorders>
              <w:tl2br w:val="nil"/>
              <w:tr2bl w:val="nil"/>
            </w:tcBorders>
            <w:shd w:val="clear" w:color="auto" w:fill="FFFFFF"/>
            <w:tcMar>
              <w:top w:w="100" w:type="dxa"/>
              <w:left w:w="160" w:type="dxa"/>
              <w:bottom w:w="100" w:type="dxa"/>
              <w:right w:w="0" w:type="dxa"/>
            </w:tcMar>
            <w:vAlign w:val="center"/>
          </w:tcPr>
          <w:p w14:paraId="3F6CF5BA">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多呈平台型（Plateau）或持续型（Persistent）[23,24]。</w:t>
            </w:r>
          </w:p>
        </w:tc>
      </w:tr>
      <w:tr w14:paraId="23F6E621">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84" w:hRule="atLeast"/>
        </w:trPr>
        <w:tc>
          <w:tcPr>
            <w:tcW w:w="1337" w:type="dxa"/>
            <w:tcBorders>
              <w:tl2br w:val="nil"/>
              <w:tr2bl w:val="nil"/>
            </w:tcBorders>
            <w:shd w:val="clear" w:color="auto" w:fill="FFFFFF"/>
            <w:tcMar>
              <w:top w:w="100" w:type="dxa"/>
              <w:left w:w="0" w:type="dxa"/>
              <w:bottom w:w="100" w:type="dxa"/>
              <w:right w:w="160" w:type="dxa"/>
            </w:tcMar>
            <w:vAlign w:val="center"/>
          </w:tcPr>
          <w:p w14:paraId="0CC83FF3">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bCs w:val="0"/>
                <w:color w:val="0F1115"/>
                <w:kern w:val="0"/>
                <w:szCs w:val="21"/>
                <w:lang w:bidi="ar"/>
              </w:rPr>
              <w:t>双能CT/能谱CT</w:t>
            </w:r>
          </w:p>
        </w:tc>
        <w:tc>
          <w:tcPr>
            <w:tcW w:w="2855" w:type="dxa"/>
            <w:tcBorders>
              <w:tl2br w:val="nil"/>
              <w:tr2bl w:val="nil"/>
            </w:tcBorders>
            <w:shd w:val="clear" w:color="auto" w:fill="FFFFFF"/>
            <w:tcMar>
              <w:top w:w="100" w:type="dxa"/>
              <w:left w:w="160" w:type="dxa"/>
              <w:bottom w:w="100" w:type="dxa"/>
              <w:right w:w="160" w:type="dxa"/>
            </w:tcMar>
            <w:vAlign w:val="center"/>
          </w:tcPr>
          <w:p w14:paraId="794A046C">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静脉期碘浓度及能谱曲线斜率通常较高 [25,26]。</w:t>
            </w:r>
          </w:p>
        </w:tc>
        <w:tc>
          <w:tcPr>
            <w:tcW w:w="4074" w:type="dxa"/>
            <w:tcBorders>
              <w:tl2br w:val="nil"/>
              <w:tr2bl w:val="nil"/>
            </w:tcBorders>
            <w:shd w:val="clear" w:color="auto" w:fill="FFFFFF"/>
            <w:tcMar>
              <w:top w:w="100" w:type="dxa"/>
              <w:left w:w="160" w:type="dxa"/>
              <w:bottom w:w="100" w:type="dxa"/>
              <w:right w:w="0" w:type="dxa"/>
            </w:tcMar>
            <w:vAlign w:val="center"/>
          </w:tcPr>
          <w:p w14:paraId="27989773">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静脉期碘浓度及能谱曲线斜率通常较低（部分高级别肿瘤因新生血管可增高）[25,26]。</w:t>
            </w:r>
          </w:p>
        </w:tc>
      </w:tr>
      <w:tr w14:paraId="6A888A07">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84" w:hRule="atLeast"/>
        </w:trPr>
        <w:tc>
          <w:tcPr>
            <w:tcW w:w="1337" w:type="dxa"/>
            <w:tcBorders>
              <w:tl2br w:val="nil"/>
              <w:tr2bl w:val="nil"/>
            </w:tcBorders>
            <w:shd w:val="clear" w:color="auto" w:fill="FFFFFF"/>
            <w:tcMar>
              <w:top w:w="100" w:type="dxa"/>
              <w:left w:w="0" w:type="dxa"/>
              <w:bottom w:w="100" w:type="dxa"/>
              <w:right w:w="160" w:type="dxa"/>
            </w:tcMar>
            <w:vAlign w:val="center"/>
          </w:tcPr>
          <w:p w14:paraId="51E7412D">
            <w:pPr>
              <w:widowControl/>
              <w:jc w:val="both"/>
              <w:rPr>
                <w:rStyle w:val="16"/>
                <w:rFonts w:hint="eastAsia" w:ascii="Times New Roman" w:hAnsi="Times New Roman" w:eastAsia="宋体" w:cs="Times New Roman"/>
                <w:b w:val="0"/>
                <w:bCs w:val="0"/>
                <w:color w:val="0F1115"/>
                <w:kern w:val="0"/>
                <w:szCs w:val="21"/>
                <w:lang w:bidi="ar"/>
              </w:rPr>
            </w:pPr>
            <w:r>
              <w:rPr>
                <w:rStyle w:val="16"/>
                <w:rFonts w:hint="eastAsia" w:ascii="Times New Roman" w:hAnsi="Times New Roman" w:eastAsia="宋体" w:cs="Times New Roman"/>
                <w:b w:val="0"/>
                <w:bCs w:val="0"/>
                <w:color w:val="0F1115"/>
                <w:kern w:val="0"/>
                <w:szCs w:val="21"/>
                <w:lang w:bidi="ar"/>
              </w:rPr>
              <w:t>PET/CT代谢特征</w:t>
            </w:r>
          </w:p>
        </w:tc>
        <w:tc>
          <w:tcPr>
            <w:tcW w:w="2855" w:type="dxa"/>
            <w:tcBorders>
              <w:tl2br w:val="nil"/>
              <w:tr2bl w:val="nil"/>
            </w:tcBorders>
            <w:shd w:val="clear" w:color="auto" w:fill="FFFFFF"/>
            <w:tcMar>
              <w:top w:w="100" w:type="dxa"/>
              <w:left w:w="160" w:type="dxa"/>
              <w:bottom w:w="100" w:type="dxa"/>
              <w:right w:w="160" w:type="dxa"/>
            </w:tcMar>
            <w:vAlign w:val="center"/>
          </w:tcPr>
          <w:p w14:paraId="2FBC363D">
            <w:pPr>
              <w:widowControl/>
              <w:jc w:val="both"/>
              <w:rPr>
                <w:rFonts w:hint="eastAsia" w:ascii="Times New Roman" w:hAnsi="Times New Roman" w:eastAsia="宋体" w:cs="Times New Roman"/>
                <w:color w:val="0F1115"/>
                <w:kern w:val="0"/>
                <w:szCs w:val="21"/>
                <w:lang w:bidi="ar"/>
              </w:rPr>
            </w:pPr>
            <w:r>
              <w:rPr>
                <w:rFonts w:hint="eastAsia" w:ascii="Times New Roman" w:hAnsi="Times New Roman" w:eastAsia="宋体" w:cs="Times New Roman"/>
                <w:color w:val="0F1115"/>
                <w:kern w:val="0"/>
                <w:szCs w:val="21"/>
                <w:lang w:bidi="ar"/>
              </w:rPr>
              <w:t>SUVmax通常较低（均值范围：A型约2.3，AB型约2.3±0.8，B1型约3.7±1.5）[7]。</w:t>
            </w:r>
          </w:p>
        </w:tc>
        <w:tc>
          <w:tcPr>
            <w:tcW w:w="4074" w:type="dxa"/>
            <w:tcBorders>
              <w:tl2br w:val="nil"/>
              <w:tr2bl w:val="nil"/>
            </w:tcBorders>
            <w:shd w:val="clear" w:color="auto" w:fill="FFFFFF"/>
            <w:tcMar>
              <w:top w:w="100" w:type="dxa"/>
              <w:left w:w="160" w:type="dxa"/>
              <w:bottom w:w="100" w:type="dxa"/>
              <w:right w:w="0" w:type="dxa"/>
            </w:tcMar>
            <w:vAlign w:val="center"/>
          </w:tcPr>
          <w:p w14:paraId="6279824C">
            <w:pPr>
              <w:widowControl/>
              <w:jc w:val="both"/>
              <w:rPr>
                <w:rFonts w:hint="eastAsia" w:ascii="Times New Roman" w:hAnsi="Times New Roman" w:eastAsia="宋体" w:cs="Times New Roman"/>
                <w:color w:val="0F1115"/>
                <w:kern w:val="0"/>
                <w:szCs w:val="21"/>
                <w:lang w:bidi="ar"/>
              </w:rPr>
            </w:pPr>
            <w:r>
              <w:rPr>
                <w:rFonts w:hint="eastAsia" w:ascii="Times New Roman" w:hAnsi="Times New Roman" w:eastAsia="宋体" w:cs="Times New Roman"/>
                <w:color w:val="0F1115"/>
                <w:kern w:val="0"/>
                <w:szCs w:val="21"/>
                <w:lang w:bidi="ar"/>
              </w:rPr>
              <w:t>高风险胸腺瘤SUVmax较高（B2型约4.1±1.4，B3型约4.9±1.5），胸腺癌显著增高（均值7.2~12.1）[7]。</w:t>
            </w:r>
          </w:p>
        </w:tc>
      </w:tr>
      <w:tr w14:paraId="5D7DBC18">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84" w:hRule="atLeast"/>
        </w:trPr>
        <w:tc>
          <w:tcPr>
            <w:tcW w:w="1337" w:type="dxa"/>
            <w:tcBorders>
              <w:tl2br w:val="nil"/>
              <w:tr2bl w:val="nil"/>
            </w:tcBorders>
            <w:shd w:val="clear" w:color="auto" w:fill="FFFFFF"/>
            <w:tcMar>
              <w:top w:w="100" w:type="dxa"/>
              <w:left w:w="0" w:type="dxa"/>
              <w:bottom w:w="100" w:type="dxa"/>
              <w:right w:w="160" w:type="dxa"/>
            </w:tcMar>
            <w:vAlign w:val="center"/>
          </w:tcPr>
          <w:p w14:paraId="13242861">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bCs w:val="0"/>
                <w:color w:val="0F1115"/>
                <w:kern w:val="0"/>
                <w:szCs w:val="21"/>
                <w:lang w:bidi="ar"/>
              </w:rPr>
              <w:t>转移倾向</w:t>
            </w:r>
          </w:p>
        </w:tc>
        <w:tc>
          <w:tcPr>
            <w:tcW w:w="2855" w:type="dxa"/>
            <w:tcBorders>
              <w:tl2br w:val="nil"/>
              <w:tr2bl w:val="nil"/>
            </w:tcBorders>
            <w:shd w:val="clear" w:color="auto" w:fill="FFFFFF"/>
            <w:tcMar>
              <w:top w:w="100" w:type="dxa"/>
              <w:left w:w="160" w:type="dxa"/>
              <w:bottom w:w="100" w:type="dxa"/>
              <w:right w:w="160" w:type="dxa"/>
            </w:tcMar>
            <w:vAlign w:val="center"/>
          </w:tcPr>
          <w:p w14:paraId="6D2DD20C">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罕见淋巴结或远处转移 [28]。</w:t>
            </w:r>
          </w:p>
        </w:tc>
        <w:tc>
          <w:tcPr>
            <w:tcW w:w="4074" w:type="dxa"/>
            <w:tcBorders>
              <w:tl2br w:val="nil"/>
              <w:tr2bl w:val="nil"/>
            </w:tcBorders>
            <w:shd w:val="clear" w:color="auto" w:fill="FFFFFF"/>
            <w:tcMar>
              <w:top w:w="100" w:type="dxa"/>
              <w:left w:w="160" w:type="dxa"/>
              <w:bottom w:w="100" w:type="dxa"/>
              <w:right w:w="0" w:type="dxa"/>
            </w:tcMar>
            <w:vAlign w:val="center"/>
          </w:tcPr>
          <w:p w14:paraId="11E01B23">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区域淋巴结转移、胸膜/心包种植、远处转移相对常见 [28]。</w:t>
            </w:r>
          </w:p>
        </w:tc>
      </w:tr>
    </w:tbl>
    <w:p w14:paraId="3BA5CF44">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 xml:space="preserve">6.4 </w:t>
      </w:r>
      <w:r>
        <w:rPr>
          <w:rFonts w:eastAsia="黑体"/>
          <w:b w:val="0"/>
          <w:bCs w:val="0"/>
        </w:rPr>
        <w:t>Masaoka-Koga</w:t>
      </w:r>
      <w:r>
        <w:rPr>
          <w:rFonts w:hint="eastAsia" w:eastAsia="黑体"/>
          <w:b w:val="0"/>
          <w:bCs w:val="0"/>
        </w:rPr>
        <w:t>分</w:t>
      </w:r>
      <w:r>
        <w:rPr>
          <w:rFonts w:hint="eastAsia" w:ascii="黑体" w:hAnsi="黑体" w:eastAsia="黑体"/>
          <w:b w:val="0"/>
          <w:bCs w:val="0"/>
        </w:rPr>
        <w:t>期的影像学评估</w:t>
      </w:r>
    </w:p>
    <w:p w14:paraId="630D48C8">
      <w:pPr>
        <w:pStyle w:val="49"/>
        <w:spacing w:line="240" w:lineRule="auto"/>
        <w:ind w:firstLine="0" w:firstLineChars="0"/>
        <w:rPr>
          <w:rFonts w:ascii="黑体" w:hAnsi="黑体" w:eastAsia="黑体"/>
          <w:b w:val="0"/>
          <w:bCs w:val="0"/>
        </w:rPr>
      </w:pPr>
      <w:r>
        <w:rPr>
          <w:rFonts w:ascii="黑体" w:hAnsi="黑体" w:eastAsia="黑体"/>
          <w:b w:val="0"/>
          <w:bCs w:val="0"/>
        </w:rPr>
        <w:t xml:space="preserve">6.4.1 </w:t>
      </w:r>
      <w:r>
        <w:rPr>
          <w:rFonts w:hint="eastAsia" w:ascii="黑体" w:hAnsi="黑体" w:eastAsia="黑体"/>
          <w:b w:val="0"/>
          <w:bCs w:val="0"/>
        </w:rPr>
        <w:t>分期定义与影像评估要点</w:t>
      </w:r>
    </w:p>
    <w:p w14:paraId="0FADFBC6">
      <w:pPr>
        <w:pStyle w:val="49"/>
        <w:spacing w:line="240" w:lineRule="auto"/>
        <w:ind w:firstLineChars="200"/>
      </w:pPr>
      <w:r>
        <w:rPr>
          <w:rFonts w:hint="eastAsia"/>
        </w:rPr>
        <w:t>基于Masaoka-Koga分期系统（见表2）[29]，各分期的核心影像学评估要点如下：</w:t>
      </w:r>
    </w:p>
    <w:p w14:paraId="20A0899D">
      <w:pPr>
        <w:pStyle w:val="49"/>
        <w:ind w:firstLine="0" w:firstLineChars="0"/>
        <w:jc w:val="center"/>
      </w:pPr>
      <w:r>
        <w:rPr>
          <w:rFonts w:hint="eastAsia"/>
          <w:b w:val="0"/>
          <w:bCs w:val="0"/>
        </w:rPr>
        <w:t>表</w:t>
      </w:r>
      <w:r>
        <w:rPr>
          <w:b w:val="0"/>
          <w:bCs w:val="0"/>
        </w:rPr>
        <w:t>2</w:t>
      </w:r>
      <w:r>
        <w:rPr>
          <w:rFonts w:hint="eastAsia"/>
        </w:rPr>
        <w:t xml:space="preserve"> 胸腺上皮肿瘤Masaoka-Koga分期系统</w:t>
      </w:r>
    </w:p>
    <w:tbl>
      <w:tblPr>
        <w:tblStyle w:val="13"/>
        <w:tblW w:w="8159" w:type="dxa"/>
        <w:tblInd w:w="0" w:type="dxa"/>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1181"/>
        <w:gridCol w:w="6978"/>
      </w:tblGrid>
      <w:tr w14:paraId="553536A7">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39" w:hRule="atLeast"/>
          <w:tblHeader/>
        </w:trPr>
        <w:tc>
          <w:tcPr>
            <w:tcW w:w="1181" w:type="dxa"/>
            <w:tcBorders>
              <w:bottom w:val="single" w:color="auto" w:sz="4" w:space="0"/>
            </w:tcBorders>
            <w:shd w:val="clear" w:color="auto" w:fill="FFFFFF"/>
            <w:tcMar>
              <w:top w:w="100" w:type="dxa"/>
              <w:left w:w="0" w:type="dxa"/>
              <w:bottom w:w="100" w:type="dxa"/>
              <w:right w:w="160" w:type="dxa"/>
            </w:tcMar>
            <w:vAlign w:val="center"/>
          </w:tcPr>
          <w:p w14:paraId="49CC05BB">
            <w:pPr>
              <w:widowControl/>
              <w:jc w:val="both"/>
              <w:rPr>
                <w:rFonts w:hint="eastAsia" w:ascii="Times New Roman" w:hAnsi="Times New Roman" w:eastAsia="宋体" w:cs="Times New Roman"/>
                <w:b w:val="0"/>
                <w:bCs w:val="0"/>
                <w:color w:val="0F1115"/>
                <w:szCs w:val="21"/>
              </w:rPr>
            </w:pPr>
            <w:r>
              <w:rPr>
                <w:rFonts w:hint="eastAsia" w:ascii="Times New Roman" w:hAnsi="Times New Roman" w:eastAsia="宋体" w:cs="Times New Roman"/>
                <w:b w:val="0"/>
                <w:bCs w:val="0"/>
                <w:color w:val="0F1115"/>
                <w:kern w:val="0"/>
                <w:szCs w:val="21"/>
                <w:lang w:bidi="ar"/>
              </w:rPr>
              <w:t>分期</w:t>
            </w:r>
          </w:p>
        </w:tc>
        <w:tc>
          <w:tcPr>
            <w:tcW w:w="6978" w:type="dxa"/>
            <w:tcBorders>
              <w:bottom w:val="single" w:color="auto" w:sz="4" w:space="0"/>
            </w:tcBorders>
            <w:shd w:val="clear" w:color="auto" w:fill="FFFFFF"/>
            <w:tcMar>
              <w:top w:w="100" w:type="dxa"/>
              <w:left w:w="160" w:type="dxa"/>
              <w:bottom w:w="100" w:type="dxa"/>
              <w:right w:w="160" w:type="dxa"/>
            </w:tcMar>
            <w:vAlign w:val="center"/>
          </w:tcPr>
          <w:p w14:paraId="3304AB87">
            <w:pPr>
              <w:widowControl/>
              <w:jc w:val="both"/>
              <w:rPr>
                <w:rFonts w:hint="eastAsia" w:ascii="Times New Roman" w:hAnsi="Times New Roman" w:eastAsia="宋体" w:cs="Times New Roman"/>
                <w:b w:val="0"/>
                <w:bCs w:val="0"/>
                <w:color w:val="0F1115"/>
                <w:szCs w:val="21"/>
              </w:rPr>
            </w:pPr>
            <w:r>
              <w:rPr>
                <w:rFonts w:hint="eastAsia" w:ascii="Times New Roman" w:hAnsi="Times New Roman" w:eastAsia="宋体" w:cs="Times New Roman"/>
                <w:b w:val="0"/>
                <w:bCs w:val="0"/>
                <w:color w:val="0F1115"/>
                <w:kern w:val="0"/>
                <w:szCs w:val="21"/>
                <w:lang w:bidi="ar"/>
              </w:rPr>
              <w:t>描述</w:t>
            </w:r>
          </w:p>
        </w:tc>
      </w:tr>
      <w:tr w14:paraId="660D66AA">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39" w:hRule="atLeast"/>
        </w:trPr>
        <w:tc>
          <w:tcPr>
            <w:tcW w:w="1181" w:type="dxa"/>
            <w:tcBorders>
              <w:top w:val="single" w:color="auto" w:sz="4" w:space="0"/>
              <w:bottom w:val="nil"/>
            </w:tcBorders>
            <w:shd w:val="clear" w:color="auto" w:fill="FFFFFF"/>
            <w:tcMar>
              <w:top w:w="100" w:type="dxa"/>
              <w:left w:w="0" w:type="dxa"/>
              <w:bottom w:w="100" w:type="dxa"/>
              <w:right w:w="160" w:type="dxa"/>
            </w:tcMar>
            <w:vAlign w:val="center"/>
          </w:tcPr>
          <w:p w14:paraId="757E91FC">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color w:val="0F1115"/>
                <w:kern w:val="0"/>
                <w:szCs w:val="21"/>
                <w:lang w:bidi="ar"/>
              </w:rPr>
              <w:t>Ⅰ期</w:t>
            </w:r>
          </w:p>
        </w:tc>
        <w:tc>
          <w:tcPr>
            <w:tcW w:w="6978" w:type="dxa"/>
            <w:tcBorders>
              <w:top w:val="single" w:color="auto" w:sz="4" w:space="0"/>
              <w:bottom w:val="nil"/>
            </w:tcBorders>
            <w:shd w:val="clear" w:color="auto" w:fill="FFFFFF"/>
            <w:tcMar>
              <w:top w:w="100" w:type="dxa"/>
              <w:left w:w="160" w:type="dxa"/>
              <w:bottom w:w="100" w:type="dxa"/>
              <w:right w:w="0" w:type="dxa"/>
            </w:tcMar>
            <w:vAlign w:val="center"/>
          </w:tcPr>
          <w:p w14:paraId="13B37147">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肿瘤局限于包膜内，显微镜下未侵犯包膜。</w:t>
            </w:r>
          </w:p>
        </w:tc>
      </w:tr>
      <w:tr w14:paraId="152F1F70">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50" w:hRule="atLeast"/>
        </w:trPr>
        <w:tc>
          <w:tcPr>
            <w:tcW w:w="1181" w:type="dxa"/>
            <w:tcBorders>
              <w:top w:val="nil"/>
              <w:bottom w:val="nil"/>
            </w:tcBorders>
            <w:shd w:val="clear" w:color="auto" w:fill="FFFFFF"/>
            <w:tcMar>
              <w:top w:w="100" w:type="dxa"/>
              <w:left w:w="0" w:type="dxa"/>
              <w:bottom w:w="100" w:type="dxa"/>
              <w:right w:w="160" w:type="dxa"/>
            </w:tcMar>
            <w:vAlign w:val="center"/>
          </w:tcPr>
          <w:p w14:paraId="2B28789A">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color w:val="0F1115"/>
                <w:kern w:val="0"/>
                <w:szCs w:val="21"/>
                <w:lang w:bidi="ar"/>
              </w:rPr>
              <w:t>Ⅱ</w:t>
            </w:r>
            <w:r>
              <w:rPr>
                <w:rStyle w:val="16"/>
                <w:rFonts w:hint="eastAsia" w:ascii="Times New Roman" w:hAnsi="Times New Roman" w:eastAsia="宋体" w:cs="Times New Roman"/>
                <w:b w:val="0"/>
                <w:color w:val="0F1115"/>
                <w:kern w:val="0"/>
                <w:szCs w:val="21"/>
                <w:lang w:bidi="ar"/>
              </w:rPr>
              <w:t xml:space="preserve"> </w:t>
            </w:r>
            <w:r>
              <w:rPr>
                <w:rStyle w:val="16"/>
                <w:rFonts w:hint="eastAsia" w:ascii="Times New Roman" w:hAnsi="Times New Roman" w:eastAsia="宋体" w:cs="Times New Roman"/>
                <w:b w:val="0"/>
                <w:color w:val="0F1115"/>
                <w:kern w:val="0"/>
                <w:szCs w:val="21"/>
                <w:lang w:bidi="ar"/>
              </w:rPr>
              <w:t>a期</w:t>
            </w:r>
          </w:p>
        </w:tc>
        <w:tc>
          <w:tcPr>
            <w:tcW w:w="6978" w:type="dxa"/>
            <w:tcBorders>
              <w:top w:val="nil"/>
              <w:bottom w:val="nil"/>
            </w:tcBorders>
            <w:shd w:val="clear" w:color="auto" w:fill="FFFFFF"/>
            <w:tcMar>
              <w:top w:w="100" w:type="dxa"/>
              <w:left w:w="160" w:type="dxa"/>
              <w:bottom w:w="100" w:type="dxa"/>
              <w:right w:w="0" w:type="dxa"/>
            </w:tcMar>
            <w:vAlign w:val="center"/>
          </w:tcPr>
          <w:p w14:paraId="4AA7748D">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显微镜下侵犯包膜。</w:t>
            </w:r>
          </w:p>
        </w:tc>
      </w:tr>
      <w:tr w14:paraId="7B0AE7EC">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9" w:hRule="atLeast"/>
        </w:trPr>
        <w:tc>
          <w:tcPr>
            <w:tcW w:w="1181" w:type="dxa"/>
            <w:tcBorders>
              <w:top w:val="nil"/>
              <w:bottom w:val="nil"/>
            </w:tcBorders>
            <w:shd w:val="clear" w:color="auto" w:fill="FFFFFF"/>
            <w:tcMar>
              <w:top w:w="100" w:type="dxa"/>
              <w:left w:w="0" w:type="dxa"/>
              <w:bottom w:w="100" w:type="dxa"/>
              <w:right w:w="160" w:type="dxa"/>
            </w:tcMar>
            <w:vAlign w:val="center"/>
          </w:tcPr>
          <w:p w14:paraId="4BD5D9D6">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color w:val="0F1115"/>
                <w:kern w:val="0"/>
                <w:szCs w:val="21"/>
                <w:lang w:bidi="ar"/>
              </w:rPr>
              <w:t>Ⅱ</w:t>
            </w:r>
            <w:r>
              <w:rPr>
                <w:rStyle w:val="16"/>
                <w:rFonts w:hint="eastAsia" w:ascii="Times New Roman" w:hAnsi="Times New Roman" w:eastAsia="宋体" w:cs="Times New Roman"/>
                <w:b w:val="0"/>
                <w:color w:val="0F1115"/>
                <w:kern w:val="0"/>
                <w:szCs w:val="21"/>
                <w:lang w:bidi="ar"/>
              </w:rPr>
              <w:t xml:space="preserve"> </w:t>
            </w:r>
            <w:r>
              <w:rPr>
                <w:rStyle w:val="16"/>
                <w:rFonts w:hint="eastAsia" w:ascii="Times New Roman" w:hAnsi="Times New Roman" w:eastAsia="宋体" w:cs="Times New Roman"/>
                <w:b w:val="0"/>
                <w:color w:val="0F1115"/>
                <w:kern w:val="0"/>
                <w:szCs w:val="21"/>
                <w:lang w:bidi="ar"/>
              </w:rPr>
              <w:t>b期</w:t>
            </w:r>
          </w:p>
        </w:tc>
        <w:tc>
          <w:tcPr>
            <w:tcW w:w="6978" w:type="dxa"/>
            <w:tcBorders>
              <w:top w:val="nil"/>
              <w:bottom w:val="nil"/>
            </w:tcBorders>
            <w:shd w:val="clear" w:color="auto" w:fill="FFFFFF"/>
            <w:tcMar>
              <w:top w:w="100" w:type="dxa"/>
              <w:left w:w="160" w:type="dxa"/>
              <w:bottom w:w="100" w:type="dxa"/>
              <w:right w:w="0" w:type="dxa"/>
            </w:tcMar>
            <w:vAlign w:val="center"/>
          </w:tcPr>
          <w:p w14:paraId="6612D1E3">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肉眼可见侵犯胸腺周围脂肪组织或纵隔胸膜。</w:t>
            </w:r>
          </w:p>
        </w:tc>
      </w:tr>
      <w:tr w14:paraId="5161D1A8">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39" w:hRule="atLeast"/>
        </w:trPr>
        <w:tc>
          <w:tcPr>
            <w:tcW w:w="1181" w:type="dxa"/>
            <w:tcBorders>
              <w:top w:val="nil"/>
              <w:bottom w:val="nil"/>
            </w:tcBorders>
            <w:shd w:val="clear" w:color="auto" w:fill="FFFFFF"/>
            <w:tcMar>
              <w:top w:w="100" w:type="dxa"/>
              <w:left w:w="0" w:type="dxa"/>
              <w:bottom w:w="100" w:type="dxa"/>
              <w:right w:w="160" w:type="dxa"/>
            </w:tcMar>
            <w:vAlign w:val="center"/>
          </w:tcPr>
          <w:p w14:paraId="6C704F9A">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color w:val="0F1115"/>
                <w:kern w:val="0"/>
                <w:szCs w:val="21"/>
                <w:lang w:bidi="ar"/>
              </w:rPr>
              <w:t>Ⅲ期</w:t>
            </w:r>
          </w:p>
        </w:tc>
        <w:tc>
          <w:tcPr>
            <w:tcW w:w="6978" w:type="dxa"/>
            <w:tcBorders>
              <w:top w:val="nil"/>
              <w:bottom w:val="nil"/>
            </w:tcBorders>
            <w:shd w:val="clear" w:color="auto" w:fill="FFFFFF"/>
            <w:tcMar>
              <w:top w:w="100" w:type="dxa"/>
              <w:left w:w="160" w:type="dxa"/>
              <w:bottom w:w="100" w:type="dxa"/>
              <w:right w:w="0" w:type="dxa"/>
            </w:tcMar>
            <w:vAlign w:val="center"/>
          </w:tcPr>
          <w:p w14:paraId="2BAAC55A">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肿瘤侵犯邻近器官（心包、大血管、肺等）。</w:t>
            </w:r>
          </w:p>
        </w:tc>
      </w:tr>
      <w:tr w14:paraId="68D94E11">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9" w:hRule="atLeast"/>
        </w:trPr>
        <w:tc>
          <w:tcPr>
            <w:tcW w:w="1181" w:type="dxa"/>
            <w:tcBorders>
              <w:top w:val="nil"/>
              <w:bottom w:val="nil"/>
            </w:tcBorders>
            <w:shd w:val="clear" w:color="auto" w:fill="FFFFFF"/>
            <w:tcMar>
              <w:top w:w="100" w:type="dxa"/>
              <w:left w:w="0" w:type="dxa"/>
              <w:bottom w:w="100" w:type="dxa"/>
              <w:right w:w="160" w:type="dxa"/>
            </w:tcMar>
            <w:vAlign w:val="center"/>
          </w:tcPr>
          <w:p w14:paraId="30B4EA35">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color w:val="0F1115"/>
                <w:kern w:val="0"/>
                <w:szCs w:val="21"/>
                <w:lang w:bidi="ar"/>
              </w:rPr>
              <w:t>Ⅳ</w:t>
            </w:r>
            <w:r>
              <w:rPr>
                <w:rStyle w:val="16"/>
                <w:rFonts w:hint="eastAsia" w:ascii="Times New Roman" w:hAnsi="Times New Roman" w:eastAsia="宋体" w:cs="Times New Roman"/>
                <w:b w:val="0"/>
                <w:color w:val="0F1115"/>
                <w:kern w:val="0"/>
                <w:szCs w:val="21"/>
                <w:lang w:bidi="ar"/>
              </w:rPr>
              <w:t xml:space="preserve"> </w:t>
            </w:r>
            <w:r>
              <w:rPr>
                <w:rStyle w:val="16"/>
                <w:rFonts w:hint="eastAsia" w:ascii="Times New Roman" w:hAnsi="Times New Roman" w:eastAsia="宋体" w:cs="Times New Roman"/>
                <w:b w:val="0"/>
                <w:color w:val="0F1115"/>
                <w:kern w:val="0"/>
                <w:szCs w:val="21"/>
                <w:lang w:bidi="ar"/>
              </w:rPr>
              <w:t>a期</w:t>
            </w:r>
          </w:p>
        </w:tc>
        <w:tc>
          <w:tcPr>
            <w:tcW w:w="6978" w:type="dxa"/>
            <w:tcBorders>
              <w:top w:val="nil"/>
              <w:bottom w:val="nil"/>
            </w:tcBorders>
            <w:shd w:val="clear" w:color="auto" w:fill="FFFFFF"/>
            <w:tcMar>
              <w:top w:w="100" w:type="dxa"/>
              <w:left w:w="160" w:type="dxa"/>
              <w:bottom w:w="100" w:type="dxa"/>
              <w:right w:w="0" w:type="dxa"/>
            </w:tcMar>
            <w:vAlign w:val="center"/>
          </w:tcPr>
          <w:p w14:paraId="2789B45E">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胸膜或心包播散。</w:t>
            </w:r>
          </w:p>
        </w:tc>
      </w:tr>
      <w:tr w14:paraId="3D03C7AC">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39" w:hRule="atLeast"/>
        </w:trPr>
        <w:tc>
          <w:tcPr>
            <w:tcW w:w="1181" w:type="dxa"/>
            <w:tcBorders>
              <w:top w:val="nil"/>
              <w:bottom w:val="single" w:color="000000" w:sz="8" w:space="0"/>
            </w:tcBorders>
            <w:shd w:val="clear" w:color="auto" w:fill="FFFFFF"/>
            <w:tcMar>
              <w:top w:w="100" w:type="dxa"/>
              <w:left w:w="0" w:type="dxa"/>
              <w:bottom w:w="100" w:type="dxa"/>
              <w:right w:w="160" w:type="dxa"/>
            </w:tcMar>
            <w:vAlign w:val="center"/>
          </w:tcPr>
          <w:p w14:paraId="7394CCCC">
            <w:pPr>
              <w:widowControl/>
              <w:jc w:val="both"/>
              <w:rPr>
                <w:rFonts w:hint="eastAsia" w:ascii="Times New Roman" w:hAnsi="Times New Roman" w:eastAsia="宋体" w:cs="Times New Roman"/>
                <w:color w:val="0F1115"/>
                <w:szCs w:val="21"/>
              </w:rPr>
            </w:pPr>
            <w:r>
              <w:rPr>
                <w:rStyle w:val="16"/>
                <w:rFonts w:hint="eastAsia" w:ascii="Times New Roman" w:hAnsi="Times New Roman" w:eastAsia="宋体" w:cs="Times New Roman"/>
                <w:b w:val="0"/>
                <w:color w:val="0F1115"/>
                <w:kern w:val="0"/>
                <w:szCs w:val="21"/>
                <w:lang w:bidi="ar"/>
              </w:rPr>
              <w:t>Ⅳ</w:t>
            </w:r>
            <w:r>
              <w:rPr>
                <w:rStyle w:val="16"/>
                <w:rFonts w:hint="eastAsia" w:ascii="Times New Roman" w:hAnsi="Times New Roman" w:eastAsia="宋体" w:cs="Times New Roman"/>
                <w:b w:val="0"/>
                <w:color w:val="0F1115"/>
                <w:kern w:val="0"/>
                <w:szCs w:val="21"/>
                <w:lang w:bidi="ar"/>
              </w:rPr>
              <w:t xml:space="preserve"> </w:t>
            </w:r>
            <w:r>
              <w:rPr>
                <w:rStyle w:val="16"/>
                <w:rFonts w:hint="eastAsia" w:ascii="Times New Roman" w:hAnsi="Times New Roman" w:eastAsia="宋体" w:cs="Times New Roman"/>
                <w:b w:val="0"/>
                <w:color w:val="0F1115"/>
                <w:kern w:val="0"/>
                <w:szCs w:val="21"/>
                <w:lang w:bidi="ar"/>
              </w:rPr>
              <w:t>b期</w:t>
            </w:r>
          </w:p>
        </w:tc>
        <w:tc>
          <w:tcPr>
            <w:tcW w:w="6978" w:type="dxa"/>
            <w:tcBorders>
              <w:top w:val="nil"/>
              <w:bottom w:val="single" w:color="000000" w:sz="8" w:space="0"/>
            </w:tcBorders>
            <w:shd w:val="clear" w:color="auto" w:fill="FFFFFF"/>
            <w:tcMar>
              <w:top w:w="100" w:type="dxa"/>
              <w:left w:w="160" w:type="dxa"/>
              <w:bottom w:w="100" w:type="dxa"/>
              <w:right w:w="0" w:type="dxa"/>
            </w:tcMar>
            <w:vAlign w:val="center"/>
          </w:tcPr>
          <w:p w14:paraId="2E819A28">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淋巴或血行远处转移。</w:t>
            </w:r>
          </w:p>
        </w:tc>
      </w:tr>
    </w:tbl>
    <w:p w14:paraId="550FF4D7">
      <w:pPr>
        <w:pStyle w:val="49"/>
        <w:spacing w:line="240" w:lineRule="auto"/>
        <w:ind w:firstLineChars="200"/>
      </w:pPr>
      <w:r>
        <w:rPr>
          <w:rFonts w:hint="eastAsia"/>
        </w:rPr>
        <w:t>Ⅰ期：肿瘤边界清晰锐利，包膜完整连续，与周围结构分界清楚</w:t>
      </w:r>
      <w:r>
        <w:t xml:space="preserve"> [30,31]</w:t>
      </w:r>
      <w:r>
        <w:rPr>
          <w:rFonts w:hint="eastAsia"/>
        </w:rPr>
        <w:t>。</w:t>
      </w:r>
    </w:p>
    <w:p w14:paraId="6030B066">
      <w:pPr>
        <w:pStyle w:val="49"/>
        <w:spacing w:line="240" w:lineRule="auto"/>
        <w:ind w:firstLineChars="200"/>
      </w:pPr>
      <w:r>
        <w:rPr>
          <w:rFonts w:hint="eastAsia"/>
        </w:rPr>
        <w:t xml:space="preserve">Ⅱ </w:t>
      </w:r>
      <w:r>
        <w:t>a</w:t>
      </w:r>
      <w:r>
        <w:rPr>
          <w:rFonts w:hint="eastAsia"/>
        </w:rPr>
        <w:t>期：影像学可无明确侵犯征象，或仅见包膜局部轻度不规则、毛糙</w:t>
      </w:r>
      <w:r>
        <w:t xml:space="preserve"> [30,32]</w:t>
      </w:r>
      <w:r>
        <w:rPr>
          <w:rFonts w:hint="eastAsia"/>
        </w:rPr>
        <w:t>。</w:t>
      </w:r>
    </w:p>
    <w:p w14:paraId="46EC2028">
      <w:pPr>
        <w:pStyle w:val="49"/>
        <w:spacing w:line="240" w:lineRule="auto"/>
        <w:ind w:firstLineChars="200"/>
      </w:pPr>
      <w:r>
        <w:rPr>
          <w:rFonts w:hint="eastAsia"/>
        </w:rPr>
        <w:t xml:space="preserve">Ⅱ </w:t>
      </w:r>
      <w:r>
        <w:t>b</w:t>
      </w:r>
      <w:r>
        <w:rPr>
          <w:rFonts w:hint="eastAsia"/>
        </w:rPr>
        <w:t>期：肿瘤周围脂肪间隙模糊、消失，或与纵隔胸膜</w:t>
      </w:r>
      <w:r>
        <w:t>/</w:t>
      </w:r>
      <w:r>
        <w:rPr>
          <w:rFonts w:hint="eastAsia"/>
        </w:rPr>
        <w:t>心包呈宽基底接触、粘连</w:t>
      </w:r>
      <w:r>
        <w:t xml:space="preserve"> [30,32]</w:t>
      </w:r>
      <w:r>
        <w:rPr>
          <w:rFonts w:hint="eastAsia"/>
        </w:rPr>
        <w:t>。</w:t>
      </w:r>
    </w:p>
    <w:p w14:paraId="6B9A75F8">
      <w:pPr>
        <w:pStyle w:val="49"/>
        <w:spacing w:line="240" w:lineRule="auto"/>
        <w:ind w:firstLineChars="200"/>
      </w:pPr>
      <w:r>
        <w:rPr>
          <w:rFonts w:hint="eastAsia"/>
        </w:rPr>
        <w:t>Ⅲ期：肿瘤与邻近器官（如心包、大血管、肺）间的脂肪间隙完全消失，可见明确侵犯征象（如血管壁不规则、管腔狭窄、肺内浸润灶）</w:t>
      </w:r>
      <w:r>
        <w:t>[33,34]</w:t>
      </w:r>
      <w:r>
        <w:rPr>
          <w:rFonts w:hint="eastAsia"/>
        </w:rPr>
        <w:t>。</w:t>
      </w:r>
    </w:p>
    <w:p w14:paraId="1FACAA53">
      <w:pPr>
        <w:pStyle w:val="49"/>
        <w:spacing w:line="240" w:lineRule="auto"/>
        <w:ind w:firstLineChars="200"/>
      </w:pPr>
      <w:r>
        <w:rPr>
          <w:rFonts w:hint="eastAsia"/>
        </w:rPr>
        <w:t xml:space="preserve">Ⅳ </w:t>
      </w:r>
      <w:r>
        <w:t>a</w:t>
      </w:r>
      <w:r>
        <w:rPr>
          <w:rFonts w:hint="eastAsia"/>
        </w:rPr>
        <w:t>期：胸膜或心包表面出现与原发肿瘤不连续的种植结节，常伴胸腔或心包积液</w:t>
      </w:r>
      <w:r>
        <w:t xml:space="preserve"> [35,36]</w:t>
      </w:r>
      <w:r>
        <w:rPr>
          <w:rFonts w:hint="eastAsia"/>
        </w:rPr>
        <w:t>。</w:t>
      </w:r>
    </w:p>
    <w:p w14:paraId="3E0EF61D">
      <w:pPr>
        <w:pStyle w:val="49"/>
        <w:spacing w:line="240" w:lineRule="auto"/>
        <w:ind w:firstLineChars="200"/>
      </w:pPr>
      <w:r>
        <w:rPr>
          <w:rFonts w:hint="eastAsia"/>
        </w:rPr>
        <w:t xml:space="preserve">Ⅳ </w:t>
      </w:r>
      <w:r>
        <w:t>b</w:t>
      </w:r>
      <w:r>
        <w:rPr>
          <w:rFonts w:hint="eastAsia"/>
        </w:rPr>
        <w:t>期：出现区域外淋巴结肿大（如内乳、锁骨上）或胸腔外远处器官转移</w:t>
      </w:r>
      <w:r>
        <w:t xml:space="preserve"> [36,37]</w:t>
      </w:r>
      <w:r>
        <w:rPr>
          <w:rFonts w:hint="eastAsia"/>
        </w:rPr>
        <w:t>。</w:t>
      </w:r>
    </w:p>
    <w:p w14:paraId="5F0486B5">
      <w:pPr>
        <w:pStyle w:val="49"/>
        <w:spacing w:line="240" w:lineRule="auto"/>
        <w:ind w:firstLine="0" w:firstLineChars="0"/>
        <w:rPr>
          <w:rFonts w:ascii="黑体" w:hAnsi="黑体" w:eastAsia="黑体"/>
          <w:b w:val="0"/>
          <w:bCs w:val="0"/>
        </w:rPr>
      </w:pPr>
      <w:r>
        <w:rPr>
          <w:rFonts w:ascii="黑体" w:hAnsi="黑体" w:eastAsia="黑体"/>
          <w:b w:val="0"/>
          <w:bCs w:val="0"/>
        </w:rPr>
        <w:t xml:space="preserve">6.4.2 </w:t>
      </w:r>
      <w:r>
        <w:rPr>
          <w:rFonts w:hint="eastAsia" w:ascii="黑体" w:hAnsi="黑体" w:eastAsia="黑体"/>
          <w:b w:val="0"/>
          <w:bCs w:val="0"/>
        </w:rPr>
        <w:t>关键鉴别要点</w:t>
      </w:r>
    </w:p>
    <w:p w14:paraId="4BB0B53B">
      <w:pPr>
        <w:pStyle w:val="49"/>
        <w:spacing w:line="240" w:lineRule="auto"/>
        <w:ind w:firstLineChars="200"/>
      </w:pPr>
      <w:r>
        <w:t xml:space="preserve">a) </w:t>
      </w:r>
      <w:r>
        <w:rPr>
          <w:rFonts w:hint="eastAsia"/>
        </w:rPr>
        <w:t>区分Ⅱ期与Ⅲ期的核心在于确认是否存在对邻近器官的宏观侵犯，而非单纯脂肪间隙模糊或结构粘连</w:t>
      </w:r>
      <w:r>
        <w:t>[33]</w:t>
      </w:r>
      <w:r>
        <w:rPr>
          <w:rFonts w:hint="eastAsia"/>
        </w:rPr>
        <w:t>。</w:t>
      </w:r>
    </w:p>
    <w:p w14:paraId="55256C5A">
      <w:pPr>
        <w:pStyle w:val="49"/>
        <w:spacing w:line="240" w:lineRule="auto"/>
        <w:ind w:firstLineChars="200"/>
      </w:pPr>
      <w:r>
        <w:t xml:space="preserve">b) </w:t>
      </w:r>
      <w:r>
        <w:rPr>
          <w:rFonts w:hint="eastAsia"/>
        </w:rPr>
        <w:t>区分Ⅲ期与Ⅳ</w:t>
      </w:r>
      <w:r>
        <w:t xml:space="preserve"> a</w:t>
      </w:r>
      <w:r>
        <w:rPr>
          <w:rFonts w:hint="eastAsia"/>
        </w:rPr>
        <w:t>期的核心在于胸膜</w:t>
      </w:r>
      <w:r>
        <w:t>/</w:t>
      </w:r>
      <w:r>
        <w:rPr>
          <w:rFonts w:hint="eastAsia"/>
        </w:rPr>
        <w:t>心包受累是原发肿瘤的直接侵犯（Ⅲ期），还是种植转移（Ⅳ</w:t>
      </w:r>
      <w:r>
        <w:t xml:space="preserve"> a</w:t>
      </w:r>
      <w:r>
        <w:rPr>
          <w:rFonts w:hint="eastAsia"/>
        </w:rPr>
        <w:t>期）</w:t>
      </w:r>
      <w:r>
        <w:t>[1]</w:t>
      </w:r>
      <w:r>
        <w:rPr>
          <w:rFonts w:hint="eastAsia"/>
        </w:rPr>
        <w:t>。</w:t>
      </w:r>
    </w:p>
    <w:p w14:paraId="17BAA352">
      <w:pPr>
        <w:pStyle w:val="49"/>
        <w:spacing w:before="156" w:beforeLines="50" w:after="156" w:afterLines="50" w:line="240" w:lineRule="auto"/>
        <w:ind w:firstLine="0" w:firstLineChars="0"/>
        <w:rPr>
          <w:rFonts w:ascii="黑体" w:hAnsi="黑体" w:eastAsia="黑体"/>
        </w:rPr>
      </w:pPr>
      <w:r>
        <w:rPr>
          <w:rFonts w:ascii="黑体" w:hAnsi="黑体" w:eastAsia="黑体"/>
          <w:b w:val="0"/>
          <w:bCs w:val="0"/>
        </w:rPr>
        <w:t xml:space="preserve">6.5 </w:t>
      </w:r>
      <w:r>
        <w:rPr>
          <w:rFonts w:eastAsia="黑体"/>
          <w:b w:val="0"/>
          <w:bCs w:val="0"/>
        </w:rPr>
        <w:t>TNM</w:t>
      </w:r>
      <w:r>
        <w:rPr>
          <w:rFonts w:hint="eastAsia" w:eastAsia="黑体"/>
          <w:b w:val="0"/>
          <w:bCs w:val="0"/>
        </w:rPr>
        <w:t>分期（第</w:t>
      </w:r>
      <w:r>
        <w:rPr>
          <w:rFonts w:eastAsia="黑体"/>
          <w:b w:val="0"/>
          <w:bCs w:val="0"/>
        </w:rPr>
        <w:t>9</w:t>
      </w:r>
      <w:r>
        <w:rPr>
          <w:rFonts w:hint="eastAsia" w:eastAsia="黑体"/>
          <w:b w:val="0"/>
          <w:bCs w:val="0"/>
        </w:rPr>
        <w:t>版）</w:t>
      </w:r>
      <w:r>
        <w:rPr>
          <w:rFonts w:hint="eastAsia" w:ascii="黑体" w:hAnsi="黑体" w:eastAsia="黑体"/>
          <w:b w:val="0"/>
          <w:bCs w:val="0"/>
        </w:rPr>
        <w:t>的影像学评估</w:t>
      </w:r>
    </w:p>
    <w:p w14:paraId="6E184678">
      <w:pPr>
        <w:pStyle w:val="49"/>
        <w:spacing w:line="240" w:lineRule="auto"/>
        <w:ind w:firstLineChars="200"/>
      </w:pPr>
      <w:r>
        <w:rPr>
          <w:rFonts w:hint="eastAsia"/>
        </w:rPr>
        <w:t>国际肺癌研究协会（IASLC）第9版TNM分期系统为胸腺上皮肿瘤提供了更精确的预后分层框架，并已得到广泛认可 [38]。影像学评估需遵循以下分类标准。</w:t>
      </w:r>
    </w:p>
    <w:p w14:paraId="345466F3">
      <w:pPr>
        <w:pStyle w:val="49"/>
        <w:spacing w:line="240" w:lineRule="auto"/>
        <w:ind w:firstLine="0" w:firstLineChars="0"/>
        <w:rPr>
          <w:rFonts w:ascii="黑体" w:hAnsi="黑体" w:eastAsia="黑体"/>
        </w:rPr>
      </w:pPr>
      <w:r>
        <w:rPr>
          <w:rFonts w:ascii="黑体" w:hAnsi="黑体" w:eastAsia="黑体"/>
          <w:b w:val="0"/>
          <w:bCs w:val="0"/>
        </w:rPr>
        <w:t xml:space="preserve">6.5.1 </w:t>
      </w:r>
      <w:r>
        <w:rPr>
          <w:rFonts w:eastAsia="黑体"/>
          <w:b w:val="0"/>
          <w:bCs w:val="0"/>
        </w:rPr>
        <w:t>T</w:t>
      </w:r>
      <w:r>
        <w:rPr>
          <w:rFonts w:hint="eastAsia" w:eastAsia="黑体"/>
          <w:b w:val="0"/>
          <w:bCs w:val="0"/>
        </w:rPr>
        <w:t>分期</w:t>
      </w:r>
      <w:r>
        <w:rPr>
          <w:rFonts w:hint="eastAsia" w:ascii="黑体" w:hAnsi="黑体" w:eastAsia="黑体"/>
        </w:rPr>
        <w:t>：原发肿瘤范围</w:t>
      </w:r>
    </w:p>
    <w:p w14:paraId="24FE4DC6">
      <w:pPr>
        <w:pStyle w:val="49"/>
        <w:spacing w:line="240" w:lineRule="auto"/>
        <w:ind w:firstLineChars="200"/>
      </w:pPr>
      <w:r>
        <w:rPr>
          <w:rFonts w:hint="eastAsia"/>
        </w:rPr>
        <w:t>T1：肿瘤局限于胸腺或仅侵犯纵隔脂肪组织。</w:t>
      </w:r>
    </w:p>
    <w:p w14:paraId="4AFA6212">
      <w:pPr>
        <w:pStyle w:val="49"/>
        <w:spacing w:line="240" w:lineRule="auto"/>
        <w:ind w:firstLineChars="200"/>
      </w:pPr>
      <w:r>
        <w:rPr>
          <w:rFonts w:hint="eastAsia"/>
        </w:rPr>
        <w:t>T1 a：肿瘤最大径≤5 cm。</w:t>
      </w:r>
    </w:p>
    <w:p w14:paraId="02912EC6">
      <w:pPr>
        <w:pStyle w:val="49"/>
        <w:spacing w:line="240" w:lineRule="auto"/>
        <w:ind w:firstLineChars="200"/>
      </w:pPr>
      <w:r>
        <w:rPr>
          <w:rFonts w:hint="eastAsia"/>
        </w:rPr>
        <w:t>T1 b：肿瘤最大径&gt;5 cm。</w:t>
      </w:r>
    </w:p>
    <w:p w14:paraId="16BC1A6E">
      <w:pPr>
        <w:pStyle w:val="49"/>
        <w:spacing w:line="240" w:lineRule="auto"/>
        <w:ind w:firstLineChars="200"/>
      </w:pPr>
      <w:r>
        <w:rPr>
          <w:rFonts w:hint="eastAsia"/>
        </w:rPr>
        <w:t>T2：肿瘤直接侵犯心包（部分或全层）、肺组织或膈神经。</w:t>
      </w:r>
    </w:p>
    <w:p w14:paraId="494E9FCA">
      <w:pPr>
        <w:pStyle w:val="49"/>
        <w:spacing w:line="240" w:lineRule="auto"/>
        <w:ind w:firstLineChars="200"/>
      </w:pPr>
      <w:r>
        <w:rPr>
          <w:rFonts w:hint="eastAsia"/>
        </w:rPr>
        <w:t>T3：肿瘤直接侵犯头臂静脉、上腔静脉、胸壁或心包外肺动脉/静脉。</w:t>
      </w:r>
    </w:p>
    <w:p w14:paraId="6854F135">
      <w:pPr>
        <w:pStyle w:val="49"/>
        <w:spacing w:line="240" w:lineRule="auto"/>
        <w:ind w:firstLineChars="200"/>
      </w:pPr>
      <w:r>
        <w:rPr>
          <w:rFonts w:hint="eastAsia"/>
        </w:rPr>
        <w:t>T4：肿瘤直接侵犯主动脉（升、弓、降部）、弓部血管、心包内肺动脉/静脉、心肌、气管或食管。</w:t>
      </w:r>
    </w:p>
    <w:p w14:paraId="1DB65C84">
      <w:pPr>
        <w:pStyle w:val="49"/>
        <w:spacing w:line="240" w:lineRule="auto"/>
        <w:ind w:firstLine="0" w:firstLineChars="0"/>
        <w:rPr>
          <w:rFonts w:ascii="黑体" w:hAnsi="黑体" w:eastAsia="黑体"/>
        </w:rPr>
      </w:pPr>
      <w:r>
        <w:rPr>
          <w:rFonts w:ascii="黑体" w:hAnsi="黑体" w:eastAsia="黑体"/>
          <w:b w:val="0"/>
          <w:bCs w:val="0"/>
        </w:rPr>
        <w:t>6.5.2</w:t>
      </w:r>
      <w:r>
        <w:rPr>
          <w:rFonts w:eastAsia="黑体"/>
          <w:b w:val="0"/>
          <w:bCs w:val="0"/>
        </w:rPr>
        <w:t xml:space="preserve"> N</w:t>
      </w:r>
      <w:r>
        <w:rPr>
          <w:rFonts w:hint="eastAsia" w:eastAsia="黑体"/>
          <w:b w:val="0"/>
          <w:bCs w:val="0"/>
        </w:rPr>
        <w:t>分</w:t>
      </w:r>
      <w:r>
        <w:rPr>
          <w:rFonts w:hint="eastAsia" w:ascii="黑体" w:hAnsi="黑体" w:eastAsia="黑体"/>
          <w:b w:val="0"/>
          <w:bCs w:val="0"/>
        </w:rPr>
        <w:t>期：</w:t>
      </w:r>
      <w:r>
        <w:rPr>
          <w:rFonts w:hint="eastAsia" w:ascii="黑体" w:hAnsi="黑体" w:eastAsia="黑体"/>
        </w:rPr>
        <w:t>区域淋巴结转移</w:t>
      </w:r>
    </w:p>
    <w:p w14:paraId="7807FAC2">
      <w:pPr>
        <w:pStyle w:val="49"/>
        <w:spacing w:line="240" w:lineRule="auto"/>
        <w:ind w:firstLineChars="200"/>
      </w:pPr>
      <w:r>
        <w:rPr>
          <w:rFonts w:hint="eastAsia"/>
        </w:rPr>
        <w:t>参照ITMIG/IASLC淋巴结分布图 [28]：</w:t>
      </w:r>
    </w:p>
    <w:p w14:paraId="652BD744">
      <w:pPr>
        <w:pStyle w:val="49"/>
        <w:spacing w:line="240" w:lineRule="auto"/>
        <w:ind w:firstLineChars="200"/>
      </w:pPr>
      <w:r>
        <w:rPr>
          <w:rFonts w:hint="eastAsia"/>
        </w:rPr>
        <w:t>N0：无区域淋巴结转移。</w:t>
      </w:r>
    </w:p>
    <w:p w14:paraId="5DEE3008">
      <w:pPr>
        <w:pStyle w:val="49"/>
        <w:spacing w:line="240" w:lineRule="auto"/>
        <w:ind w:firstLineChars="200"/>
      </w:pPr>
      <w:r>
        <w:rPr>
          <w:rFonts w:hint="eastAsia"/>
        </w:rPr>
        <w:t>N1：前纵隔淋巴结转移（包括胸腺周围、血管前区及低位前纵隔淋巴结）。</w:t>
      </w:r>
    </w:p>
    <w:p w14:paraId="15B58511">
      <w:pPr>
        <w:pStyle w:val="49"/>
        <w:spacing w:line="240" w:lineRule="auto"/>
        <w:ind w:firstLineChars="200"/>
      </w:pPr>
      <w:r>
        <w:rPr>
          <w:rFonts w:hint="eastAsia"/>
        </w:rPr>
        <w:t>N2：深部纵隔或颈淋巴结转移（包括气管旁、主动脉肺窗、肺门、内乳、深颈淋巴结）。</w:t>
      </w:r>
    </w:p>
    <w:p w14:paraId="6FBE8EB3">
      <w:pPr>
        <w:pStyle w:val="49"/>
        <w:spacing w:line="240" w:lineRule="auto"/>
        <w:ind w:firstLine="0" w:firstLineChars="0"/>
        <w:rPr>
          <w:rFonts w:ascii="黑体" w:hAnsi="黑体" w:eastAsia="黑体"/>
        </w:rPr>
      </w:pPr>
      <w:r>
        <w:rPr>
          <w:rFonts w:ascii="黑体" w:hAnsi="黑体" w:eastAsia="黑体"/>
          <w:b w:val="0"/>
          <w:bCs w:val="0"/>
        </w:rPr>
        <w:t xml:space="preserve">6.5.3 </w:t>
      </w:r>
      <w:r>
        <w:rPr>
          <w:rFonts w:eastAsia="黑体"/>
          <w:b w:val="0"/>
          <w:bCs w:val="0"/>
        </w:rPr>
        <w:t>M</w:t>
      </w:r>
      <w:r>
        <w:rPr>
          <w:rFonts w:hint="eastAsia" w:eastAsia="黑体"/>
          <w:b w:val="0"/>
          <w:bCs w:val="0"/>
        </w:rPr>
        <w:t>分</w:t>
      </w:r>
      <w:r>
        <w:rPr>
          <w:rFonts w:hint="eastAsia" w:ascii="黑体" w:hAnsi="黑体" w:eastAsia="黑体"/>
          <w:b w:val="0"/>
          <w:bCs w:val="0"/>
        </w:rPr>
        <w:t>期：</w:t>
      </w:r>
      <w:r>
        <w:rPr>
          <w:rFonts w:hint="eastAsia" w:ascii="黑体" w:hAnsi="黑体" w:eastAsia="黑体"/>
        </w:rPr>
        <w:t>远处转移</w:t>
      </w:r>
    </w:p>
    <w:p w14:paraId="7C756BB3">
      <w:pPr>
        <w:pStyle w:val="49"/>
        <w:spacing w:line="240" w:lineRule="auto"/>
        <w:ind w:firstLineChars="200"/>
      </w:pPr>
      <w:r>
        <w:rPr>
          <w:rFonts w:hint="eastAsia"/>
        </w:rPr>
        <w:t>M0：无远处转移。</w:t>
      </w:r>
    </w:p>
    <w:p w14:paraId="3FB1A9D7">
      <w:pPr>
        <w:pStyle w:val="49"/>
        <w:spacing w:line="240" w:lineRule="auto"/>
        <w:ind w:firstLineChars="200"/>
      </w:pPr>
      <w:r>
        <w:rPr>
          <w:rFonts w:hint="eastAsia"/>
        </w:rPr>
        <w:t>M1a：胸膜或心包种植转移（与原发灶分离）。</w:t>
      </w:r>
    </w:p>
    <w:p w14:paraId="1DCD61AB">
      <w:pPr>
        <w:pStyle w:val="49"/>
        <w:spacing w:line="240" w:lineRule="auto"/>
        <w:ind w:firstLineChars="200"/>
      </w:pPr>
      <w:r>
        <w:rPr>
          <w:rFonts w:hint="eastAsia"/>
        </w:rPr>
        <w:t>M1b：肺实质内转移或胸外远处转移。</w:t>
      </w:r>
    </w:p>
    <w:p w14:paraId="6B289850">
      <w:pPr>
        <w:pStyle w:val="49"/>
        <w:spacing w:line="240" w:lineRule="auto"/>
        <w:ind w:firstLine="0" w:firstLineChars="0"/>
        <w:rPr>
          <w:rFonts w:ascii="黑体" w:hAnsi="黑体" w:eastAsia="黑体"/>
        </w:rPr>
      </w:pPr>
      <w:r>
        <w:rPr>
          <w:rFonts w:ascii="黑体" w:hAnsi="黑体" w:eastAsia="黑体"/>
          <w:b w:val="0"/>
          <w:bCs w:val="0"/>
        </w:rPr>
        <w:t xml:space="preserve">6.5.4 </w:t>
      </w:r>
      <w:r>
        <w:rPr>
          <w:rFonts w:hint="eastAsia" w:ascii="黑体" w:hAnsi="黑体" w:eastAsia="黑体"/>
          <w:b w:val="0"/>
          <w:bCs w:val="0"/>
        </w:rPr>
        <w:t>影像评估要点</w:t>
      </w:r>
    </w:p>
    <w:p w14:paraId="0F6821F0">
      <w:pPr>
        <w:pStyle w:val="49"/>
        <w:spacing w:line="240" w:lineRule="auto"/>
        <w:ind w:firstLineChars="200"/>
      </w:pPr>
      <w:r>
        <w:rPr>
          <w:rFonts w:hint="eastAsia"/>
        </w:rPr>
        <w:t>a) 肿瘤大小：在轴位图像上测量肿瘤最长径，用于区分T1a与T1b。</w:t>
      </w:r>
    </w:p>
    <w:p w14:paraId="28EAA4D1">
      <w:pPr>
        <w:pStyle w:val="49"/>
        <w:spacing w:line="240" w:lineRule="auto"/>
        <w:ind w:firstLineChars="200"/>
      </w:pPr>
      <w:r>
        <w:rPr>
          <w:rFonts w:hint="eastAsia"/>
        </w:rPr>
        <w:t>b) 侵犯评估：增强CT/MRI是评估血管、心包、肺等结构侵犯的关键。</w:t>
      </w:r>
    </w:p>
    <w:p w14:paraId="4CC1BB58">
      <w:pPr>
        <w:pStyle w:val="49"/>
        <w:spacing w:line="240" w:lineRule="auto"/>
        <w:ind w:firstLineChars="200"/>
      </w:pPr>
      <w:r>
        <w:rPr>
          <w:rFonts w:hint="eastAsia"/>
        </w:rPr>
        <w:t>c) 淋巴结定位：严格按照IASLC淋巴结图谱进行定位，区分N1与N2 [28]。</w:t>
      </w:r>
    </w:p>
    <w:p w14:paraId="3F3CFB81">
      <w:pPr>
        <w:pStyle w:val="49"/>
        <w:spacing w:line="240" w:lineRule="auto"/>
        <w:ind w:firstLine="0" w:firstLineChars="0"/>
        <w:rPr>
          <w:rFonts w:ascii="黑体" w:hAnsi="黑体" w:eastAsia="黑体"/>
          <w:b w:val="0"/>
          <w:bCs w:val="0"/>
        </w:rPr>
      </w:pPr>
      <w:r>
        <w:rPr>
          <w:rFonts w:ascii="黑体" w:hAnsi="黑体" w:eastAsia="黑体"/>
          <w:b w:val="0"/>
          <w:bCs w:val="0"/>
        </w:rPr>
        <w:t xml:space="preserve">6.5.5 </w:t>
      </w:r>
      <w:r>
        <w:rPr>
          <w:rFonts w:hint="eastAsia" w:ascii="黑体" w:hAnsi="黑体" w:eastAsia="黑体"/>
          <w:b w:val="0"/>
          <w:bCs w:val="0"/>
        </w:rPr>
        <w:t>分期组合与预后</w:t>
      </w:r>
    </w:p>
    <w:p w14:paraId="21896A38">
      <w:pPr>
        <w:pStyle w:val="49"/>
        <w:spacing w:line="240" w:lineRule="auto"/>
        <w:ind w:firstLineChars="200"/>
      </w:pPr>
      <w:r>
        <w:rPr>
          <w:rFonts w:hint="eastAsia"/>
        </w:rPr>
        <w:t>基于T、N、M分类的组合，第九版分期组及其对应的5年总生存率详见表3 [39]。</w:t>
      </w:r>
    </w:p>
    <w:p w14:paraId="2FBC9E77">
      <w:pPr>
        <w:pStyle w:val="49"/>
        <w:spacing w:line="240" w:lineRule="auto"/>
        <w:ind w:firstLine="0" w:firstLineChars="0"/>
        <w:jc w:val="center"/>
      </w:pPr>
      <w:r>
        <w:rPr>
          <w:rFonts w:hint="eastAsia"/>
        </w:rPr>
        <w:t>表3 IASLC第9版胸腺上皮肿瘤TNM分期组合及预后</w:t>
      </w:r>
    </w:p>
    <w:tbl>
      <w:tblPr>
        <w:tblStyle w:val="13"/>
        <w:tblW w:w="8260" w:type="dxa"/>
        <w:tblInd w:w="0" w:type="dxa"/>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813"/>
        <w:gridCol w:w="3346"/>
        <w:gridCol w:w="2141"/>
        <w:gridCol w:w="1960"/>
        <w:tblGridChange w:id="0">
          <w:tblGrid>
            <w:gridCol w:w="813"/>
            <w:gridCol w:w="3346"/>
            <w:gridCol w:w="2141"/>
            <w:gridCol w:w="1960"/>
          </w:tblGrid>
        </w:tblGridChange>
      </w:tblGrid>
      <w:tr w14:paraId="65B33282">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209" w:hRule="atLeast"/>
          <w:tblHeader/>
        </w:trPr>
        <w:tc>
          <w:tcPr>
            <w:tcW w:w="813" w:type="dxa"/>
            <w:tcBorders>
              <w:bottom w:val="single" w:color="auto" w:sz="4" w:space="0"/>
              <w:tl2br w:val="nil"/>
              <w:tr2bl w:val="nil"/>
            </w:tcBorders>
            <w:shd w:val="clear" w:color="auto" w:fill="FFFFFF"/>
            <w:tcMar>
              <w:top w:w="100" w:type="dxa"/>
              <w:left w:w="0" w:type="dxa"/>
              <w:bottom w:w="100" w:type="dxa"/>
              <w:right w:w="160" w:type="dxa"/>
            </w:tcMar>
            <w:vAlign w:val="center"/>
          </w:tcPr>
          <w:p w14:paraId="721816F1">
            <w:pPr>
              <w:widowControl/>
              <w:jc w:val="both"/>
              <w:rPr>
                <w:rFonts w:hint="eastAsia" w:ascii="Times New Roman" w:hAnsi="Times New Roman" w:eastAsia="宋体" w:cs="Times New Roman"/>
                <w:b/>
                <w:bCs/>
                <w:color w:val="0F1115"/>
                <w:szCs w:val="21"/>
              </w:rPr>
            </w:pPr>
            <w:r>
              <w:rPr>
                <w:rFonts w:hint="eastAsia" w:ascii="Times New Roman" w:hAnsi="Times New Roman" w:eastAsia="宋体" w:cs="Times New Roman"/>
                <w:b/>
                <w:bCs/>
                <w:color w:val="0F1115"/>
                <w:kern w:val="0"/>
                <w:szCs w:val="21"/>
                <w:lang w:bidi="ar"/>
              </w:rPr>
              <w:t>分期组</w:t>
            </w:r>
          </w:p>
        </w:tc>
        <w:tc>
          <w:tcPr>
            <w:tcW w:w="3346" w:type="dxa"/>
            <w:tcBorders>
              <w:bottom w:val="single" w:color="auto" w:sz="4" w:space="0"/>
              <w:tl2br w:val="nil"/>
              <w:tr2bl w:val="nil"/>
            </w:tcBorders>
            <w:shd w:val="clear" w:color="auto" w:fill="FFFFFF"/>
            <w:tcMar>
              <w:top w:w="100" w:type="dxa"/>
              <w:left w:w="160" w:type="dxa"/>
              <w:bottom w:w="100" w:type="dxa"/>
              <w:right w:w="160" w:type="dxa"/>
            </w:tcMar>
            <w:vAlign w:val="center"/>
          </w:tcPr>
          <w:p w14:paraId="213501FB">
            <w:pPr>
              <w:widowControl/>
              <w:jc w:val="both"/>
              <w:rPr>
                <w:rFonts w:hint="eastAsia" w:ascii="Times New Roman" w:hAnsi="Times New Roman" w:eastAsia="宋体" w:cs="Times New Roman"/>
                <w:b/>
                <w:bCs/>
                <w:color w:val="0F1115"/>
                <w:szCs w:val="21"/>
              </w:rPr>
            </w:pPr>
            <w:r>
              <w:rPr>
                <w:rFonts w:hint="eastAsia" w:ascii="Times New Roman" w:hAnsi="Times New Roman" w:eastAsia="宋体" w:cs="Times New Roman"/>
                <w:b/>
                <w:bCs/>
                <w:color w:val="0F1115"/>
                <w:kern w:val="0"/>
                <w:szCs w:val="21"/>
                <w:lang w:bidi="ar"/>
              </w:rPr>
              <w:t>T/N/M组合</w:t>
            </w:r>
          </w:p>
        </w:tc>
        <w:tc>
          <w:tcPr>
            <w:tcW w:w="2141" w:type="dxa"/>
            <w:tcBorders>
              <w:bottom w:val="single" w:color="auto" w:sz="4" w:space="0"/>
              <w:tl2br w:val="nil"/>
              <w:tr2bl w:val="nil"/>
            </w:tcBorders>
            <w:shd w:val="clear" w:color="auto" w:fill="FFFFFF"/>
            <w:tcMar>
              <w:top w:w="100" w:type="dxa"/>
              <w:left w:w="160" w:type="dxa"/>
              <w:bottom w:w="100" w:type="dxa"/>
              <w:right w:w="160" w:type="dxa"/>
            </w:tcMar>
            <w:vAlign w:val="center"/>
          </w:tcPr>
          <w:p w14:paraId="0999B95A">
            <w:pPr>
              <w:widowControl/>
              <w:jc w:val="both"/>
              <w:rPr>
                <w:rFonts w:hint="eastAsia" w:ascii="Times New Roman" w:hAnsi="Times New Roman" w:eastAsia="宋体" w:cs="Times New Roman"/>
                <w:b/>
                <w:bCs/>
                <w:color w:val="0F1115"/>
                <w:szCs w:val="21"/>
              </w:rPr>
            </w:pPr>
            <w:r>
              <w:rPr>
                <w:rFonts w:hint="eastAsia" w:ascii="Times New Roman" w:hAnsi="Times New Roman" w:eastAsia="宋体" w:cs="Times New Roman"/>
                <w:b/>
                <w:bCs/>
                <w:color w:val="0F1115"/>
                <w:kern w:val="0"/>
                <w:szCs w:val="21"/>
                <w:lang w:bidi="ar"/>
              </w:rPr>
              <w:t>胸腺瘤5年生存率</w:t>
            </w:r>
          </w:p>
        </w:tc>
        <w:tc>
          <w:tcPr>
            <w:tcW w:w="1960" w:type="dxa"/>
            <w:tcBorders>
              <w:bottom w:val="single" w:color="auto" w:sz="4" w:space="0"/>
              <w:tl2br w:val="nil"/>
              <w:tr2bl w:val="nil"/>
            </w:tcBorders>
            <w:shd w:val="clear" w:color="auto" w:fill="FFFFFF"/>
            <w:tcMar>
              <w:top w:w="100" w:type="dxa"/>
              <w:left w:w="160" w:type="dxa"/>
              <w:bottom w:w="100" w:type="dxa"/>
              <w:right w:w="160" w:type="dxa"/>
            </w:tcMar>
            <w:vAlign w:val="center"/>
          </w:tcPr>
          <w:p w14:paraId="696869E4">
            <w:pPr>
              <w:widowControl/>
              <w:jc w:val="both"/>
              <w:rPr>
                <w:rFonts w:hint="eastAsia" w:ascii="Times New Roman" w:hAnsi="Times New Roman" w:eastAsia="宋体" w:cs="Times New Roman"/>
                <w:b/>
                <w:bCs/>
                <w:color w:val="0F1115"/>
                <w:szCs w:val="21"/>
              </w:rPr>
            </w:pPr>
            <w:r>
              <w:rPr>
                <w:rFonts w:hint="eastAsia" w:ascii="Times New Roman" w:hAnsi="Times New Roman" w:eastAsia="宋体" w:cs="Times New Roman"/>
                <w:b/>
                <w:bCs/>
                <w:color w:val="0F1115"/>
                <w:kern w:val="0"/>
                <w:szCs w:val="21"/>
                <w:lang w:bidi="ar"/>
              </w:rPr>
              <w:t>胸腺癌5年生存率</w:t>
            </w:r>
          </w:p>
        </w:tc>
      </w:tr>
      <w:tr w14:paraId="332FF346">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24" w:hRule="atLeast"/>
        </w:trPr>
        <w:tc>
          <w:tcPr>
            <w:tcW w:w="813" w:type="dxa"/>
            <w:tcBorders>
              <w:top w:val="single" w:color="auto" w:sz="4" w:space="0"/>
            </w:tcBorders>
            <w:shd w:val="clear" w:color="auto" w:fill="FFFFFF"/>
            <w:tcMar>
              <w:top w:w="100" w:type="dxa"/>
              <w:left w:w="0" w:type="dxa"/>
              <w:bottom w:w="100" w:type="dxa"/>
              <w:right w:w="160" w:type="dxa"/>
            </w:tcMar>
            <w:vAlign w:val="center"/>
          </w:tcPr>
          <w:p w14:paraId="26A58789">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I期</w:t>
            </w:r>
          </w:p>
        </w:tc>
        <w:tc>
          <w:tcPr>
            <w:tcW w:w="3346" w:type="dxa"/>
            <w:tcBorders>
              <w:top w:val="single" w:color="auto" w:sz="4" w:space="0"/>
            </w:tcBorders>
            <w:shd w:val="clear" w:color="auto" w:fill="FFFFFF"/>
            <w:tcMar>
              <w:top w:w="100" w:type="dxa"/>
              <w:left w:w="160" w:type="dxa"/>
              <w:bottom w:w="100" w:type="dxa"/>
              <w:right w:w="160" w:type="dxa"/>
            </w:tcMar>
            <w:vAlign w:val="center"/>
          </w:tcPr>
          <w:p w14:paraId="374D523C">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T1a-b N0 M0</w:t>
            </w:r>
          </w:p>
        </w:tc>
        <w:tc>
          <w:tcPr>
            <w:tcW w:w="2141" w:type="dxa"/>
            <w:tcBorders>
              <w:top w:val="single" w:color="auto" w:sz="4" w:space="0"/>
            </w:tcBorders>
            <w:shd w:val="clear" w:color="auto" w:fill="FFFFFF"/>
            <w:tcMar>
              <w:top w:w="100" w:type="dxa"/>
              <w:left w:w="160" w:type="dxa"/>
              <w:bottom w:w="100" w:type="dxa"/>
              <w:right w:w="160" w:type="dxa"/>
            </w:tcMar>
            <w:vAlign w:val="center"/>
          </w:tcPr>
          <w:p w14:paraId="2C589BDE">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95.9%</w:t>
            </w:r>
          </w:p>
        </w:tc>
        <w:tc>
          <w:tcPr>
            <w:tcW w:w="1960" w:type="dxa"/>
            <w:tcBorders>
              <w:top w:val="single" w:color="auto" w:sz="4" w:space="0"/>
            </w:tcBorders>
            <w:shd w:val="clear" w:color="auto" w:fill="FFFFFF"/>
            <w:tcMar>
              <w:top w:w="100" w:type="dxa"/>
              <w:left w:w="160" w:type="dxa"/>
              <w:bottom w:w="100" w:type="dxa"/>
              <w:right w:w="0" w:type="dxa"/>
            </w:tcMar>
            <w:vAlign w:val="center"/>
          </w:tcPr>
          <w:p w14:paraId="5E6065D8">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80.4%</w:t>
            </w:r>
          </w:p>
        </w:tc>
      </w:tr>
      <w:tr w14:paraId="2FDFB9B3">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34" w:hRule="atLeast"/>
        </w:trPr>
        <w:tc>
          <w:tcPr>
            <w:tcW w:w="813" w:type="dxa"/>
            <w:shd w:val="clear" w:color="auto" w:fill="FFFFFF"/>
            <w:tcMar>
              <w:top w:w="100" w:type="dxa"/>
              <w:left w:w="0" w:type="dxa"/>
              <w:bottom w:w="100" w:type="dxa"/>
              <w:right w:w="160" w:type="dxa"/>
            </w:tcMar>
            <w:vAlign w:val="center"/>
          </w:tcPr>
          <w:p w14:paraId="51949C2C">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II期</w:t>
            </w:r>
          </w:p>
        </w:tc>
        <w:tc>
          <w:tcPr>
            <w:tcW w:w="3346" w:type="dxa"/>
            <w:shd w:val="clear" w:color="auto" w:fill="FFFFFF"/>
            <w:tcMar>
              <w:top w:w="100" w:type="dxa"/>
              <w:left w:w="160" w:type="dxa"/>
              <w:bottom w:w="100" w:type="dxa"/>
              <w:right w:w="160" w:type="dxa"/>
            </w:tcMar>
            <w:vAlign w:val="center"/>
          </w:tcPr>
          <w:p w14:paraId="4D38125C">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T2 N0 M0</w:t>
            </w:r>
          </w:p>
        </w:tc>
        <w:tc>
          <w:tcPr>
            <w:tcW w:w="2141" w:type="dxa"/>
            <w:shd w:val="clear" w:color="auto" w:fill="FFFFFF"/>
            <w:tcMar>
              <w:top w:w="100" w:type="dxa"/>
              <w:left w:w="160" w:type="dxa"/>
              <w:bottom w:w="100" w:type="dxa"/>
              <w:right w:w="160" w:type="dxa"/>
            </w:tcMar>
            <w:vAlign w:val="center"/>
          </w:tcPr>
          <w:p w14:paraId="7B252D1C">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89.3%</w:t>
            </w:r>
          </w:p>
        </w:tc>
        <w:tc>
          <w:tcPr>
            <w:tcW w:w="1960" w:type="dxa"/>
            <w:shd w:val="clear" w:color="auto" w:fill="FFFFFF"/>
            <w:tcMar>
              <w:top w:w="100" w:type="dxa"/>
              <w:left w:w="160" w:type="dxa"/>
              <w:bottom w:w="100" w:type="dxa"/>
              <w:right w:w="0" w:type="dxa"/>
            </w:tcMar>
            <w:vAlign w:val="center"/>
          </w:tcPr>
          <w:p w14:paraId="5C407545">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69.2%</w:t>
            </w:r>
          </w:p>
        </w:tc>
      </w:tr>
      <w:tr w14:paraId="3355370F">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24" w:hRule="atLeast"/>
        </w:trPr>
        <w:tc>
          <w:tcPr>
            <w:tcW w:w="813" w:type="dxa"/>
            <w:shd w:val="clear" w:color="auto" w:fill="FFFFFF"/>
            <w:tcMar>
              <w:top w:w="100" w:type="dxa"/>
              <w:left w:w="0" w:type="dxa"/>
              <w:bottom w:w="100" w:type="dxa"/>
              <w:right w:w="160" w:type="dxa"/>
            </w:tcMar>
            <w:vAlign w:val="center"/>
          </w:tcPr>
          <w:p w14:paraId="34E3D581">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IIIA期</w:t>
            </w:r>
          </w:p>
        </w:tc>
        <w:tc>
          <w:tcPr>
            <w:tcW w:w="3346" w:type="dxa"/>
            <w:shd w:val="clear" w:color="auto" w:fill="FFFFFF"/>
            <w:tcMar>
              <w:top w:w="100" w:type="dxa"/>
              <w:left w:w="160" w:type="dxa"/>
              <w:bottom w:w="100" w:type="dxa"/>
              <w:right w:w="160" w:type="dxa"/>
            </w:tcMar>
            <w:vAlign w:val="center"/>
          </w:tcPr>
          <w:p w14:paraId="238288A9">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T3 N0 M0</w:t>
            </w:r>
          </w:p>
        </w:tc>
        <w:tc>
          <w:tcPr>
            <w:tcW w:w="2141" w:type="dxa"/>
            <w:shd w:val="clear" w:color="auto" w:fill="FFFFFF"/>
            <w:tcMar>
              <w:top w:w="100" w:type="dxa"/>
              <w:left w:w="160" w:type="dxa"/>
              <w:bottom w:w="100" w:type="dxa"/>
              <w:right w:w="160" w:type="dxa"/>
            </w:tcMar>
            <w:vAlign w:val="center"/>
          </w:tcPr>
          <w:p w14:paraId="61C18A38">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89.0%</w:t>
            </w:r>
          </w:p>
        </w:tc>
        <w:tc>
          <w:tcPr>
            <w:tcW w:w="1960" w:type="dxa"/>
            <w:shd w:val="clear" w:color="auto" w:fill="FFFFFF"/>
            <w:tcMar>
              <w:top w:w="100" w:type="dxa"/>
              <w:left w:w="160" w:type="dxa"/>
              <w:bottom w:w="100" w:type="dxa"/>
              <w:right w:w="0" w:type="dxa"/>
            </w:tcMar>
            <w:vAlign w:val="center"/>
          </w:tcPr>
          <w:p w14:paraId="58E0637A">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56.8%</w:t>
            </w:r>
          </w:p>
        </w:tc>
      </w:tr>
      <w:tr w14:paraId="3BDEA3A2">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24" w:hRule="atLeast"/>
        </w:trPr>
        <w:tc>
          <w:tcPr>
            <w:tcW w:w="813" w:type="dxa"/>
            <w:tcBorders>
              <w:tl2br w:val="nil"/>
              <w:tr2bl w:val="nil"/>
            </w:tcBorders>
            <w:shd w:val="clear" w:color="auto" w:fill="FFFFFF"/>
            <w:tcMar>
              <w:top w:w="100" w:type="dxa"/>
              <w:left w:w="0" w:type="dxa"/>
              <w:bottom w:w="100" w:type="dxa"/>
              <w:right w:w="160" w:type="dxa"/>
            </w:tcMar>
            <w:vAlign w:val="center"/>
          </w:tcPr>
          <w:p w14:paraId="672DF7F7">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IIIB期</w:t>
            </w:r>
          </w:p>
        </w:tc>
        <w:tc>
          <w:tcPr>
            <w:tcW w:w="3346" w:type="dxa"/>
            <w:tcBorders>
              <w:tl2br w:val="nil"/>
              <w:tr2bl w:val="nil"/>
            </w:tcBorders>
            <w:shd w:val="clear" w:color="auto" w:fill="FFFFFF"/>
            <w:tcMar>
              <w:top w:w="100" w:type="dxa"/>
              <w:left w:w="160" w:type="dxa"/>
              <w:bottom w:w="100" w:type="dxa"/>
              <w:right w:w="160" w:type="dxa"/>
            </w:tcMar>
            <w:vAlign w:val="center"/>
          </w:tcPr>
          <w:p w14:paraId="698E9D70">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T4 N0 M0</w:t>
            </w:r>
          </w:p>
        </w:tc>
        <w:tc>
          <w:tcPr>
            <w:tcW w:w="2141" w:type="dxa"/>
            <w:tcBorders>
              <w:tl2br w:val="nil"/>
              <w:tr2bl w:val="nil"/>
            </w:tcBorders>
            <w:shd w:val="clear" w:color="auto" w:fill="FFFFFF"/>
            <w:tcMar>
              <w:top w:w="100" w:type="dxa"/>
              <w:left w:w="160" w:type="dxa"/>
              <w:bottom w:w="100" w:type="dxa"/>
              <w:right w:w="160" w:type="dxa"/>
            </w:tcMar>
            <w:vAlign w:val="center"/>
          </w:tcPr>
          <w:p w14:paraId="1F3AC24F">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71.0%</w:t>
            </w:r>
          </w:p>
        </w:tc>
        <w:tc>
          <w:tcPr>
            <w:tcW w:w="1960" w:type="dxa"/>
            <w:tcBorders>
              <w:tl2br w:val="nil"/>
              <w:tr2bl w:val="nil"/>
            </w:tcBorders>
            <w:shd w:val="clear" w:color="auto" w:fill="FFFFFF"/>
            <w:tcMar>
              <w:top w:w="100" w:type="dxa"/>
              <w:left w:w="160" w:type="dxa"/>
              <w:bottom w:w="100" w:type="dxa"/>
              <w:right w:w="0" w:type="dxa"/>
            </w:tcMar>
            <w:vAlign w:val="center"/>
          </w:tcPr>
          <w:p w14:paraId="2C3D0467">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55.7%</w:t>
            </w:r>
          </w:p>
        </w:tc>
      </w:tr>
      <w:tr w14:paraId="09D200D9">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24" w:hRule="atLeast"/>
        </w:trPr>
        <w:tc>
          <w:tcPr>
            <w:tcW w:w="813" w:type="dxa"/>
            <w:tcBorders>
              <w:tl2br w:val="nil"/>
              <w:tr2bl w:val="nil"/>
            </w:tcBorders>
            <w:shd w:val="clear" w:color="auto" w:fill="FFFFFF"/>
            <w:tcMar>
              <w:top w:w="100" w:type="dxa"/>
              <w:left w:w="0" w:type="dxa"/>
              <w:bottom w:w="100" w:type="dxa"/>
              <w:right w:w="160" w:type="dxa"/>
            </w:tcMar>
            <w:vAlign w:val="center"/>
          </w:tcPr>
          <w:p w14:paraId="67384AE0">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IVA期</w:t>
            </w:r>
          </w:p>
        </w:tc>
        <w:tc>
          <w:tcPr>
            <w:tcW w:w="3346" w:type="dxa"/>
            <w:tcBorders>
              <w:tl2br w:val="nil"/>
              <w:tr2bl w:val="nil"/>
            </w:tcBorders>
            <w:shd w:val="clear" w:color="auto" w:fill="FFFFFF"/>
            <w:tcMar>
              <w:top w:w="100" w:type="dxa"/>
              <w:left w:w="160" w:type="dxa"/>
              <w:bottom w:w="100" w:type="dxa"/>
              <w:right w:w="160" w:type="dxa"/>
            </w:tcMar>
            <w:vAlign w:val="center"/>
          </w:tcPr>
          <w:p w14:paraId="759D6916">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任何T N1 M0，或任何T N0-1 M1a</w:t>
            </w:r>
          </w:p>
        </w:tc>
        <w:tc>
          <w:tcPr>
            <w:tcW w:w="2141" w:type="dxa"/>
            <w:tcBorders>
              <w:tl2br w:val="nil"/>
              <w:tr2bl w:val="nil"/>
            </w:tcBorders>
            <w:shd w:val="clear" w:color="auto" w:fill="FFFFFF"/>
            <w:tcMar>
              <w:top w:w="100" w:type="dxa"/>
              <w:left w:w="160" w:type="dxa"/>
              <w:bottom w:w="100" w:type="dxa"/>
              <w:right w:w="160" w:type="dxa"/>
            </w:tcMar>
            <w:vAlign w:val="center"/>
          </w:tcPr>
          <w:p w14:paraId="32D5588B">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83.0%</w:t>
            </w:r>
          </w:p>
        </w:tc>
        <w:tc>
          <w:tcPr>
            <w:tcW w:w="1960" w:type="dxa"/>
            <w:tcBorders>
              <w:tl2br w:val="nil"/>
              <w:tr2bl w:val="nil"/>
            </w:tcBorders>
            <w:shd w:val="clear" w:color="auto" w:fill="FFFFFF"/>
            <w:tcMar>
              <w:top w:w="100" w:type="dxa"/>
              <w:left w:w="160" w:type="dxa"/>
              <w:bottom w:w="100" w:type="dxa"/>
              <w:right w:w="0" w:type="dxa"/>
            </w:tcMar>
            <w:vAlign w:val="center"/>
          </w:tcPr>
          <w:p w14:paraId="3DB2A789">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54.0%</w:t>
            </w:r>
          </w:p>
        </w:tc>
      </w:tr>
      <w:tr w14:paraId="7D6808FC">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659" w:hRule="atLeast"/>
        </w:trPr>
        <w:tc>
          <w:tcPr>
            <w:tcW w:w="813" w:type="dxa"/>
            <w:tcBorders>
              <w:tl2br w:val="nil"/>
              <w:tr2bl w:val="nil"/>
            </w:tcBorders>
            <w:shd w:val="clear" w:color="auto" w:fill="FFFFFF"/>
            <w:tcMar>
              <w:top w:w="100" w:type="dxa"/>
              <w:left w:w="0" w:type="dxa"/>
              <w:bottom w:w="100" w:type="dxa"/>
              <w:right w:w="160" w:type="dxa"/>
            </w:tcMar>
            <w:vAlign w:val="center"/>
          </w:tcPr>
          <w:p w14:paraId="587742A6">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IVB期</w:t>
            </w:r>
          </w:p>
        </w:tc>
        <w:tc>
          <w:tcPr>
            <w:tcW w:w="3346" w:type="dxa"/>
            <w:tcBorders>
              <w:tl2br w:val="nil"/>
              <w:tr2bl w:val="nil"/>
            </w:tcBorders>
            <w:shd w:val="clear" w:color="auto" w:fill="FFFFFF"/>
            <w:tcMar>
              <w:top w:w="100" w:type="dxa"/>
              <w:left w:w="160" w:type="dxa"/>
              <w:bottom w:w="100" w:type="dxa"/>
              <w:right w:w="160" w:type="dxa"/>
            </w:tcMar>
            <w:vAlign w:val="center"/>
          </w:tcPr>
          <w:p w14:paraId="7244AE85">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任何T N2 M0，或任何T任何N M1b</w:t>
            </w:r>
          </w:p>
        </w:tc>
        <w:tc>
          <w:tcPr>
            <w:tcW w:w="2141" w:type="dxa"/>
            <w:tcBorders>
              <w:tl2br w:val="nil"/>
              <w:tr2bl w:val="nil"/>
            </w:tcBorders>
            <w:shd w:val="clear" w:color="auto" w:fill="FFFFFF"/>
            <w:tcMar>
              <w:top w:w="100" w:type="dxa"/>
              <w:left w:w="160" w:type="dxa"/>
              <w:bottom w:w="100" w:type="dxa"/>
              <w:right w:w="160" w:type="dxa"/>
            </w:tcMar>
            <w:vAlign w:val="center"/>
          </w:tcPr>
          <w:p w14:paraId="4FE82AD0">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78.6%</w:t>
            </w:r>
          </w:p>
        </w:tc>
        <w:tc>
          <w:tcPr>
            <w:tcW w:w="1960" w:type="dxa"/>
            <w:tcBorders>
              <w:tl2br w:val="nil"/>
              <w:tr2bl w:val="nil"/>
            </w:tcBorders>
            <w:shd w:val="clear" w:color="auto" w:fill="FFFFFF"/>
            <w:tcMar>
              <w:top w:w="100" w:type="dxa"/>
              <w:left w:w="160" w:type="dxa"/>
              <w:bottom w:w="100" w:type="dxa"/>
              <w:right w:w="0" w:type="dxa"/>
            </w:tcMar>
            <w:vAlign w:val="center"/>
          </w:tcPr>
          <w:p w14:paraId="18BF4934">
            <w:pPr>
              <w:widowControl/>
              <w:jc w:val="both"/>
              <w:rPr>
                <w:rFonts w:hint="eastAsia" w:ascii="Times New Roman" w:hAnsi="Times New Roman" w:eastAsia="宋体" w:cs="Times New Roman"/>
                <w:color w:val="0F1115"/>
                <w:szCs w:val="21"/>
              </w:rPr>
            </w:pPr>
            <w:r>
              <w:rPr>
                <w:rFonts w:hint="eastAsia" w:ascii="Times New Roman" w:hAnsi="Times New Roman" w:eastAsia="宋体" w:cs="Times New Roman"/>
                <w:color w:val="0F1115"/>
                <w:kern w:val="0"/>
                <w:szCs w:val="21"/>
                <w:lang w:bidi="ar"/>
              </w:rPr>
              <w:t>32.7%</w:t>
            </w:r>
          </w:p>
        </w:tc>
      </w:tr>
    </w:tbl>
    <w:p w14:paraId="1B2D9520">
      <w:pPr>
        <w:pStyle w:val="49"/>
        <w:spacing w:before="312" w:beforeLines="100" w:after="312" w:afterLines="100" w:line="240" w:lineRule="auto"/>
        <w:ind w:firstLine="0" w:firstLineChars="0"/>
        <w:outlineLvl w:val="0"/>
        <w:rPr>
          <w:rFonts w:ascii="黑体" w:hAnsi="黑体" w:eastAsia="黑体"/>
        </w:rPr>
      </w:pPr>
      <w:bookmarkStart w:id="11" w:name="_Toc226898520"/>
      <w:r>
        <w:rPr>
          <w:rFonts w:ascii="黑体" w:hAnsi="黑体" w:eastAsia="黑体"/>
          <w:b w:val="0"/>
          <w:bCs w:val="0"/>
          <w:sz w:val="21"/>
          <w:szCs w:val="21"/>
        </w:rPr>
        <w:t xml:space="preserve">7 </w:t>
      </w:r>
      <w:r>
        <w:rPr>
          <w:rFonts w:hint="eastAsia" w:ascii="黑体" w:hAnsi="黑体" w:eastAsia="黑体"/>
          <w:b w:val="0"/>
          <w:bCs w:val="0"/>
          <w:sz w:val="21"/>
          <w:szCs w:val="21"/>
        </w:rPr>
        <w:t>鉴别诊断</w:t>
      </w:r>
      <w:bookmarkEnd w:id="11"/>
    </w:p>
    <w:p w14:paraId="3EBE9D8E">
      <w:pPr>
        <w:pStyle w:val="49"/>
        <w:spacing w:before="156" w:beforeLines="50" w:after="156" w:afterLines="50" w:line="240" w:lineRule="auto"/>
        <w:ind w:firstLine="0" w:firstLineChars="0"/>
        <w:rPr>
          <w:rFonts w:ascii="黑体" w:hAnsi="黑体" w:eastAsia="黑体"/>
        </w:rPr>
      </w:pPr>
      <w:r>
        <w:rPr>
          <w:rFonts w:ascii="黑体" w:hAnsi="黑体" w:eastAsia="黑体"/>
          <w:b w:val="0"/>
          <w:bCs w:val="0"/>
        </w:rPr>
        <w:t xml:space="preserve">7.1 </w:t>
      </w:r>
      <w:r>
        <w:rPr>
          <w:rFonts w:hint="eastAsia" w:ascii="黑体" w:hAnsi="黑体" w:eastAsia="黑体"/>
          <w:b w:val="0"/>
          <w:bCs w:val="0"/>
        </w:rPr>
        <w:t>胸腺增生</w:t>
      </w:r>
    </w:p>
    <w:p w14:paraId="31AF1B84">
      <w:pPr>
        <w:pStyle w:val="49"/>
        <w:spacing w:line="240" w:lineRule="auto"/>
      </w:pPr>
      <w:r>
        <w:rPr>
          <w:rFonts w:hint="eastAsia"/>
        </w:rPr>
        <w:t>临床与影像要点：多见于青壮年，常与重症肌无力相关 [40]。CT/MRI表现为胸腺弥漫性、对称性增大，但仍维持正常胸腺形态，密度/信号均匀，强化轻度且均匀 [41,42]。无包膜外侵犯或远处转移征象，有助于与胸腺瘤鉴别 [43]。</w:t>
      </w:r>
      <w:r>
        <w:rPr>
          <w:rStyle w:val="16"/>
          <w:b w:val="0"/>
          <w:color w:val="0F1115"/>
          <w:shd w:val="clear" w:color="auto" w:fill="FFFFFF"/>
        </w:rPr>
        <w:t>化学位移MRI</w:t>
      </w:r>
      <w:r>
        <w:rPr>
          <w:color w:val="0F1115"/>
          <w:shd w:val="clear" w:color="auto" w:fill="FFFFFF"/>
        </w:rPr>
        <w:t>可有效鉴别胸腺增生与胸腺肿瘤：增生胸腺因含显微脂肪，在反相位图像上信号明显降低，化学位移比值（CSR）显著低于肿瘤组，而肿瘤组织无信号减低</w:t>
      </w:r>
      <w:r>
        <w:rPr>
          <w:rFonts w:hint="eastAsia"/>
          <w:color w:val="0F1115"/>
          <w:shd w:val="clear" w:color="auto" w:fill="FFFFFF"/>
        </w:rPr>
        <w:t xml:space="preserve"> </w:t>
      </w:r>
      <w:r>
        <w:rPr>
          <w:rFonts w:hint="eastAsia"/>
        </w:rPr>
        <w:t>[44]</w:t>
      </w:r>
      <w:r>
        <w:rPr>
          <w:color w:val="0F1115"/>
          <w:shd w:val="clear" w:color="auto" w:fill="FFFFFF"/>
        </w:rPr>
        <w:t>。</w:t>
      </w:r>
    </w:p>
    <w:p w14:paraId="25BF6302">
      <w:pPr>
        <w:pStyle w:val="49"/>
        <w:spacing w:before="156" w:beforeLines="50" w:after="156" w:afterLines="50" w:line="240" w:lineRule="auto"/>
        <w:ind w:firstLine="0" w:firstLineChars="0"/>
        <w:rPr>
          <w:rFonts w:ascii="黑体" w:hAnsi="黑体" w:eastAsia="黑体"/>
        </w:rPr>
      </w:pPr>
      <w:r>
        <w:rPr>
          <w:rFonts w:ascii="黑体" w:hAnsi="黑体" w:eastAsia="黑体"/>
          <w:b w:val="0"/>
          <w:bCs w:val="0"/>
        </w:rPr>
        <w:t xml:space="preserve">7.2 </w:t>
      </w:r>
      <w:r>
        <w:rPr>
          <w:rFonts w:hint="eastAsia" w:ascii="黑体" w:hAnsi="黑体" w:eastAsia="黑体"/>
          <w:b w:val="0"/>
          <w:bCs w:val="0"/>
        </w:rPr>
        <w:t>胸腺囊肿</w:t>
      </w:r>
    </w:p>
    <w:p w14:paraId="3A460537">
      <w:pPr>
        <w:pStyle w:val="49"/>
        <w:spacing w:line="240" w:lineRule="auto"/>
      </w:pPr>
      <w:r>
        <w:rPr>
          <w:rFonts w:hint="eastAsia"/>
        </w:rPr>
        <w:t>临床与影像要点：多为先天性。CT表现为边界清晰的圆形或类圆形水样密度影，囊壁薄且光滑，无强化。MRI特征典型，T1WI低信号、T2WI高信号（合并出血或蛋白含量高时T1WI可为高信号）[45]。与实性胸腺瘤易于鉴别，但需注意与囊性胸腺瘤区分 [46]。</w:t>
      </w:r>
    </w:p>
    <w:p w14:paraId="2B42DF61">
      <w:pPr>
        <w:pStyle w:val="49"/>
        <w:spacing w:before="156" w:beforeLines="50" w:after="156" w:afterLines="50" w:line="240" w:lineRule="auto"/>
        <w:ind w:firstLine="0" w:firstLineChars="0"/>
        <w:rPr>
          <w:rFonts w:ascii="黑体" w:hAnsi="黑体" w:eastAsia="黑体"/>
        </w:rPr>
      </w:pPr>
      <w:r>
        <w:rPr>
          <w:rFonts w:ascii="黑体" w:hAnsi="黑体" w:eastAsia="黑体"/>
          <w:b w:val="0"/>
          <w:bCs w:val="0"/>
        </w:rPr>
        <w:t xml:space="preserve">7.3 </w:t>
      </w:r>
      <w:r>
        <w:rPr>
          <w:rFonts w:hint="eastAsia" w:ascii="黑体" w:hAnsi="黑体" w:eastAsia="黑体"/>
          <w:b w:val="0"/>
          <w:bCs w:val="0"/>
        </w:rPr>
        <w:t>生殖细胞肿瘤</w:t>
      </w:r>
    </w:p>
    <w:p w14:paraId="3F806242">
      <w:pPr>
        <w:pStyle w:val="49"/>
        <w:spacing w:line="240" w:lineRule="auto"/>
      </w:pPr>
      <w:r>
        <w:rPr>
          <w:rFonts w:hint="eastAsia"/>
        </w:rPr>
        <w:t>畸胎瘤：CT特征为内含脂肪、钙化或牙齿等多种成分的混杂密度肿块，此特征具有诊断特异性 [47,48]。成熟畸胎瘤以囊性为主。胸腺瘤钙化多为点状，罕见脂肪成分 [49]。</w:t>
      </w:r>
    </w:p>
    <w:p w14:paraId="3B464589">
      <w:pPr>
        <w:pStyle w:val="49"/>
        <w:spacing w:line="240" w:lineRule="auto"/>
      </w:pPr>
      <w:r>
        <w:rPr>
          <w:rFonts w:hint="eastAsia"/>
        </w:rPr>
        <w:t>精原细胞瘤：好发于青年男性 [50]。常表现为巨大、质地均匀的前纵隔软组织肿块，轻度强化，可伴淋巴结转移 [51,52]。血清β-HCG可升高 [53]，而胸腺瘤无特异性肿瘤标志物 [54]。</w:t>
      </w:r>
    </w:p>
    <w:p w14:paraId="11E65E28">
      <w:pPr>
        <w:pStyle w:val="49"/>
        <w:spacing w:before="156" w:beforeLines="50" w:after="156" w:afterLines="50" w:line="240" w:lineRule="auto"/>
        <w:ind w:firstLine="0" w:firstLineChars="0"/>
        <w:rPr>
          <w:rFonts w:ascii="黑体" w:hAnsi="黑体" w:eastAsia="黑体"/>
        </w:rPr>
      </w:pPr>
      <w:r>
        <w:rPr>
          <w:rFonts w:ascii="黑体" w:hAnsi="黑体" w:eastAsia="黑体"/>
          <w:b w:val="0"/>
          <w:bCs w:val="0"/>
        </w:rPr>
        <w:t xml:space="preserve">7.4 </w:t>
      </w:r>
      <w:r>
        <w:rPr>
          <w:rFonts w:hint="eastAsia" w:ascii="黑体" w:hAnsi="黑体" w:eastAsia="黑体"/>
          <w:b w:val="0"/>
          <w:bCs w:val="0"/>
        </w:rPr>
        <w:t>淋巴瘤</w:t>
      </w:r>
    </w:p>
    <w:p w14:paraId="4DB6DFA6">
      <w:pPr>
        <w:pStyle w:val="49"/>
        <w:spacing w:line="240" w:lineRule="auto"/>
      </w:pPr>
      <w:r>
        <w:rPr>
          <w:rFonts w:hint="eastAsia"/>
        </w:rPr>
        <w:t>临床与影像要点：原发性纵隔大B细胞淋巴瘤或结节硬化型霍奇金淋巴瘤常见，好发于年轻女性 [55,56]。CT表现为前中纵隔巨大、分叶状肿块，常包绕血管生长（“血管漂浮征”），密度较均匀，轻中度强化，坏死钙化少见 [17,56]。常伴多区淋巴结肿大，有助于与胸腺瘤鉴别。PET/CT表现为病灶代谢活性显著增高 [7]。</w:t>
      </w:r>
    </w:p>
    <w:p w14:paraId="7BAEC934">
      <w:pPr>
        <w:pStyle w:val="49"/>
        <w:spacing w:before="156" w:beforeLines="50" w:after="156" w:afterLines="50" w:line="240" w:lineRule="auto"/>
        <w:ind w:firstLine="0" w:firstLineChars="0"/>
        <w:rPr>
          <w:rFonts w:ascii="黑体" w:hAnsi="黑体" w:eastAsia="黑体"/>
        </w:rPr>
      </w:pPr>
      <w:r>
        <w:rPr>
          <w:rFonts w:ascii="黑体" w:hAnsi="黑体" w:eastAsia="黑体"/>
          <w:b w:val="0"/>
          <w:bCs w:val="0"/>
        </w:rPr>
        <w:t xml:space="preserve">7.5 </w:t>
      </w:r>
      <w:r>
        <w:rPr>
          <w:rFonts w:hint="eastAsia" w:ascii="黑体" w:hAnsi="黑体" w:eastAsia="黑体"/>
          <w:b w:val="0"/>
          <w:bCs w:val="0"/>
        </w:rPr>
        <w:t>胸腺神经内分泌肿瘤</w:t>
      </w:r>
    </w:p>
    <w:p w14:paraId="7B69D14A">
      <w:pPr>
        <w:pStyle w:val="49"/>
        <w:spacing w:line="240" w:lineRule="auto"/>
        <w:ind w:firstLineChars="200"/>
      </w:pPr>
      <w:r>
        <w:rPr>
          <w:rFonts w:hint="eastAsia"/>
        </w:rPr>
        <w:t>临床与影像要点：罕见，约占胸腺上皮肿瘤的2%-5% [57,58]。常表现为侵袭性强的较大肿块，密度/信号不均，坏死常见 [59]。影像学上与侵袭性胸腺瘤或胸腺癌难以区分 [17]，但约半数患者伴库欣综合征或多发内分泌肿瘤综合征（MEN-1），具有重要提示意义 [60,61]。</w:t>
      </w:r>
    </w:p>
    <w:p w14:paraId="258EF866">
      <w:pPr>
        <w:pStyle w:val="49"/>
        <w:spacing w:before="156" w:beforeLines="50" w:after="156" w:afterLines="50" w:line="240" w:lineRule="auto"/>
        <w:ind w:firstLine="0" w:firstLineChars="0"/>
        <w:rPr>
          <w:rFonts w:ascii="黑体" w:hAnsi="黑体" w:eastAsia="黑体"/>
        </w:rPr>
      </w:pPr>
      <w:r>
        <w:rPr>
          <w:rFonts w:ascii="黑体" w:hAnsi="黑体" w:eastAsia="黑体"/>
          <w:b w:val="0"/>
          <w:bCs w:val="0"/>
        </w:rPr>
        <w:t xml:space="preserve">7.6 </w:t>
      </w:r>
      <w:r>
        <w:rPr>
          <w:rFonts w:hint="eastAsia" w:ascii="黑体" w:hAnsi="黑体" w:eastAsia="黑体"/>
          <w:b w:val="0"/>
          <w:bCs w:val="0"/>
        </w:rPr>
        <w:t>胸骨后甲状腺肿</w:t>
      </w:r>
    </w:p>
    <w:p w14:paraId="78DC25E9">
      <w:pPr>
        <w:pStyle w:val="49"/>
        <w:spacing w:line="240" w:lineRule="auto"/>
      </w:pPr>
      <w:r>
        <w:rPr>
          <w:rFonts w:hint="eastAsia"/>
        </w:rPr>
        <w:t>临床与影像要点：多与颈部甲状腺相连，可随吞咽移动 [62,63]。CT/MRI表现为前上纵隔肿块，其密度/信号及强化方式与甲状腺组织一致，内常见囊变、钙化 [10,64]。多推压而非侵犯周围结构。</w:t>
      </w:r>
    </w:p>
    <w:p w14:paraId="30A75913">
      <w:pPr>
        <w:pStyle w:val="49"/>
        <w:spacing w:before="156" w:beforeLines="50" w:after="156" w:afterLines="50" w:line="240" w:lineRule="auto"/>
        <w:ind w:firstLine="0" w:firstLineChars="0"/>
        <w:rPr>
          <w:rFonts w:ascii="黑体" w:hAnsi="黑体" w:eastAsia="黑体"/>
        </w:rPr>
      </w:pPr>
      <w:r>
        <w:rPr>
          <w:rFonts w:ascii="黑体" w:hAnsi="黑体" w:eastAsia="黑体"/>
          <w:b w:val="0"/>
          <w:bCs w:val="0"/>
        </w:rPr>
        <w:t xml:space="preserve">7.7 </w:t>
      </w:r>
      <w:r>
        <w:rPr>
          <w:rFonts w:hint="eastAsia" w:ascii="黑体" w:hAnsi="黑体" w:eastAsia="黑体"/>
          <w:b w:val="0"/>
          <w:bCs w:val="0"/>
        </w:rPr>
        <w:t>纵隔淋巴结转移瘤</w:t>
      </w:r>
    </w:p>
    <w:p w14:paraId="1F110A71">
      <w:pPr>
        <w:pStyle w:val="49"/>
        <w:spacing w:line="240" w:lineRule="auto"/>
      </w:pPr>
      <w:r>
        <w:rPr>
          <w:rFonts w:hint="eastAsia"/>
        </w:rPr>
        <w:t>临床与影像要点：患者常有肺癌、乳腺癌等原发肿瘤病史。影像表现为纵隔内多发肿大淋巴结，可融合成团，包埋血管（“冰冻纵隔”）[65]。增强后强化方式多样。发现胸外原发性是诊断关键 [65]。</w:t>
      </w:r>
    </w:p>
    <w:p w14:paraId="6BCA510A">
      <w:pPr>
        <w:pStyle w:val="49"/>
        <w:spacing w:before="312" w:beforeLines="100" w:after="312" w:afterLines="100" w:line="240" w:lineRule="auto"/>
        <w:ind w:firstLine="0" w:firstLineChars="0"/>
        <w:outlineLvl w:val="0"/>
        <w:rPr>
          <w:rFonts w:ascii="黑体" w:hAnsi="黑体" w:eastAsia="黑体"/>
          <w:b w:val="0"/>
          <w:bCs w:val="0"/>
          <w:sz w:val="21"/>
          <w:szCs w:val="21"/>
        </w:rPr>
      </w:pPr>
      <w:bookmarkStart w:id="12" w:name="_Toc226898521"/>
      <w:r>
        <w:rPr>
          <w:rFonts w:ascii="黑体" w:hAnsi="黑体" w:eastAsia="黑体"/>
          <w:b w:val="0"/>
          <w:bCs w:val="0"/>
          <w:sz w:val="21"/>
          <w:szCs w:val="21"/>
        </w:rPr>
        <w:t xml:space="preserve">8 </w:t>
      </w:r>
      <w:r>
        <w:rPr>
          <w:rFonts w:hint="eastAsia" w:ascii="黑体" w:hAnsi="黑体" w:eastAsia="黑体"/>
          <w:b w:val="0"/>
          <w:bCs w:val="0"/>
          <w:sz w:val="21"/>
          <w:szCs w:val="21"/>
        </w:rPr>
        <w:t>结构化报告内容要求</w:t>
      </w:r>
      <w:bookmarkEnd w:id="12"/>
    </w:p>
    <w:p w14:paraId="4B93CB1E">
      <w:pPr>
        <w:pStyle w:val="49"/>
        <w:spacing w:line="240" w:lineRule="auto"/>
        <w:ind w:firstLineChars="200"/>
      </w:pPr>
      <w:r>
        <w:rPr>
          <w:rFonts w:hint="eastAsia"/>
        </w:rPr>
        <w:t>胸腺瘤影像学诊断报告应采用结构化格式，建议包含但不限于以下核心部分：</w:t>
      </w:r>
    </w:p>
    <w:p w14:paraId="7FE419AF">
      <w:pPr>
        <w:pStyle w:val="49"/>
        <w:spacing w:line="240" w:lineRule="auto"/>
        <w:ind w:firstLineChars="200"/>
      </w:pPr>
      <w:r>
        <w:rPr>
          <w:rFonts w:hint="eastAsia"/>
        </w:rPr>
        <w:t>a) 检查信息：检查技术、对比剂使用情况。</w:t>
      </w:r>
    </w:p>
    <w:p w14:paraId="6CBA3BF8">
      <w:pPr>
        <w:pStyle w:val="49"/>
        <w:spacing w:line="240" w:lineRule="auto"/>
        <w:ind w:firstLineChars="200"/>
      </w:pPr>
      <w:r>
        <w:rPr>
          <w:rFonts w:hint="eastAsia"/>
        </w:rPr>
        <w:t>b) 影像学发现：</w:t>
      </w:r>
    </w:p>
    <w:p w14:paraId="3F9B7A6D">
      <w:pPr>
        <w:pStyle w:val="49"/>
        <w:spacing w:line="240" w:lineRule="auto"/>
        <w:ind w:firstLineChars="200"/>
      </w:pPr>
      <w:r>
        <w:rPr>
          <w:rFonts w:hint="eastAsia"/>
        </w:rPr>
        <w:t>肿瘤位置、大小、形态、边界。</w:t>
      </w:r>
    </w:p>
    <w:p w14:paraId="4AB47FA3">
      <w:pPr>
        <w:pStyle w:val="49"/>
        <w:spacing w:line="240" w:lineRule="auto"/>
        <w:ind w:firstLineChars="200"/>
      </w:pPr>
      <w:r>
        <w:rPr>
          <w:rFonts w:hint="eastAsia"/>
        </w:rPr>
        <w:t>密度/信号特征，内部有无囊变、坏死、钙化。</w:t>
      </w:r>
    </w:p>
    <w:p w14:paraId="09917A78">
      <w:pPr>
        <w:pStyle w:val="49"/>
        <w:spacing w:line="240" w:lineRule="auto"/>
        <w:ind w:firstLineChars="200"/>
      </w:pPr>
      <w:r>
        <w:rPr>
          <w:rFonts w:hint="eastAsia"/>
        </w:rPr>
        <w:t>增强后强化程度及模式。</w:t>
      </w:r>
    </w:p>
    <w:p w14:paraId="2D13F070">
      <w:pPr>
        <w:pStyle w:val="49"/>
        <w:spacing w:line="240" w:lineRule="auto"/>
        <w:ind w:firstLineChars="200"/>
      </w:pPr>
      <w:r>
        <w:rPr>
          <w:rFonts w:hint="eastAsia"/>
        </w:rPr>
        <w:t>与周围重要结构（大血管、心包、胸膜、肺）的关系。</w:t>
      </w:r>
    </w:p>
    <w:p w14:paraId="70FBBDEB">
      <w:pPr>
        <w:pStyle w:val="49"/>
        <w:spacing w:line="240" w:lineRule="auto"/>
        <w:ind w:firstLineChars="200"/>
      </w:pPr>
      <w:r>
        <w:rPr>
          <w:rFonts w:hint="eastAsia"/>
        </w:rPr>
        <w:t>有无胸膜/心包种植、积液，有无区域淋巴结及远处转移。</w:t>
      </w:r>
    </w:p>
    <w:p w14:paraId="04B1DA49">
      <w:pPr>
        <w:pStyle w:val="49"/>
        <w:spacing w:line="240" w:lineRule="auto"/>
        <w:ind w:firstLineChars="200"/>
      </w:pPr>
      <w:r>
        <w:rPr>
          <w:rFonts w:hint="eastAsia"/>
        </w:rPr>
        <w:t>若行PET/CT检查，应描述原发灶及可疑转移灶的代谢活性（SUVmax）。</w:t>
      </w:r>
    </w:p>
    <w:p w14:paraId="360FC403">
      <w:pPr>
        <w:pStyle w:val="49"/>
        <w:spacing w:line="240" w:lineRule="auto"/>
        <w:ind w:firstLineChars="200"/>
      </w:pPr>
      <w:r>
        <w:rPr>
          <w:rFonts w:hint="eastAsia"/>
        </w:rPr>
        <w:t>c) 影像学印象与分期：</w:t>
      </w:r>
    </w:p>
    <w:p w14:paraId="15DF885A">
      <w:pPr>
        <w:pStyle w:val="49"/>
        <w:spacing w:line="240" w:lineRule="auto"/>
        <w:ind w:firstLineChars="200"/>
      </w:pPr>
      <w:r>
        <w:rPr>
          <w:rFonts w:hint="eastAsia"/>
        </w:rPr>
        <w:t>良恶性及侵袭性倾向评估。</w:t>
      </w:r>
    </w:p>
    <w:p w14:paraId="3B7E8F55">
      <w:pPr>
        <w:pStyle w:val="49"/>
        <w:spacing w:line="240" w:lineRule="auto"/>
        <w:ind w:firstLineChars="200"/>
      </w:pPr>
      <w:r>
        <w:rPr>
          <w:rFonts w:hint="eastAsia"/>
        </w:rPr>
        <w:t>建议的WHO风险分层（低风险/高风险）。</w:t>
      </w:r>
    </w:p>
    <w:p w14:paraId="014D70EC">
      <w:pPr>
        <w:pStyle w:val="49"/>
        <w:spacing w:line="240" w:lineRule="auto"/>
        <w:ind w:firstLineChars="200"/>
      </w:pPr>
      <w:r>
        <w:rPr>
          <w:rFonts w:hint="eastAsia"/>
        </w:rPr>
        <w:t>评估的Masaoka-Koga分期和/或TNM分期（若适用）。</w:t>
      </w:r>
    </w:p>
    <w:p w14:paraId="12F1B453">
      <w:pPr>
        <w:pStyle w:val="49"/>
        <w:spacing w:line="240" w:lineRule="auto"/>
        <w:ind w:firstLineChars="200"/>
      </w:pPr>
      <w:r>
        <w:rPr>
          <w:rFonts w:hint="eastAsia"/>
        </w:rPr>
        <w:t>d) 鉴别诊断建议：列出需鉴别的1-2种主要疾病。</w:t>
      </w:r>
    </w:p>
    <w:p w14:paraId="5D9F9C88">
      <w:pPr>
        <w:pStyle w:val="49"/>
        <w:spacing w:line="240" w:lineRule="auto"/>
        <w:ind w:firstLineChars="200"/>
      </w:pPr>
      <w:r>
        <w:rPr>
          <w:rFonts w:hint="eastAsia"/>
        </w:rPr>
        <w:t>e) 建议：如需进一步行MRI、PET/CT检查或建议临床科室。</w:t>
      </w:r>
    </w:p>
    <w:p w14:paraId="4F450494">
      <w:pPr>
        <w:pStyle w:val="49"/>
        <w:spacing w:before="312" w:beforeLines="100" w:after="312" w:afterLines="100" w:line="240" w:lineRule="auto"/>
        <w:ind w:firstLine="0" w:firstLineChars="0"/>
        <w:outlineLvl w:val="0"/>
        <w:rPr>
          <w:rFonts w:ascii="黑体" w:hAnsi="黑体" w:eastAsia="黑体"/>
          <w:b w:val="0"/>
          <w:bCs w:val="0"/>
          <w:sz w:val="21"/>
          <w:szCs w:val="21"/>
        </w:rPr>
      </w:pPr>
      <w:bookmarkStart w:id="13" w:name="_Toc226898522"/>
      <w:r>
        <w:rPr>
          <w:rFonts w:ascii="黑体" w:hAnsi="黑体" w:eastAsia="黑体"/>
          <w:b w:val="0"/>
          <w:bCs w:val="0"/>
          <w:sz w:val="21"/>
          <w:szCs w:val="21"/>
        </w:rPr>
        <w:t xml:space="preserve">9 </w:t>
      </w:r>
      <w:r>
        <w:rPr>
          <w:rFonts w:hint="eastAsia" w:ascii="黑体" w:hAnsi="黑体" w:eastAsia="黑体"/>
          <w:b w:val="0"/>
          <w:bCs w:val="0"/>
          <w:sz w:val="21"/>
          <w:szCs w:val="21"/>
        </w:rPr>
        <w:t>质量控制与多学科协作</w:t>
      </w:r>
      <w:bookmarkEnd w:id="13"/>
    </w:p>
    <w:p w14:paraId="25CD8AF8">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 xml:space="preserve">9.1 </w:t>
      </w:r>
      <w:r>
        <w:rPr>
          <w:rFonts w:hint="eastAsia" w:ascii="黑体" w:hAnsi="黑体" w:eastAsia="黑体"/>
          <w:b w:val="0"/>
          <w:bCs w:val="0"/>
        </w:rPr>
        <w:t>影像检查质量控制</w:t>
      </w:r>
    </w:p>
    <w:p w14:paraId="59590078">
      <w:pPr>
        <w:pStyle w:val="49"/>
        <w:spacing w:line="240" w:lineRule="auto"/>
        <w:ind w:firstLineChars="200"/>
      </w:pPr>
      <w:r>
        <w:rPr>
          <w:rFonts w:hint="eastAsia"/>
        </w:rPr>
        <w:t>各医疗机构应建立并执行胸腺瘤CT、MRI检查的标准操作程序，定期进行设备校准与图像质量评估，确保影像数据的标准化与可比性。</w:t>
      </w:r>
    </w:p>
    <w:p w14:paraId="4673D429">
      <w:pPr>
        <w:pStyle w:val="49"/>
        <w:spacing w:before="156" w:beforeLines="50" w:after="156" w:afterLines="50" w:line="240" w:lineRule="auto"/>
        <w:ind w:firstLine="0" w:firstLineChars="0"/>
        <w:rPr>
          <w:rFonts w:ascii="黑体" w:hAnsi="黑体" w:eastAsia="黑体"/>
          <w:b w:val="0"/>
          <w:bCs w:val="0"/>
        </w:rPr>
      </w:pPr>
      <w:r>
        <w:rPr>
          <w:rFonts w:ascii="黑体" w:hAnsi="黑体" w:eastAsia="黑体"/>
          <w:b w:val="0"/>
          <w:bCs w:val="0"/>
        </w:rPr>
        <w:t xml:space="preserve">9.2 </w:t>
      </w:r>
      <w:r>
        <w:rPr>
          <w:rFonts w:hint="eastAsia" w:ascii="黑体" w:hAnsi="黑体" w:eastAsia="黑体"/>
          <w:b w:val="0"/>
          <w:bCs w:val="0"/>
        </w:rPr>
        <w:t>多学科协作</w:t>
      </w:r>
    </w:p>
    <w:p w14:paraId="649EF731">
      <w:pPr>
        <w:pStyle w:val="49"/>
        <w:spacing w:line="240" w:lineRule="auto"/>
        <w:ind w:firstLineChars="200"/>
      </w:pPr>
      <w:r>
        <w:rPr>
          <w:rFonts w:hint="eastAsia"/>
        </w:rPr>
        <w:t>胸腺瘤的诊断与治疗应遵循多学科协作模式。放射科医师应与胸外科、肿瘤科、病理科医师密切协作，参与术前讨论，确保影像分期与诊断信息准确用于制定个体化治疗方案。中国胸腺上皮肿瘤临床诊疗指南也强调了多学科诊疗的重要性 [66]。</w:t>
      </w:r>
    </w:p>
    <w:p w14:paraId="417E0BE3">
      <w:pPr>
        <w:rPr>
          <w:rFonts w:hint="eastAsia"/>
        </w:rPr>
      </w:pPr>
      <w:r>
        <w:rPr>
          <w:rFonts w:hint="eastAsia"/>
        </w:rPr>
        <w:br w:type="page"/>
      </w:r>
    </w:p>
    <w:bookmarkEnd w:id="4"/>
    <w:p w14:paraId="3DDEF266">
      <w:pPr>
        <w:jc w:val="center"/>
        <w:outlineLvl w:val="0"/>
        <w:rPr>
          <w:rFonts w:hint="eastAsia" w:ascii="Times New Roman" w:hAnsi="Times New Roman" w:eastAsia="黑体" w:cs="Times New Roman"/>
          <w:bCs/>
          <w:szCs w:val="21"/>
        </w:rPr>
      </w:pPr>
      <w:bookmarkStart w:id="14" w:name="_Toc226898523"/>
      <w:r>
        <w:rPr>
          <w:rFonts w:hint="eastAsia" w:ascii="Times New Roman" w:hAnsi="Times New Roman" w:eastAsia="黑体" w:cs="Times New Roman"/>
          <w:bCs/>
          <w:szCs w:val="21"/>
        </w:rPr>
        <w:t>附 录 A</w:t>
      </w:r>
      <w:bookmarkEnd w:id="14"/>
    </w:p>
    <w:p w14:paraId="1B9ACB53">
      <w:pPr>
        <w:jc w:val="center"/>
        <w:outlineLvl w:val="0"/>
        <w:rPr>
          <w:rFonts w:hint="eastAsia" w:ascii="Times New Roman" w:hAnsi="Times New Roman" w:eastAsia="黑体" w:cs="Times New Roman"/>
          <w:bCs/>
          <w:szCs w:val="21"/>
        </w:rPr>
      </w:pPr>
      <w:bookmarkStart w:id="15" w:name="_Toc226898524"/>
      <w:r>
        <w:rPr>
          <w:rFonts w:hint="eastAsia" w:ascii="Times New Roman" w:hAnsi="Times New Roman" w:eastAsia="黑体" w:cs="Times New Roman"/>
          <w:bCs/>
          <w:szCs w:val="21"/>
        </w:rPr>
        <w:t>（资料性）</w:t>
      </w:r>
      <w:bookmarkEnd w:id="15"/>
    </w:p>
    <w:p w14:paraId="1C76EA0C">
      <w:pPr>
        <w:spacing w:line="240" w:lineRule="auto"/>
        <w:ind w:firstLine="420" w:firstLineChars="200"/>
        <w:jc w:val="center"/>
        <w:outlineLvl w:val="0"/>
        <w:rPr>
          <w:rFonts w:hint="eastAsia" w:ascii="Times New Roman" w:hAnsi="Times New Roman" w:eastAsia="黑体" w:cs="Times New Roman"/>
          <w:bCs/>
          <w:szCs w:val="21"/>
        </w:rPr>
      </w:pPr>
      <w:bookmarkStart w:id="16" w:name="_Toc226898525"/>
      <w:r>
        <w:rPr>
          <w:rFonts w:hint="eastAsia" w:ascii="Times New Roman" w:hAnsi="Times New Roman" w:eastAsia="黑体" w:cs="Times New Roman"/>
          <w:bCs/>
          <w:szCs w:val="21"/>
        </w:rPr>
        <w:t>胸腺瘤影像学结构化报告要素</w:t>
      </w:r>
      <w:bookmarkEnd w:id="16"/>
    </w:p>
    <w:p w14:paraId="18FD9F5C">
      <w:pPr>
        <w:spacing w:before="312" w:beforeLines="100" w:after="312" w:afterLines="100" w:line="240" w:lineRule="auto"/>
        <w:rPr>
          <w:rFonts w:hint="eastAsia" w:ascii="Times New Roman" w:hAnsi="Times New Roman" w:eastAsia="黑体" w:cs="Times New Roman"/>
          <w:b w:val="0"/>
          <w:bCs/>
          <w:szCs w:val="21"/>
        </w:rPr>
      </w:pPr>
      <w:r>
        <w:rPr>
          <w:rFonts w:hint="eastAsia" w:ascii="Times New Roman" w:hAnsi="Times New Roman" w:eastAsia="黑体" w:cs="Times New Roman"/>
          <w:b w:val="0"/>
          <w:bCs/>
          <w:szCs w:val="21"/>
        </w:rPr>
        <w:t>A.1 总则</w:t>
      </w:r>
    </w:p>
    <w:p w14:paraId="54D74D75">
      <w:pPr>
        <w:spacing w:line="240" w:lineRule="auto"/>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本附录规定了胸腺瘤影像学结构化报告应包含的核心要素与建议描述框架</w:t>
      </w:r>
      <w:r>
        <w:rPr>
          <w:rFonts w:hint="eastAsia" w:ascii="Times New Roman" w:hAnsi="Times New Roman" w:eastAsia="宋体" w:cs="Times New Roman"/>
          <w:bCs/>
          <w:szCs w:val="21"/>
        </w:rPr>
        <w:t>，</w:t>
      </w:r>
      <w:r>
        <w:rPr>
          <w:rFonts w:hint="eastAsia" w:ascii="Times New Roman" w:hAnsi="Times New Roman" w:eastAsia="宋体" w:cs="Times New Roman"/>
          <w:bCs/>
          <w:szCs w:val="21"/>
        </w:rPr>
        <w:t>旨在规范报告内容、提升信息完整性与可比性。报告撰写应使用本文件第3章定义的规范术语。</w:t>
      </w:r>
    </w:p>
    <w:p w14:paraId="62C374D1">
      <w:pPr>
        <w:spacing w:before="312" w:beforeLines="100" w:after="312" w:afterLines="100" w:line="240" w:lineRule="auto"/>
        <w:rPr>
          <w:rFonts w:hint="eastAsia" w:ascii="Times New Roman" w:hAnsi="Times New Roman" w:eastAsia="黑体" w:cs="Times New Roman"/>
          <w:b w:val="0"/>
          <w:bCs/>
          <w:szCs w:val="21"/>
        </w:rPr>
      </w:pPr>
      <w:r>
        <w:rPr>
          <w:rFonts w:hint="eastAsia" w:ascii="Times New Roman" w:hAnsi="Times New Roman" w:eastAsia="黑体" w:cs="Times New Roman"/>
          <w:b w:val="0"/>
          <w:bCs/>
          <w:szCs w:val="21"/>
        </w:rPr>
        <w:t>A.2 报告核心要素与描述框架</w:t>
      </w:r>
    </w:p>
    <w:p w14:paraId="7F6564AB">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胸腺瘤影像学诊断报告宜系统性地描述以下要素：</w:t>
      </w:r>
    </w:p>
    <w:p w14:paraId="6FD3DFCA">
      <w:pPr>
        <w:numPr>
          <w:ilvl w:val="0"/>
          <w:numId w:val="0"/>
        </w:num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Cs/>
          <w:szCs w:val="21"/>
        </w:rPr>
        <w:t xml:space="preserve">1 </w:t>
      </w:r>
      <w:r>
        <w:rPr>
          <w:rFonts w:hint="eastAsia" w:ascii="黑体" w:hAnsi="黑体" w:eastAsia="黑体" w:cs="宋体"/>
          <w:b w:val="0"/>
          <w:bCs/>
          <w:szCs w:val="21"/>
        </w:rPr>
        <w:t>基本信息</w:t>
      </w:r>
    </w:p>
    <w:p w14:paraId="2E3D4956">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 w:val="0"/>
          <w:bCs/>
          <w:szCs w:val="21"/>
        </w:rPr>
        <w:t>患者标识：</w:t>
      </w:r>
      <w:r>
        <w:rPr>
          <w:rFonts w:hint="eastAsia" w:ascii="Times New Roman" w:hAnsi="Times New Roman" w:eastAsia="宋体" w:cs="Times New Roman"/>
          <w:bCs/>
          <w:szCs w:val="21"/>
        </w:rPr>
        <w:t>姓名、性别、年龄、病案号等。</w:t>
      </w:r>
    </w:p>
    <w:p w14:paraId="003332F3">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 w:val="0"/>
          <w:bCs/>
          <w:szCs w:val="21"/>
        </w:rPr>
        <w:t>临床背景：</w:t>
      </w:r>
      <w:r>
        <w:rPr>
          <w:rFonts w:hint="eastAsia" w:ascii="Times New Roman" w:hAnsi="Times New Roman" w:eastAsia="宋体" w:cs="Times New Roman"/>
          <w:bCs/>
          <w:szCs w:val="21"/>
        </w:rPr>
        <w:t>检查目的（如初诊、分期、随访）、相关症状（如重症肌无力）、既往治疗史。</w:t>
      </w:r>
    </w:p>
    <w:p w14:paraId="47364B6D">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 w:val="0"/>
          <w:bCs/>
          <w:szCs w:val="21"/>
        </w:rPr>
        <w:t>检查技术：</w:t>
      </w:r>
      <w:r>
        <w:rPr>
          <w:rFonts w:hint="eastAsia" w:ascii="Times New Roman" w:hAnsi="Times New Roman" w:eastAsia="宋体" w:cs="Times New Roman"/>
          <w:bCs/>
          <w:szCs w:val="21"/>
        </w:rPr>
        <w:t>设备类型（CT、MRI等）、扫描序列（平扫、增强）、对比剂使用情况、图像质量评价。PET/CT（如适用）：示踪剂种类、注射剂量、SUVmax测量值。</w:t>
      </w:r>
    </w:p>
    <w:p w14:paraId="08F86274">
      <w:p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 w:val="0"/>
          <w:bCs/>
          <w:szCs w:val="21"/>
        </w:rPr>
        <w:t>2 影像学表现</w:t>
      </w:r>
    </w:p>
    <w:p w14:paraId="3BE5B370">
      <w:p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 w:val="0"/>
          <w:bCs/>
          <w:szCs w:val="21"/>
        </w:rPr>
        <w:t>2.1 原发肿瘤特征</w:t>
      </w:r>
    </w:p>
    <w:p w14:paraId="7621AB79">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 w:val="0"/>
          <w:bCs/>
          <w:szCs w:val="21"/>
        </w:rPr>
        <w:t>定位：</w:t>
      </w:r>
      <w:r>
        <w:rPr>
          <w:rFonts w:hint="eastAsia" w:ascii="Times New Roman" w:hAnsi="Times New Roman" w:eastAsia="宋体" w:cs="Times New Roman"/>
          <w:bCs/>
          <w:szCs w:val="21"/>
        </w:rPr>
        <w:t>明确描述肿瘤位于前纵隔胸腺区或具体异常位置。</w:t>
      </w:r>
    </w:p>
    <w:p w14:paraId="04BC2E5B">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 w:val="0"/>
          <w:bCs/>
          <w:szCs w:val="21"/>
        </w:rPr>
        <w:t>大小：</w:t>
      </w:r>
      <w:r>
        <w:rPr>
          <w:rFonts w:hint="eastAsia" w:ascii="Times New Roman" w:hAnsi="Times New Roman" w:eastAsia="宋体" w:cs="Times New Roman"/>
          <w:bCs/>
          <w:szCs w:val="21"/>
        </w:rPr>
        <w:t>记录三维径线及最大径，宜注明测量层面。</w:t>
      </w:r>
    </w:p>
    <w:p w14:paraId="424B1407">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 w:val="0"/>
          <w:bCs/>
          <w:szCs w:val="21"/>
        </w:rPr>
        <w:t>形态与边界：</w:t>
      </w:r>
      <w:r>
        <w:rPr>
          <w:rFonts w:hint="eastAsia" w:ascii="Times New Roman" w:hAnsi="Times New Roman" w:eastAsia="宋体" w:cs="Times New Roman"/>
          <w:bCs/>
          <w:szCs w:val="21"/>
        </w:rPr>
        <w:t>描述形态（如类圆形、分叶状、不规则形）及边界（清晰、模糊）。</w:t>
      </w:r>
    </w:p>
    <w:p w14:paraId="554C2882">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 w:val="0"/>
          <w:bCs/>
          <w:szCs w:val="21"/>
        </w:rPr>
        <w:t>密度/信号与均匀性：</w:t>
      </w:r>
      <w:r>
        <w:rPr>
          <w:rFonts w:hint="eastAsia" w:ascii="Times New Roman" w:hAnsi="Times New Roman" w:eastAsia="宋体" w:cs="Times New Roman"/>
          <w:bCs/>
          <w:szCs w:val="21"/>
        </w:rPr>
        <w:t>描述CT密度或MRI信号特点，评估均匀性，并注明有无囊变、坏死、钙化、出血等。</w:t>
      </w:r>
    </w:p>
    <w:p w14:paraId="65BAE681">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 w:val="0"/>
          <w:bCs/>
          <w:szCs w:val="21"/>
        </w:rPr>
        <w:t>强化特征：</w:t>
      </w:r>
      <w:r>
        <w:rPr>
          <w:rFonts w:hint="eastAsia" w:ascii="Times New Roman" w:hAnsi="Times New Roman" w:eastAsia="宋体" w:cs="Times New Roman"/>
          <w:bCs/>
          <w:szCs w:val="21"/>
        </w:rPr>
        <w:t>描述强化程度（轻、中、重度）与模式（均匀、不均匀）。</w:t>
      </w:r>
    </w:p>
    <w:p w14:paraId="4E29D68D">
      <w:p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 w:val="0"/>
          <w:bCs/>
          <w:szCs w:val="21"/>
        </w:rPr>
        <w:t>2.2 局部侵犯评估（对</w:t>
      </w:r>
      <w:r>
        <w:rPr>
          <w:rFonts w:hint="eastAsia" w:ascii="Times New Roman" w:hAnsi="Times New Roman" w:eastAsia="黑体" w:cs="Times New Roman"/>
          <w:b w:val="0"/>
          <w:bCs/>
          <w:szCs w:val="21"/>
        </w:rPr>
        <w:t>应T分</w:t>
      </w:r>
      <w:r>
        <w:rPr>
          <w:rFonts w:hint="eastAsia" w:ascii="黑体" w:hAnsi="黑体" w:eastAsia="黑体" w:cs="宋体"/>
          <w:b w:val="0"/>
          <w:bCs/>
          <w:szCs w:val="21"/>
        </w:rPr>
        <w:t>期）</w:t>
      </w:r>
    </w:p>
    <w:p w14:paraId="3618CA72">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系统评估肿瘤与周围关键结构的关系，描述是否存在侵犯征象：</w:t>
      </w:r>
    </w:p>
    <w:p w14:paraId="701B4E7A">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纵隔脂肪间隙。</w:t>
      </w:r>
    </w:p>
    <w:p w14:paraId="629EA112">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心包。</w:t>
      </w:r>
    </w:p>
    <w:p w14:paraId="7A960807">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肺组织。</w:t>
      </w:r>
    </w:p>
    <w:p w14:paraId="68BEE23C">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大血管（如主动脉、上腔静脉、肺动脉）。</w:t>
      </w:r>
    </w:p>
    <w:p w14:paraId="7DFA1500">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胸膜、膈神经、胸壁、气管、食管等。</w:t>
      </w:r>
    </w:p>
    <w:p w14:paraId="7E048ED7">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基于评估结果，提出影像学的T分期意见（T1-T4）。</w:t>
      </w:r>
    </w:p>
    <w:p w14:paraId="0FE8D967">
      <w:p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 w:val="0"/>
          <w:bCs/>
          <w:szCs w:val="21"/>
        </w:rPr>
        <w:t>2.3 淋巴结评估（对</w:t>
      </w:r>
      <w:r>
        <w:rPr>
          <w:rFonts w:hint="eastAsia" w:ascii="Times New Roman" w:hAnsi="Times New Roman" w:eastAsia="黑体" w:cs="Times New Roman"/>
          <w:b w:val="0"/>
          <w:bCs/>
          <w:szCs w:val="21"/>
        </w:rPr>
        <w:t>应N分</w:t>
      </w:r>
      <w:r>
        <w:rPr>
          <w:rFonts w:hint="eastAsia" w:ascii="黑体" w:hAnsi="黑体" w:eastAsia="黑体" w:cs="宋体"/>
          <w:b w:val="0"/>
          <w:bCs/>
          <w:szCs w:val="21"/>
        </w:rPr>
        <w:t>期）</w:t>
      </w:r>
    </w:p>
    <w:p w14:paraId="72E8EB4E">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评估区域淋巴结情况。如有肿大淋巴结，应描述其位置（参照ITMIG/IASLC淋巴结图谱）、大小、数目。</w:t>
      </w:r>
    </w:p>
    <w:p w14:paraId="6C97F396">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提出影像学的N分期意见（N0, N1, N2）。</w:t>
      </w:r>
    </w:p>
    <w:p w14:paraId="1C68C332">
      <w:p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 w:val="0"/>
          <w:bCs/>
          <w:szCs w:val="21"/>
        </w:rPr>
        <w:t>2.4 远处转移评估（对</w:t>
      </w:r>
      <w:r>
        <w:rPr>
          <w:rFonts w:hint="eastAsia" w:ascii="Times New Roman" w:hAnsi="Times New Roman" w:eastAsia="黑体" w:cs="Times New Roman"/>
          <w:b w:val="0"/>
          <w:bCs/>
          <w:szCs w:val="21"/>
        </w:rPr>
        <w:t>应M</w:t>
      </w:r>
      <w:r>
        <w:rPr>
          <w:rFonts w:hint="eastAsia" w:ascii="黑体" w:hAnsi="黑体" w:eastAsia="黑体" w:cs="宋体"/>
          <w:b w:val="0"/>
          <w:bCs/>
          <w:szCs w:val="21"/>
        </w:rPr>
        <w:t>分期）</w:t>
      </w:r>
    </w:p>
    <w:p w14:paraId="7A1518D2">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评估胸膜、心包有无种植结节或积液。</w:t>
      </w:r>
    </w:p>
    <w:p w14:paraId="16663152">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评估有无肺内转移或胸腔外远处转移。</w:t>
      </w:r>
    </w:p>
    <w:p w14:paraId="697EC22C">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提出影像学的M分期意见（M0, M1a, M1b）。</w:t>
      </w:r>
    </w:p>
    <w:p w14:paraId="3EEBF258">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PET/CT代谢显像（如有）：描述转移灶的分布范围及代谢活性。</w:t>
      </w:r>
    </w:p>
    <w:p w14:paraId="7CBCE412">
      <w:p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 w:val="0"/>
          <w:bCs/>
          <w:szCs w:val="21"/>
        </w:rPr>
        <w:t>3 影像学诊断与分期结论</w:t>
      </w:r>
    </w:p>
    <w:p w14:paraId="7D4A9D9A">
      <w:p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 w:val="0"/>
          <w:bCs/>
          <w:szCs w:val="21"/>
        </w:rPr>
        <w:t>3.1 影像诊断印象</w:t>
      </w:r>
    </w:p>
    <w:p w14:paraId="75867907">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对病变性质进行诊断，并可根据影像特征提示其可能的WHO风险分层（低风险型或高风险型/胸腺癌）。</w:t>
      </w:r>
    </w:p>
    <w:p w14:paraId="73EBB413">
      <w:p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 w:val="0"/>
          <w:bCs/>
          <w:szCs w:val="21"/>
        </w:rPr>
        <w:t>3.2 分期结论</w:t>
      </w:r>
    </w:p>
    <w:p w14:paraId="42DDF05D">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明确给出基于第9版TNM分期系统的综合TNM分期（T_N_M_）及分期组（I期, II期, IIIA期, IIIB期, IVA期, IVB期）。</w:t>
      </w:r>
    </w:p>
    <w:p w14:paraId="59D85786">
      <w:pPr>
        <w:spacing w:before="156" w:beforeLines="50" w:after="156" w:afterLines="50" w:line="240" w:lineRule="auto"/>
        <w:rPr>
          <w:rFonts w:hint="eastAsia" w:ascii="黑体" w:hAnsi="黑体" w:eastAsia="黑体" w:cs="宋体"/>
          <w:b w:val="0"/>
          <w:bCs/>
          <w:szCs w:val="21"/>
        </w:rPr>
      </w:pPr>
      <w:r>
        <w:rPr>
          <w:rFonts w:hint="eastAsia" w:ascii="黑体" w:hAnsi="黑体" w:eastAsia="黑体" w:cs="宋体"/>
          <w:b w:val="0"/>
          <w:bCs/>
          <w:szCs w:val="21"/>
        </w:rPr>
        <w:t>3.3 建议</w:t>
      </w:r>
    </w:p>
    <w:p w14:paraId="575AEC23">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根据影像学发现，提出明确的后续诊疗建议，如进一步检查（MRI、活检）、多学科会诊、手术治疗或定期随访等。</w:t>
      </w:r>
    </w:p>
    <w:p w14:paraId="5621D813">
      <w:pPr>
        <w:spacing w:before="312" w:beforeLines="100" w:after="312" w:afterLines="100" w:line="240" w:lineRule="auto"/>
        <w:rPr>
          <w:rFonts w:hint="eastAsia" w:ascii="Times New Roman" w:hAnsi="Times New Roman" w:eastAsia="黑体" w:cs="Times New Roman"/>
          <w:b w:val="0"/>
          <w:bCs/>
          <w:szCs w:val="21"/>
        </w:rPr>
      </w:pPr>
      <w:r>
        <w:rPr>
          <w:rFonts w:hint="eastAsia" w:ascii="Times New Roman" w:hAnsi="Times New Roman" w:eastAsia="黑体" w:cs="Times New Roman"/>
          <w:b w:val="0"/>
          <w:bCs/>
          <w:szCs w:val="21"/>
        </w:rPr>
        <w:t>A.3 要素使用说明</w:t>
      </w:r>
    </w:p>
    <w:p w14:paraId="6B6B372D">
      <w:pPr>
        <w:spacing w:line="240" w:lineRule="auto"/>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在实际撰写报告时，宜按照A.2所列要素的顺序与框架进行系统性描述。描述应客观、准确，关键阳性与阴性发现均应提及，以确保报告支持临床决策的全面性与可靠性。</w:t>
      </w:r>
    </w:p>
    <w:p w14:paraId="0B30B73B">
      <w:pPr>
        <w:spacing w:before="312" w:beforeLines="100" w:after="156" w:afterLines="50"/>
        <w:jc w:val="center"/>
        <w:outlineLvl w:val="0"/>
        <w:rPr>
          <w:rFonts w:ascii="黑体" w:hAnsi="黑体" w:eastAsia="黑体" w:cs="Segoe UI"/>
          <w:bCs/>
          <w:color w:val="0F1115"/>
        </w:rPr>
      </w:pPr>
      <w:r>
        <w:rPr>
          <w:rFonts w:hint="eastAsia" w:ascii="宋体" w:hAnsi="宋体" w:eastAsia="宋体" w:cs="宋体"/>
          <w:bCs/>
          <w:szCs w:val="21"/>
        </w:rPr>
        <w:br w:type="page"/>
      </w:r>
      <w:bookmarkStart w:id="17" w:name="_Toc226898526"/>
      <w:r>
        <w:rPr>
          <w:rStyle w:val="16"/>
          <w:rFonts w:hint="eastAsia" w:ascii="黑体" w:hAnsi="黑体" w:eastAsia="黑体" w:cs="Segoe UI"/>
          <w:b w:val="0"/>
          <w:bCs/>
          <w:color w:val="0F1115"/>
          <w:shd w:val="clear" w:color="auto" w:fill="FFFFFF"/>
        </w:rPr>
        <w:t>参</w:t>
      </w:r>
      <w:r>
        <w:rPr>
          <w:rStyle w:val="16"/>
          <w:rFonts w:ascii="黑体" w:hAnsi="黑体" w:eastAsia="黑体" w:cs="Segoe UI"/>
          <w:b w:val="0"/>
          <w:bCs/>
          <w:color w:val="0F1115"/>
          <w:shd w:val="clear" w:color="auto" w:fill="FFFFFF"/>
        </w:rPr>
        <w:t xml:space="preserve">  </w:t>
      </w:r>
      <w:r>
        <w:rPr>
          <w:rStyle w:val="16"/>
          <w:rFonts w:hint="eastAsia" w:ascii="黑体" w:hAnsi="黑体" w:eastAsia="黑体" w:cs="Segoe UI"/>
          <w:b w:val="0"/>
          <w:bCs/>
          <w:color w:val="0F1115"/>
          <w:shd w:val="clear" w:color="auto" w:fill="FFFFFF"/>
        </w:rPr>
        <w:t>考</w:t>
      </w:r>
      <w:r>
        <w:rPr>
          <w:rStyle w:val="16"/>
          <w:rFonts w:ascii="黑体" w:hAnsi="黑体" w:eastAsia="黑体" w:cs="Segoe UI"/>
          <w:b w:val="0"/>
          <w:bCs/>
          <w:color w:val="0F1115"/>
          <w:shd w:val="clear" w:color="auto" w:fill="FFFFFF"/>
        </w:rPr>
        <w:t xml:space="preserve">  </w:t>
      </w:r>
      <w:r>
        <w:rPr>
          <w:rStyle w:val="16"/>
          <w:rFonts w:hint="eastAsia" w:ascii="黑体" w:hAnsi="黑体" w:eastAsia="黑体" w:cs="Segoe UI"/>
          <w:b w:val="0"/>
          <w:bCs/>
          <w:color w:val="0F1115"/>
          <w:shd w:val="clear" w:color="auto" w:fill="FFFFFF"/>
        </w:rPr>
        <w:t>文</w:t>
      </w:r>
      <w:r>
        <w:rPr>
          <w:rStyle w:val="16"/>
          <w:rFonts w:ascii="黑体" w:hAnsi="黑体" w:eastAsia="黑体" w:cs="Segoe UI"/>
          <w:b w:val="0"/>
          <w:bCs/>
          <w:color w:val="0F1115"/>
          <w:shd w:val="clear" w:color="auto" w:fill="FFFFFF"/>
        </w:rPr>
        <w:t xml:space="preserve">  </w:t>
      </w:r>
      <w:r>
        <w:rPr>
          <w:rStyle w:val="16"/>
          <w:rFonts w:hint="eastAsia" w:ascii="黑体" w:hAnsi="黑体" w:eastAsia="黑体" w:cs="Segoe UI"/>
          <w:b w:val="0"/>
          <w:bCs/>
          <w:color w:val="0F1115"/>
          <w:shd w:val="clear" w:color="auto" w:fill="FFFFFF"/>
        </w:rPr>
        <w:t>献</w:t>
      </w:r>
      <w:bookmarkEnd w:id="17"/>
    </w:p>
    <w:p w14:paraId="66F20BE7">
      <w:pPr>
        <w:rPr>
          <w:rFonts w:ascii="Times New Roman" w:hAnsi="Times New Roman" w:eastAsia="宋体" w:cs="Times New Roman"/>
        </w:rPr>
      </w:pPr>
      <w:r>
        <w:rPr>
          <w:rFonts w:ascii="Times New Roman" w:hAnsi="Times New Roman" w:eastAsia="宋体" w:cs="Times New Roman"/>
        </w:rPr>
        <w:t xml:space="preserve">[1] Detterbeck FC, Nicholson AG, Kondo K, et al. The Masaoka-Koga stage classification for thymic malignancies: clarification and definition of terms. J Thorac Oncol. 2011;6(7 Suppl 3):S1710-S1716.  </w:t>
      </w:r>
    </w:p>
    <w:p w14:paraId="6EBF82F8">
      <w:pPr>
        <w:rPr>
          <w:rFonts w:ascii="Times New Roman" w:hAnsi="Times New Roman" w:eastAsia="宋体" w:cs="Times New Roman"/>
        </w:rPr>
      </w:pPr>
      <w:r>
        <w:rPr>
          <w:rFonts w:ascii="Times New Roman" w:hAnsi="Times New Roman" w:eastAsia="宋体" w:cs="Times New Roman"/>
        </w:rPr>
        <w:t xml:space="preserve">[2] 中华医学会放射技术分会传染病影像技术专业委员会结核学组, 中华医学会结核病学分会影像专业委员会. 胸部CT扫描规范化专家共识. 中国医疗设备. 2020;35(2):185-189.  </w:t>
      </w:r>
    </w:p>
    <w:p w14:paraId="44104D12">
      <w:pPr>
        <w:rPr>
          <w:rFonts w:ascii="Times New Roman" w:hAnsi="Times New Roman" w:eastAsia="宋体" w:cs="Times New Roman"/>
        </w:rPr>
      </w:pPr>
      <w:r>
        <w:rPr>
          <w:rFonts w:ascii="Times New Roman" w:hAnsi="Times New Roman" w:eastAsia="宋体" w:cs="Times New Roman"/>
        </w:rPr>
        <w:t>[3] Klug M, Strange CD, Truong MT, et al. Thymic Imaging Pitfalls and Strategies for Optimized Diagnosis. Radiographics. 2024</w:t>
      </w:r>
      <w:r>
        <w:rPr>
          <w:rFonts w:hint="eastAsia" w:ascii="Times New Roman" w:hAnsi="Times New Roman" w:eastAsia="宋体" w:cs="Times New Roman"/>
        </w:rPr>
        <w:t>,</w:t>
      </w:r>
      <w:r>
        <w:rPr>
          <w:rFonts w:ascii="Times New Roman" w:hAnsi="Times New Roman" w:eastAsia="宋体" w:cs="Times New Roman"/>
        </w:rPr>
        <w:t xml:space="preserve">44(5):e230091.  </w:t>
      </w:r>
    </w:p>
    <w:p w14:paraId="40697173">
      <w:pPr>
        <w:rPr>
          <w:rFonts w:ascii="Times New Roman" w:hAnsi="Times New Roman" w:eastAsia="宋体" w:cs="Times New Roman"/>
        </w:rPr>
      </w:pPr>
      <w:r>
        <w:rPr>
          <w:rFonts w:ascii="Times New Roman" w:hAnsi="Times New Roman" w:eastAsia="宋体" w:cs="Times New Roman"/>
        </w:rPr>
        <w:t>[4] 中国抗癌协会肿瘤影像专业委员会, 夏黎明. 肿瘤患者CT增强扫描安全管理专家共识. 放射学实践. 2017</w:t>
      </w:r>
      <w:r>
        <w:rPr>
          <w:rFonts w:hint="eastAsia" w:ascii="Times New Roman" w:hAnsi="Times New Roman" w:eastAsia="宋体" w:cs="Times New Roman"/>
        </w:rPr>
        <w:t>,</w:t>
      </w:r>
      <w:r>
        <w:rPr>
          <w:rFonts w:ascii="Times New Roman" w:hAnsi="Times New Roman" w:eastAsia="宋体" w:cs="Times New Roman"/>
        </w:rPr>
        <w:t>32(6):550-555.</w:t>
      </w:r>
    </w:p>
    <w:p w14:paraId="28320E50">
      <w:pPr>
        <w:rPr>
          <w:rFonts w:ascii="Times New Roman" w:hAnsi="Times New Roman" w:eastAsia="宋体" w:cs="Times New Roman"/>
        </w:rPr>
      </w:pPr>
      <w:r>
        <w:rPr>
          <w:rFonts w:ascii="Times New Roman" w:hAnsi="Times New Roman" w:eastAsia="宋体" w:cs="Times New Roman"/>
        </w:rPr>
        <w:t>[5] Marom EM. Advances in thymoma imaging. J Thorac Imaging. 2013</w:t>
      </w:r>
      <w:r>
        <w:rPr>
          <w:rFonts w:hint="eastAsia" w:ascii="Times New Roman" w:hAnsi="Times New Roman" w:eastAsia="宋体" w:cs="Times New Roman"/>
        </w:rPr>
        <w:t>,</w:t>
      </w:r>
      <w:r>
        <w:rPr>
          <w:rFonts w:ascii="Times New Roman" w:hAnsi="Times New Roman" w:eastAsia="宋体" w:cs="Times New Roman"/>
        </w:rPr>
        <w:t>28(2):69-80.</w:t>
      </w:r>
    </w:p>
    <w:p w14:paraId="235BDC1F">
      <w:pPr>
        <w:rPr>
          <w:rFonts w:ascii="Times New Roman" w:hAnsi="Times New Roman" w:eastAsia="宋体" w:cs="Times New Roman"/>
        </w:rPr>
      </w:pPr>
      <w:r>
        <w:rPr>
          <w:rFonts w:ascii="Times New Roman" w:hAnsi="Times New Roman" w:eastAsia="宋体" w:cs="Times New Roman"/>
        </w:rPr>
        <w:t>[6] 中华医学会放射学分会青年学组, 中华医学会放射学分会心胸学组, 中华医学会放射学分会磁共振学组. 肺部MRI检查和评估专家共识. 中华放射学杂志. 2025</w:t>
      </w:r>
      <w:r>
        <w:rPr>
          <w:rFonts w:hint="eastAsia" w:ascii="Times New Roman" w:hAnsi="Times New Roman" w:eastAsia="宋体" w:cs="Times New Roman"/>
        </w:rPr>
        <w:t>,</w:t>
      </w:r>
      <w:r>
        <w:rPr>
          <w:rFonts w:ascii="Times New Roman" w:hAnsi="Times New Roman" w:eastAsia="宋体" w:cs="Times New Roman"/>
        </w:rPr>
        <w:t>59(6):625-634.</w:t>
      </w:r>
    </w:p>
    <w:p w14:paraId="16184890">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7</w:t>
      </w:r>
      <w:r>
        <w:rPr>
          <w:rFonts w:ascii="Times New Roman" w:hAnsi="Times New Roman" w:eastAsia="宋体" w:cs="Times New Roman"/>
        </w:rPr>
        <w:t>] Lococo F, Chiappetta M, Triumbari EKA, et al. Current Roles of PET/CT in Thymic Epithelial Tumours: Which Evidences and Which Prospects? A Pictorial Review. Cancers (Basel). 2021</w:t>
      </w:r>
      <w:r>
        <w:rPr>
          <w:rFonts w:hint="eastAsia" w:ascii="Times New Roman" w:hAnsi="Times New Roman" w:eastAsia="宋体" w:cs="Times New Roman"/>
        </w:rPr>
        <w:t>,</w:t>
      </w:r>
      <w:r>
        <w:rPr>
          <w:rFonts w:ascii="Times New Roman" w:hAnsi="Times New Roman" w:eastAsia="宋体" w:cs="Times New Roman"/>
        </w:rPr>
        <w:t>13(23):6091.</w:t>
      </w:r>
    </w:p>
    <w:p w14:paraId="3CA471BD">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8</w:t>
      </w:r>
      <w:r>
        <w:rPr>
          <w:rFonts w:ascii="Times New Roman" w:hAnsi="Times New Roman" w:eastAsia="宋体" w:cs="Times New Roman"/>
        </w:rPr>
        <w:t>] Gao J, Wang SY, Ao YQ, et al. Clinical significance of positron emission tomography-computed tomography in the classification of thymic tumors. Interdiscip Cardiovasc Thorac Surg. 2025;40(3):ivaf065.</w:t>
      </w:r>
    </w:p>
    <w:p w14:paraId="0BAC26B2">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9</w:t>
      </w:r>
      <w:r>
        <w:rPr>
          <w:rFonts w:ascii="Times New Roman" w:hAnsi="Times New Roman" w:eastAsia="宋体" w:cs="Times New Roman"/>
        </w:rPr>
        <w:t>] PET/CT肺癌检查操作和应用：T/CSBME 041-2021[S]. 2021.</w:t>
      </w:r>
    </w:p>
    <w:p w14:paraId="665535A1">
      <w:pPr>
        <w:rPr>
          <w:rFonts w:ascii="Times New Roman" w:hAnsi="Times New Roman" w:eastAsia="宋体" w:cs="Times New Roman"/>
          <w:lang w:val="fr-FR"/>
        </w:rPr>
      </w:pPr>
      <w:r>
        <w:rPr>
          <w:rFonts w:ascii="Times New Roman" w:hAnsi="Times New Roman" w:eastAsia="宋体" w:cs="Times New Roman"/>
        </w:rPr>
        <w:t>[</w:t>
      </w:r>
      <w:r>
        <w:rPr>
          <w:rFonts w:hint="eastAsia" w:ascii="Times New Roman" w:hAnsi="Times New Roman" w:eastAsia="宋体" w:cs="Times New Roman"/>
        </w:rPr>
        <w:t>10</w:t>
      </w:r>
      <w:r>
        <w:rPr>
          <w:rFonts w:ascii="Times New Roman" w:hAnsi="Times New Roman" w:eastAsia="宋体" w:cs="Times New Roman"/>
        </w:rPr>
        <w:t xml:space="preserve">] Carter BW, Benveniste MF, Madan R, et al. ITMIG Classification of Mediastinal Compartments and Multidisciplinary Approach to Mediastinal Masses. </w:t>
      </w:r>
      <w:r>
        <w:rPr>
          <w:rFonts w:ascii="Times New Roman" w:hAnsi="Times New Roman" w:eastAsia="宋体" w:cs="Times New Roman"/>
          <w:lang w:val="fr-FR"/>
        </w:rPr>
        <w:t>Radiographics. 2017;37(2):413-436.</w:t>
      </w:r>
    </w:p>
    <w:p w14:paraId="6DF75FD1">
      <w:pPr>
        <w:rPr>
          <w:rFonts w:ascii="Times New Roman" w:hAnsi="Times New Roman" w:eastAsia="宋体" w:cs="Times New Roman"/>
          <w:lang w:val="fr-FR"/>
        </w:rPr>
      </w:pPr>
      <w:r>
        <w:rPr>
          <w:rFonts w:ascii="Times New Roman" w:hAnsi="Times New Roman" w:eastAsia="宋体" w:cs="Times New Roman"/>
          <w:lang w:val="fr-FR"/>
        </w:rPr>
        <w:t>[</w:t>
      </w:r>
      <w:r>
        <w:rPr>
          <w:rFonts w:hint="eastAsia" w:ascii="Times New Roman" w:hAnsi="Times New Roman" w:eastAsia="宋体" w:cs="Times New Roman"/>
          <w:lang w:val="fr-FR"/>
        </w:rPr>
        <w:t>11</w:t>
      </w:r>
      <w:r>
        <w:rPr>
          <w:rFonts w:ascii="Times New Roman" w:hAnsi="Times New Roman" w:eastAsia="宋体" w:cs="Times New Roman"/>
          <w:lang w:val="fr-FR"/>
        </w:rPr>
        <w:t xml:space="preserve">] Sadohara J, Fujimoto K, Müller NL, et al. </w:t>
      </w:r>
      <w:r>
        <w:rPr>
          <w:rFonts w:ascii="Times New Roman" w:hAnsi="Times New Roman" w:eastAsia="宋体" w:cs="Times New Roman"/>
        </w:rPr>
        <w:t xml:space="preserve">Thymic epithelial tumors: comparison of CT and MR imaging findings of low-risk thymomas, high-risk thymomas, and thymic carcinomas. </w:t>
      </w:r>
      <w:r>
        <w:rPr>
          <w:rFonts w:ascii="Times New Roman" w:hAnsi="Times New Roman" w:eastAsia="宋体" w:cs="Times New Roman"/>
          <w:lang w:val="fr-FR"/>
        </w:rPr>
        <w:t>Eur J Radiol. 2006</w:t>
      </w:r>
      <w:r>
        <w:rPr>
          <w:rFonts w:hint="eastAsia" w:ascii="Times New Roman" w:hAnsi="Times New Roman" w:eastAsia="宋体" w:cs="Times New Roman"/>
          <w:lang w:val="fr-FR"/>
        </w:rPr>
        <w:t>,</w:t>
      </w:r>
      <w:r>
        <w:rPr>
          <w:rFonts w:ascii="Times New Roman" w:hAnsi="Times New Roman" w:eastAsia="宋体" w:cs="Times New Roman"/>
          <w:lang w:val="fr-FR"/>
        </w:rPr>
        <w:t>60(1):70-79.</w:t>
      </w:r>
    </w:p>
    <w:p w14:paraId="4623B835">
      <w:pPr>
        <w:rPr>
          <w:rFonts w:ascii="Times New Roman" w:hAnsi="Times New Roman" w:eastAsia="宋体" w:cs="Times New Roman"/>
        </w:rPr>
      </w:pPr>
      <w:r>
        <w:rPr>
          <w:rFonts w:ascii="Times New Roman" w:hAnsi="Times New Roman" w:eastAsia="宋体" w:cs="Times New Roman"/>
          <w:lang w:val="fr-FR"/>
        </w:rPr>
        <w:t>[</w:t>
      </w:r>
      <w:r>
        <w:rPr>
          <w:rFonts w:hint="eastAsia" w:ascii="Times New Roman" w:hAnsi="Times New Roman" w:eastAsia="宋体" w:cs="Times New Roman"/>
          <w:lang w:val="fr-FR"/>
        </w:rPr>
        <w:t>12</w:t>
      </w:r>
      <w:r>
        <w:rPr>
          <w:rFonts w:ascii="Times New Roman" w:hAnsi="Times New Roman" w:eastAsia="宋体" w:cs="Times New Roman"/>
          <w:lang w:val="fr-FR"/>
        </w:rPr>
        <w:t xml:space="preserve">] Strange CD, Truong MT, Ahuja J, et al. </w:t>
      </w:r>
      <w:r>
        <w:rPr>
          <w:rFonts w:ascii="Times New Roman" w:hAnsi="Times New Roman" w:eastAsia="宋体" w:cs="Times New Roman"/>
        </w:rPr>
        <w:t>Imaging evaluation of thymic tumors. Mediastinum. 2023;7:28.</w:t>
      </w:r>
    </w:p>
    <w:p w14:paraId="635E96A7">
      <w:pPr>
        <w:rPr>
          <w:rFonts w:ascii="Times New Roman" w:hAnsi="Times New Roman" w:eastAsia="宋体" w:cs="Times New Roman"/>
        </w:rPr>
      </w:pPr>
      <w:r>
        <w:rPr>
          <w:rFonts w:ascii="Times New Roman" w:hAnsi="Times New Roman" w:eastAsia="宋体" w:cs="Times New Roman"/>
        </w:rPr>
        <w:t>[1</w:t>
      </w:r>
      <w:r>
        <w:rPr>
          <w:rFonts w:hint="eastAsia" w:ascii="Times New Roman" w:hAnsi="Times New Roman" w:eastAsia="宋体" w:cs="Times New Roman"/>
        </w:rPr>
        <w:t>3</w:t>
      </w:r>
      <w:r>
        <w:rPr>
          <w:rFonts w:ascii="Times New Roman" w:hAnsi="Times New Roman" w:eastAsia="宋体" w:cs="Times New Roman"/>
        </w:rPr>
        <w:t>] 张正平,侯晓婧,王志涛,等.胸腺上皮肿瘤MRI表现WHO组织病理分型相关性研究. 临床放射学杂志. 2021</w:t>
      </w:r>
      <w:r>
        <w:rPr>
          <w:rFonts w:hint="eastAsia" w:ascii="Times New Roman" w:hAnsi="Times New Roman" w:eastAsia="宋体" w:cs="Times New Roman"/>
        </w:rPr>
        <w:t>,</w:t>
      </w:r>
      <w:r>
        <w:rPr>
          <w:rFonts w:ascii="Times New Roman" w:hAnsi="Times New Roman" w:eastAsia="宋体" w:cs="Times New Roman"/>
        </w:rPr>
        <w:t>40(3):457-460.</w:t>
      </w:r>
    </w:p>
    <w:p w14:paraId="3EC676DC">
      <w:pPr>
        <w:rPr>
          <w:rFonts w:ascii="Times New Roman" w:hAnsi="Times New Roman" w:eastAsia="宋体" w:cs="Times New Roman"/>
          <w:lang w:val="fr-FR"/>
        </w:rPr>
      </w:pPr>
      <w:r>
        <w:rPr>
          <w:rFonts w:ascii="Times New Roman" w:hAnsi="Times New Roman" w:eastAsia="宋体" w:cs="Times New Roman"/>
        </w:rPr>
        <w:t>[1</w:t>
      </w:r>
      <w:r>
        <w:rPr>
          <w:rFonts w:hint="eastAsia" w:ascii="Times New Roman" w:hAnsi="Times New Roman" w:eastAsia="宋体" w:cs="Times New Roman"/>
        </w:rPr>
        <w:t>4</w:t>
      </w:r>
      <w:r>
        <w:rPr>
          <w:rFonts w:ascii="Times New Roman" w:hAnsi="Times New Roman" w:eastAsia="宋体" w:cs="Times New Roman"/>
        </w:rPr>
        <w:t>] 陈金平,周新成,王婌妍.AB型胸腺瘤的病理特征探讨及误诊分析.实用肿瘤杂志.</w:t>
      </w:r>
      <w:r>
        <w:rPr>
          <w:rFonts w:ascii="Times New Roman" w:hAnsi="Times New Roman" w:eastAsia="宋体" w:cs="Times New Roman"/>
          <w:lang w:val="fr-FR"/>
        </w:rPr>
        <w:t>2021</w:t>
      </w:r>
      <w:r>
        <w:rPr>
          <w:rFonts w:hint="eastAsia" w:ascii="Times New Roman" w:hAnsi="Times New Roman" w:eastAsia="宋体" w:cs="Times New Roman"/>
          <w:lang w:val="fr-FR"/>
        </w:rPr>
        <w:t>,</w:t>
      </w:r>
      <w:r>
        <w:rPr>
          <w:rFonts w:ascii="Times New Roman" w:hAnsi="Times New Roman" w:eastAsia="宋体" w:cs="Times New Roman"/>
          <w:lang w:val="fr-FR"/>
        </w:rPr>
        <w:t>36(6):531-534.</w:t>
      </w:r>
    </w:p>
    <w:p w14:paraId="5ECAA8DE">
      <w:pPr>
        <w:rPr>
          <w:rFonts w:ascii="Times New Roman" w:hAnsi="Times New Roman" w:eastAsia="宋体" w:cs="Times New Roman"/>
          <w:lang w:val="fr-FR"/>
        </w:rPr>
      </w:pPr>
      <w:r>
        <w:rPr>
          <w:rFonts w:ascii="Times New Roman" w:hAnsi="Times New Roman" w:eastAsia="宋体" w:cs="Times New Roman"/>
          <w:lang w:val="fr-FR"/>
        </w:rPr>
        <w:t>[1</w:t>
      </w:r>
      <w:r>
        <w:rPr>
          <w:rFonts w:hint="eastAsia" w:ascii="Times New Roman" w:hAnsi="Times New Roman" w:eastAsia="宋体" w:cs="Times New Roman"/>
          <w:lang w:val="fr-FR"/>
        </w:rPr>
        <w:t>5</w:t>
      </w:r>
      <w:r>
        <w:rPr>
          <w:rFonts w:ascii="Times New Roman" w:hAnsi="Times New Roman" w:eastAsia="宋体" w:cs="Times New Roman"/>
          <w:lang w:val="fr-FR"/>
        </w:rPr>
        <w:t xml:space="preserve">] Nakazono T, Yamaguchi K, Egashira R, et al. </w:t>
      </w:r>
      <w:r>
        <w:rPr>
          <w:rFonts w:ascii="Times New Roman" w:hAnsi="Times New Roman" w:eastAsia="宋体" w:cs="Times New Roman"/>
        </w:rPr>
        <w:t xml:space="preserve">MRI Findings and Differential Diagnosis of Anterior Mediastinal Solid Tumors. </w:t>
      </w:r>
      <w:r>
        <w:rPr>
          <w:rFonts w:ascii="Times New Roman" w:hAnsi="Times New Roman" w:eastAsia="宋体" w:cs="Times New Roman"/>
          <w:lang w:val="fr-FR"/>
        </w:rPr>
        <w:t>Magn Reson Med Sci. 2023</w:t>
      </w:r>
      <w:r>
        <w:rPr>
          <w:rFonts w:hint="eastAsia" w:ascii="Times New Roman" w:hAnsi="Times New Roman" w:eastAsia="宋体" w:cs="Times New Roman"/>
          <w:lang w:val="fr-FR"/>
        </w:rPr>
        <w:t>,</w:t>
      </w:r>
      <w:r>
        <w:rPr>
          <w:rFonts w:ascii="Times New Roman" w:hAnsi="Times New Roman" w:eastAsia="宋体" w:cs="Times New Roman"/>
          <w:lang w:val="fr-FR"/>
        </w:rPr>
        <w:t>22(4):415-433.</w:t>
      </w:r>
    </w:p>
    <w:p w14:paraId="1FBD2969">
      <w:pPr>
        <w:rPr>
          <w:rFonts w:ascii="Times New Roman" w:hAnsi="Times New Roman" w:eastAsia="宋体" w:cs="Times New Roman"/>
          <w:lang w:val="fr-FR"/>
        </w:rPr>
      </w:pPr>
      <w:r>
        <w:rPr>
          <w:rFonts w:ascii="Times New Roman" w:hAnsi="Times New Roman" w:eastAsia="宋体" w:cs="Times New Roman"/>
          <w:lang w:val="fr-FR"/>
        </w:rPr>
        <w:t>[1</w:t>
      </w:r>
      <w:r>
        <w:rPr>
          <w:rFonts w:hint="eastAsia" w:ascii="Times New Roman" w:hAnsi="Times New Roman" w:eastAsia="宋体" w:cs="Times New Roman"/>
          <w:lang w:val="fr-FR"/>
        </w:rPr>
        <w:t>6</w:t>
      </w:r>
      <w:r>
        <w:rPr>
          <w:rFonts w:ascii="Times New Roman" w:hAnsi="Times New Roman" w:eastAsia="宋体" w:cs="Times New Roman"/>
          <w:lang w:val="fr-FR"/>
        </w:rPr>
        <w:t xml:space="preserve">] Zhang W, Zhou Y, Xu XQ, et al. </w:t>
      </w:r>
      <w:r>
        <w:rPr>
          <w:rFonts w:ascii="Times New Roman" w:hAnsi="Times New Roman" w:eastAsia="宋体" w:cs="Times New Roman"/>
        </w:rPr>
        <w:t xml:space="preserve">A Whole-Tumor Histogram Analysis of Apparent Diffusion Coefficient Maps for Differentiating Thymic Carcinoma from Lymphoma. </w:t>
      </w:r>
      <w:r>
        <w:rPr>
          <w:rFonts w:ascii="Times New Roman" w:hAnsi="Times New Roman" w:eastAsia="宋体" w:cs="Times New Roman"/>
          <w:lang w:val="fr-FR"/>
        </w:rPr>
        <w:t>Korean J Radiol. 2018</w:t>
      </w:r>
      <w:r>
        <w:rPr>
          <w:rFonts w:hint="eastAsia" w:ascii="Times New Roman" w:hAnsi="Times New Roman" w:eastAsia="宋体" w:cs="Times New Roman"/>
          <w:lang w:val="fr-FR"/>
        </w:rPr>
        <w:t>,</w:t>
      </w:r>
      <w:r>
        <w:rPr>
          <w:rFonts w:ascii="Times New Roman" w:hAnsi="Times New Roman" w:eastAsia="宋体" w:cs="Times New Roman"/>
          <w:lang w:val="fr-FR"/>
        </w:rPr>
        <w:t>19(2):358-365.</w:t>
      </w:r>
    </w:p>
    <w:p w14:paraId="36EA760A">
      <w:pPr>
        <w:rPr>
          <w:rFonts w:ascii="Times New Roman" w:hAnsi="Times New Roman" w:eastAsia="宋体" w:cs="Times New Roman"/>
        </w:rPr>
      </w:pPr>
      <w:r>
        <w:rPr>
          <w:rFonts w:ascii="Times New Roman" w:hAnsi="Times New Roman" w:eastAsia="宋体" w:cs="Times New Roman"/>
          <w:lang w:val="fr-FR"/>
        </w:rPr>
        <w:t>[1</w:t>
      </w:r>
      <w:r>
        <w:rPr>
          <w:rFonts w:hint="eastAsia" w:ascii="Times New Roman" w:hAnsi="Times New Roman" w:eastAsia="宋体" w:cs="Times New Roman"/>
          <w:lang w:val="fr-FR"/>
        </w:rPr>
        <w:t>7</w:t>
      </w:r>
      <w:r>
        <w:rPr>
          <w:rFonts w:ascii="Times New Roman" w:hAnsi="Times New Roman" w:eastAsia="宋体" w:cs="Times New Roman"/>
          <w:lang w:val="fr-FR"/>
        </w:rPr>
        <w:t xml:space="preserve">] Nakazono T, Yamaguchi K, Egashira R, et al. </w:t>
      </w:r>
      <w:r>
        <w:rPr>
          <w:rFonts w:ascii="Times New Roman" w:hAnsi="Times New Roman" w:eastAsia="宋体" w:cs="Times New Roman"/>
        </w:rPr>
        <w:t>Anterior mediastinal lesions: CT and MRI features and differential diagnosis. Jpn J Radiol. 2021</w:t>
      </w:r>
      <w:r>
        <w:rPr>
          <w:rFonts w:hint="eastAsia" w:ascii="Times New Roman" w:hAnsi="Times New Roman" w:eastAsia="宋体" w:cs="Times New Roman"/>
        </w:rPr>
        <w:t>,</w:t>
      </w:r>
      <w:r>
        <w:rPr>
          <w:rFonts w:ascii="Times New Roman" w:hAnsi="Times New Roman" w:eastAsia="宋体" w:cs="Times New Roman"/>
        </w:rPr>
        <w:t xml:space="preserve">39(2):101-117.  </w:t>
      </w:r>
    </w:p>
    <w:p w14:paraId="5BBF2FC1">
      <w:pPr>
        <w:rPr>
          <w:rFonts w:ascii="Times New Roman" w:hAnsi="Times New Roman" w:eastAsia="宋体" w:cs="Times New Roman"/>
        </w:rPr>
      </w:pPr>
      <w:r>
        <w:rPr>
          <w:rFonts w:ascii="Times New Roman" w:hAnsi="Times New Roman" w:eastAsia="宋体" w:cs="Times New Roman"/>
        </w:rPr>
        <w:t>[1</w:t>
      </w:r>
      <w:r>
        <w:rPr>
          <w:rFonts w:hint="eastAsia" w:ascii="Times New Roman" w:hAnsi="Times New Roman" w:eastAsia="宋体" w:cs="Times New Roman"/>
        </w:rPr>
        <w:t>8</w:t>
      </w:r>
      <w:r>
        <w:rPr>
          <w:rFonts w:ascii="Times New Roman" w:hAnsi="Times New Roman" w:eastAsia="宋体" w:cs="Times New Roman"/>
        </w:rPr>
        <w:t>] Koyasu S. Imaging of thymic epithelial tumors-a clinical practice review. Mediastinum. 2024;8:41.</w:t>
      </w:r>
    </w:p>
    <w:p w14:paraId="5097DBF3">
      <w:pPr>
        <w:rPr>
          <w:rFonts w:ascii="Times New Roman" w:hAnsi="Times New Roman" w:eastAsia="宋体" w:cs="Times New Roman"/>
        </w:rPr>
      </w:pPr>
      <w:r>
        <w:rPr>
          <w:rFonts w:ascii="Times New Roman" w:hAnsi="Times New Roman" w:eastAsia="宋体" w:cs="Times New Roman"/>
        </w:rPr>
        <w:t>[1</w:t>
      </w:r>
      <w:r>
        <w:rPr>
          <w:rFonts w:hint="eastAsia" w:ascii="Times New Roman" w:hAnsi="Times New Roman" w:eastAsia="宋体" w:cs="Times New Roman"/>
        </w:rPr>
        <w:t>9</w:t>
      </w:r>
      <w:r>
        <w:rPr>
          <w:rFonts w:ascii="Times New Roman" w:hAnsi="Times New Roman" w:eastAsia="宋体" w:cs="Times New Roman"/>
        </w:rPr>
        <w:t>] 王典哲,赵淑慧,李万湖,等.CT征象对高危型胸腺瘤和胸腺癌的鉴别价值.中华肿瘤防治杂志.2024</w:t>
      </w:r>
      <w:r>
        <w:rPr>
          <w:rFonts w:hint="eastAsia" w:ascii="Times New Roman" w:hAnsi="Times New Roman" w:eastAsia="宋体" w:cs="Times New Roman"/>
        </w:rPr>
        <w:t>,</w:t>
      </w:r>
      <w:r>
        <w:rPr>
          <w:rFonts w:ascii="Times New Roman" w:hAnsi="Times New Roman" w:eastAsia="宋体" w:cs="Times New Roman"/>
        </w:rPr>
        <w:t>31(14):881-886.</w:t>
      </w:r>
    </w:p>
    <w:p w14:paraId="6CDDD523">
      <w:pPr>
        <w:rPr>
          <w:rFonts w:ascii="Times New Roman" w:hAnsi="Times New Roman" w:eastAsia="宋体" w:cs="Times New Roman"/>
          <w:lang w:val="fr-FR"/>
        </w:rPr>
      </w:pPr>
      <w:r>
        <w:rPr>
          <w:rFonts w:ascii="Times New Roman" w:hAnsi="Times New Roman" w:eastAsia="宋体" w:cs="Times New Roman"/>
        </w:rPr>
        <w:t>[</w:t>
      </w:r>
      <w:r>
        <w:rPr>
          <w:rFonts w:hint="eastAsia" w:ascii="Times New Roman" w:hAnsi="Times New Roman" w:eastAsia="宋体" w:cs="Times New Roman"/>
        </w:rPr>
        <w:t>20</w:t>
      </w:r>
      <w:r>
        <w:rPr>
          <w:rFonts w:ascii="Times New Roman" w:hAnsi="Times New Roman" w:eastAsia="宋体" w:cs="Times New Roman"/>
        </w:rPr>
        <w:t xml:space="preserve">] 杨晶,高艳,李琼阁,等.扩散加权成像在鉴别低、高风险胸腺瘤和胸腺囊肿中的应用.中国医学影像学杂志. </w:t>
      </w:r>
      <w:r>
        <w:rPr>
          <w:rFonts w:ascii="Times New Roman" w:hAnsi="Times New Roman" w:eastAsia="宋体" w:cs="Times New Roman"/>
          <w:lang w:val="fr-FR"/>
        </w:rPr>
        <w:t>2023</w:t>
      </w:r>
      <w:r>
        <w:rPr>
          <w:rFonts w:hint="eastAsia" w:ascii="Times New Roman" w:hAnsi="Times New Roman" w:eastAsia="宋体" w:cs="Times New Roman"/>
          <w:lang w:val="fr-FR"/>
        </w:rPr>
        <w:t>,</w:t>
      </w:r>
      <w:r>
        <w:rPr>
          <w:rFonts w:ascii="Times New Roman" w:hAnsi="Times New Roman" w:eastAsia="宋体" w:cs="Times New Roman"/>
          <w:lang w:val="fr-FR"/>
        </w:rPr>
        <w:t>31(7):727-731+742.</w:t>
      </w:r>
    </w:p>
    <w:p w14:paraId="15469415">
      <w:pPr>
        <w:rPr>
          <w:rFonts w:ascii="Times New Roman" w:hAnsi="Times New Roman" w:eastAsia="宋体" w:cs="Times New Roman"/>
        </w:rPr>
      </w:pPr>
      <w:r>
        <w:rPr>
          <w:rFonts w:ascii="Times New Roman" w:hAnsi="Times New Roman" w:eastAsia="宋体" w:cs="Times New Roman"/>
          <w:lang w:val="fr-FR"/>
        </w:rPr>
        <w:t>[</w:t>
      </w:r>
      <w:r>
        <w:rPr>
          <w:rFonts w:hint="eastAsia" w:ascii="Times New Roman" w:hAnsi="Times New Roman" w:eastAsia="宋体" w:cs="Times New Roman"/>
          <w:lang w:val="fr-FR"/>
        </w:rPr>
        <w:t>21</w:t>
      </w:r>
      <w:r>
        <w:rPr>
          <w:rFonts w:ascii="Times New Roman" w:hAnsi="Times New Roman" w:eastAsia="宋体" w:cs="Times New Roman"/>
          <w:lang w:val="fr-FR"/>
        </w:rPr>
        <w:t xml:space="preserve">] Morikawa K, Igarashi T, Shiraishi M, et al. </w:t>
      </w:r>
      <w:r>
        <w:rPr>
          <w:rFonts w:ascii="Times New Roman" w:hAnsi="Times New Roman" w:eastAsia="宋体" w:cs="Times New Roman"/>
        </w:rPr>
        <w:t>Quantitative Histogram Analysis of T2-Weighted and Diffusion-Weighted Magnetic Resonance Images for Prediction of Malignant Thymic Epithelial Tumors. J Comput Assist Tomogr. 2021</w:t>
      </w:r>
      <w:r>
        <w:rPr>
          <w:rFonts w:hint="eastAsia" w:ascii="Times New Roman" w:hAnsi="Times New Roman" w:eastAsia="宋体" w:cs="Times New Roman"/>
        </w:rPr>
        <w:t>,</w:t>
      </w:r>
      <w:r>
        <w:rPr>
          <w:rFonts w:ascii="Times New Roman" w:hAnsi="Times New Roman" w:eastAsia="宋体" w:cs="Times New Roman"/>
        </w:rPr>
        <w:t>45(5):795-801.</w:t>
      </w:r>
    </w:p>
    <w:p w14:paraId="4FABA08D">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22</w:t>
      </w:r>
      <w:r>
        <w:rPr>
          <w:rFonts w:ascii="Times New Roman" w:hAnsi="Times New Roman" w:eastAsia="宋体" w:cs="Times New Roman"/>
        </w:rPr>
        <w:t>] Abdel Razek AA, Khairy M, Nada N. Diffusion-weighted MR imaging in thymic epithelial tumors: correlation with World Health Organization classification and clinical staging. Radiology. 2014</w:t>
      </w:r>
      <w:r>
        <w:rPr>
          <w:rFonts w:hint="eastAsia" w:ascii="Times New Roman" w:hAnsi="Times New Roman" w:eastAsia="宋体" w:cs="Times New Roman"/>
        </w:rPr>
        <w:t>,</w:t>
      </w:r>
      <w:r>
        <w:rPr>
          <w:rFonts w:ascii="Times New Roman" w:hAnsi="Times New Roman" w:eastAsia="宋体" w:cs="Times New Roman"/>
        </w:rPr>
        <w:t>273(1):268-275.</w:t>
      </w:r>
    </w:p>
    <w:p w14:paraId="063B2089">
      <w:pPr>
        <w:rPr>
          <w:rFonts w:ascii="Times New Roman" w:hAnsi="Times New Roman" w:eastAsia="宋体" w:cs="Times New Roman"/>
        </w:rPr>
      </w:pPr>
      <w:r>
        <w:rPr>
          <w:rFonts w:ascii="Times New Roman" w:hAnsi="Times New Roman" w:eastAsia="宋体" w:cs="Times New Roman"/>
        </w:rPr>
        <w:t>[2</w:t>
      </w:r>
      <w:r>
        <w:rPr>
          <w:rFonts w:hint="eastAsia" w:ascii="Times New Roman" w:hAnsi="Times New Roman" w:eastAsia="宋体" w:cs="Times New Roman"/>
        </w:rPr>
        <w:t>3</w:t>
      </w:r>
      <w:r>
        <w:rPr>
          <w:rFonts w:ascii="Times New Roman" w:hAnsi="Times New Roman" w:eastAsia="宋体" w:cs="Times New Roman"/>
        </w:rPr>
        <w:t>] Priola AM, Priola SM, Giraudo MT, et al. Diffusion-weighted magnetic resonance imaging of thymoma: ability of the Apparent Diffusion Coefficient in predicting the World Health Organization (WHO) classification and the Masaoka-Koga staging system and its prognostic significance on disease-free survival. Eur Radiol. 2016</w:t>
      </w:r>
      <w:r>
        <w:rPr>
          <w:rFonts w:hint="eastAsia" w:ascii="Times New Roman" w:hAnsi="Times New Roman" w:eastAsia="宋体" w:cs="Times New Roman"/>
        </w:rPr>
        <w:t>,</w:t>
      </w:r>
      <w:r>
        <w:rPr>
          <w:rFonts w:ascii="Times New Roman" w:hAnsi="Times New Roman" w:eastAsia="宋体" w:cs="Times New Roman"/>
        </w:rPr>
        <w:t>26(7):2126-2138.</w:t>
      </w:r>
    </w:p>
    <w:p w14:paraId="255BDD0C">
      <w:pPr>
        <w:rPr>
          <w:rFonts w:ascii="Times New Roman" w:hAnsi="Times New Roman" w:eastAsia="宋体" w:cs="Times New Roman"/>
          <w:lang w:val="fr-FR"/>
        </w:rPr>
      </w:pPr>
      <w:r>
        <w:rPr>
          <w:rFonts w:ascii="Times New Roman" w:hAnsi="Times New Roman" w:eastAsia="宋体" w:cs="Times New Roman"/>
        </w:rPr>
        <w:t>[2</w:t>
      </w:r>
      <w:r>
        <w:rPr>
          <w:rFonts w:hint="eastAsia" w:ascii="Times New Roman" w:hAnsi="Times New Roman" w:eastAsia="宋体" w:cs="Times New Roman"/>
        </w:rPr>
        <w:t>4</w:t>
      </w:r>
      <w:r>
        <w:rPr>
          <w:rFonts w:ascii="Times New Roman" w:hAnsi="Times New Roman" w:eastAsia="宋体" w:cs="Times New Roman"/>
        </w:rPr>
        <w:t xml:space="preserve">] Sakai S, Murayama S, Soeda H, et al. Differential diagnosis between thymoma and non-thymoma by dynamic MR imaging. </w:t>
      </w:r>
      <w:r>
        <w:rPr>
          <w:rFonts w:ascii="Times New Roman" w:hAnsi="Times New Roman" w:eastAsia="宋体" w:cs="Times New Roman"/>
          <w:lang w:val="fr-FR"/>
        </w:rPr>
        <w:t>Acta Radiol. 2002</w:t>
      </w:r>
      <w:r>
        <w:rPr>
          <w:rFonts w:hint="eastAsia" w:ascii="Times New Roman" w:hAnsi="Times New Roman" w:eastAsia="宋体" w:cs="Times New Roman"/>
          <w:lang w:val="fr-FR"/>
        </w:rPr>
        <w:t>,</w:t>
      </w:r>
      <w:r>
        <w:rPr>
          <w:rFonts w:ascii="Times New Roman" w:hAnsi="Times New Roman" w:eastAsia="宋体" w:cs="Times New Roman"/>
          <w:lang w:val="fr-FR"/>
        </w:rPr>
        <w:t>43(3):262-268.</w:t>
      </w:r>
    </w:p>
    <w:p w14:paraId="503BCE74">
      <w:pPr>
        <w:rPr>
          <w:rFonts w:ascii="Times New Roman" w:hAnsi="Times New Roman" w:eastAsia="宋体" w:cs="Times New Roman"/>
          <w:lang w:val="fr-FR"/>
        </w:rPr>
      </w:pPr>
      <w:r>
        <w:rPr>
          <w:rFonts w:ascii="Times New Roman" w:hAnsi="Times New Roman" w:eastAsia="宋体" w:cs="Times New Roman"/>
          <w:lang w:val="fr-FR"/>
        </w:rPr>
        <w:t>[2</w:t>
      </w:r>
      <w:r>
        <w:rPr>
          <w:rFonts w:hint="eastAsia" w:ascii="Times New Roman" w:hAnsi="Times New Roman" w:eastAsia="宋体" w:cs="Times New Roman"/>
          <w:lang w:val="fr-FR"/>
        </w:rPr>
        <w:t>5</w:t>
      </w:r>
      <w:r>
        <w:rPr>
          <w:rFonts w:ascii="Times New Roman" w:hAnsi="Times New Roman" w:eastAsia="宋体" w:cs="Times New Roman"/>
          <w:lang w:val="fr-FR"/>
        </w:rPr>
        <w:t xml:space="preserve">] Yu C, Li T, Zhang R, et al. </w:t>
      </w:r>
      <w:r>
        <w:rPr>
          <w:rFonts w:ascii="Times New Roman" w:hAnsi="Times New Roman" w:eastAsia="宋体" w:cs="Times New Roman"/>
        </w:rPr>
        <w:t xml:space="preserve">Dual-energy CT perfusion imaging for differentiating WHO subtypes of thymic epithelial tumors. </w:t>
      </w:r>
      <w:r>
        <w:rPr>
          <w:rFonts w:ascii="Times New Roman" w:hAnsi="Times New Roman" w:eastAsia="宋体" w:cs="Times New Roman"/>
          <w:lang w:val="fr-FR"/>
        </w:rPr>
        <w:t>Sci Rep. 2020</w:t>
      </w:r>
      <w:r>
        <w:rPr>
          <w:rFonts w:hint="eastAsia" w:ascii="Times New Roman" w:hAnsi="Times New Roman" w:eastAsia="宋体" w:cs="Times New Roman"/>
          <w:lang w:val="fr-FR"/>
        </w:rPr>
        <w:t>,</w:t>
      </w:r>
      <w:r>
        <w:rPr>
          <w:rFonts w:ascii="Times New Roman" w:hAnsi="Times New Roman" w:eastAsia="宋体" w:cs="Times New Roman"/>
          <w:lang w:val="fr-FR"/>
        </w:rPr>
        <w:t>10(1):5511.</w:t>
      </w:r>
    </w:p>
    <w:p w14:paraId="216C21B7">
      <w:pPr>
        <w:rPr>
          <w:rFonts w:ascii="Times New Roman" w:hAnsi="Times New Roman" w:eastAsia="宋体" w:cs="Times New Roman"/>
        </w:rPr>
      </w:pPr>
      <w:r>
        <w:rPr>
          <w:rFonts w:ascii="Times New Roman" w:hAnsi="Times New Roman" w:eastAsia="宋体" w:cs="Times New Roman"/>
          <w:lang w:val="fr-FR"/>
        </w:rPr>
        <w:t>[2</w:t>
      </w:r>
      <w:r>
        <w:rPr>
          <w:rFonts w:hint="eastAsia" w:ascii="Times New Roman" w:hAnsi="Times New Roman" w:eastAsia="宋体" w:cs="Times New Roman"/>
          <w:lang w:val="fr-FR"/>
        </w:rPr>
        <w:t>6</w:t>
      </w:r>
      <w:r>
        <w:rPr>
          <w:rFonts w:ascii="Times New Roman" w:hAnsi="Times New Roman" w:eastAsia="宋体" w:cs="Times New Roman"/>
          <w:lang w:val="fr-FR"/>
        </w:rPr>
        <w:t xml:space="preserve">] Yu C, Li T, Yang X, et al. </w:t>
      </w:r>
      <w:r>
        <w:rPr>
          <w:rFonts w:ascii="Times New Roman" w:hAnsi="Times New Roman" w:eastAsia="宋体" w:cs="Times New Roman"/>
        </w:rPr>
        <w:t>The maximal contrast-enhanced range of CT for differentiating the WHO pathological subtypes and risk subgroups of thymic epithelial tumors. Br J Radiol. 2023</w:t>
      </w:r>
      <w:r>
        <w:rPr>
          <w:rFonts w:hint="eastAsia" w:ascii="Times New Roman" w:hAnsi="Times New Roman" w:eastAsia="宋体" w:cs="Times New Roman"/>
        </w:rPr>
        <w:t>,</w:t>
      </w:r>
      <w:r>
        <w:rPr>
          <w:rFonts w:ascii="Times New Roman" w:hAnsi="Times New Roman" w:eastAsia="宋体" w:cs="Times New Roman"/>
        </w:rPr>
        <w:t>96(1150):20221076.</w:t>
      </w:r>
    </w:p>
    <w:p w14:paraId="4C5640B2">
      <w:pPr>
        <w:rPr>
          <w:rFonts w:ascii="Times New Roman" w:hAnsi="Times New Roman" w:eastAsia="宋体" w:cs="Times New Roman"/>
          <w:lang w:val="fr-FR"/>
        </w:rPr>
      </w:pPr>
      <w:r>
        <w:rPr>
          <w:rFonts w:ascii="Times New Roman" w:hAnsi="Times New Roman" w:eastAsia="宋体" w:cs="Times New Roman"/>
        </w:rPr>
        <w:t>[2</w:t>
      </w:r>
      <w:r>
        <w:rPr>
          <w:rFonts w:hint="eastAsia" w:ascii="Times New Roman" w:hAnsi="Times New Roman" w:eastAsia="宋体" w:cs="Times New Roman"/>
        </w:rPr>
        <w:t>7</w:t>
      </w:r>
      <w:r>
        <w:rPr>
          <w:rFonts w:ascii="Times New Roman" w:hAnsi="Times New Roman" w:eastAsia="宋体" w:cs="Times New Roman"/>
        </w:rPr>
        <w:t xml:space="preserve">] Chang S, Hur J, Im DJ, et al. Volume-based quantification using dual-energy computed tomography in the differentiation of thymic epithelial tumours: an initial experience. </w:t>
      </w:r>
      <w:r>
        <w:rPr>
          <w:rFonts w:ascii="Times New Roman" w:hAnsi="Times New Roman" w:eastAsia="宋体" w:cs="Times New Roman"/>
          <w:lang w:val="fr-FR"/>
        </w:rPr>
        <w:t>Eur Radiol. 2017</w:t>
      </w:r>
      <w:r>
        <w:rPr>
          <w:rFonts w:hint="eastAsia" w:ascii="Times New Roman" w:hAnsi="Times New Roman" w:eastAsia="宋体" w:cs="Times New Roman"/>
          <w:lang w:val="fr-FR"/>
        </w:rPr>
        <w:t>,</w:t>
      </w:r>
      <w:r>
        <w:rPr>
          <w:rFonts w:ascii="Times New Roman" w:hAnsi="Times New Roman" w:eastAsia="宋体" w:cs="Times New Roman"/>
          <w:lang w:val="fr-FR"/>
        </w:rPr>
        <w:t>27(5):1992-2001.</w:t>
      </w:r>
    </w:p>
    <w:p w14:paraId="23FCD6FD">
      <w:pPr>
        <w:rPr>
          <w:rFonts w:ascii="Times New Roman" w:hAnsi="Times New Roman" w:eastAsia="宋体" w:cs="Times New Roman"/>
        </w:rPr>
      </w:pPr>
      <w:r>
        <w:rPr>
          <w:rFonts w:ascii="Times New Roman" w:hAnsi="Times New Roman" w:eastAsia="宋体" w:cs="Times New Roman"/>
          <w:lang w:val="fr-FR"/>
        </w:rPr>
        <w:t>[2</w:t>
      </w:r>
      <w:r>
        <w:rPr>
          <w:rFonts w:hint="eastAsia" w:ascii="Times New Roman" w:hAnsi="Times New Roman" w:eastAsia="宋体" w:cs="Times New Roman"/>
          <w:lang w:val="fr-FR"/>
        </w:rPr>
        <w:t>8</w:t>
      </w:r>
      <w:r>
        <w:rPr>
          <w:rFonts w:ascii="Times New Roman" w:hAnsi="Times New Roman" w:eastAsia="宋体" w:cs="Times New Roman"/>
          <w:lang w:val="fr-FR"/>
        </w:rPr>
        <w:t xml:space="preserve">] Marom EM, Fang W, Ruffini E, et al. </w:t>
      </w:r>
      <w:r>
        <w:rPr>
          <w:rFonts w:ascii="Times New Roman" w:hAnsi="Times New Roman" w:eastAsia="宋体" w:cs="Times New Roman"/>
        </w:rPr>
        <w:t>The International Association for the Study of Lung Cancer Thymic Epithelial Tumor Staging Project: A Re-Assessment of the International Thymic Malignancy Interest Group/International Association for the Study of Lung Cancer Lymph Node Map for Thymic Epithelial Tumors for the Forthcoming Ninth Edition of the TNM Classification of Malignant Tumors. J Thorac Oncol. 2023</w:t>
      </w:r>
      <w:r>
        <w:rPr>
          <w:rFonts w:hint="eastAsia" w:ascii="Times New Roman" w:hAnsi="Times New Roman" w:eastAsia="宋体" w:cs="Times New Roman"/>
        </w:rPr>
        <w:t>,</w:t>
      </w:r>
      <w:r>
        <w:rPr>
          <w:rFonts w:ascii="Times New Roman" w:hAnsi="Times New Roman" w:eastAsia="宋体" w:cs="Times New Roman"/>
        </w:rPr>
        <w:t>18(12):1672-1688.</w:t>
      </w:r>
    </w:p>
    <w:p w14:paraId="35D07816">
      <w:pPr>
        <w:rPr>
          <w:rFonts w:ascii="Times New Roman" w:hAnsi="Times New Roman" w:eastAsia="宋体" w:cs="Times New Roman"/>
        </w:rPr>
      </w:pPr>
      <w:r>
        <w:rPr>
          <w:rFonts w:ascii="Times New Roman" w:hAnsi="Times New Roman" w:eastAsia="宋体" w:cs="Times New Roman"/>
        </w:rPr>
        <w:t>[2</w:t>
      </w:r>
      <w:r>
        <w:rPr>
          <w:rFonts w:hint="eastAsia" w:ascii="Times New Roman" w:hAnsi="Times New Roman" w:eastAsia="宋体" w:cs="Times New Roman"/>
        </w:rPr>
        <w:t>9</w:t>
      </w:r>
      <w:r>
        <w:rPr>
          <w:rFonts w:ascii="Times New Roman" w:hAnsi="Times New Roman" w:eastAsia="宋体" w:cs="Times New Roman"/>
        </w:rPr>
        <w:t>] Masaoka A. Staging system of thymoma. J Thorac Oncol. 2010</w:t>
      </w:r>
      <w:r>
        <w:rPr>
          <w:rFonts w:hint="eastAsia" w:ascii="Times New Roman" w:hAnsi="Times New Roman" w:eastAsia="宋体" w:cs="Times New Roman"/>
        </w:rPr>
        <w:t>,</w:t>
      </w:r>
      <w:r>
        <w:rPr>
          <w:rFonts w:ascii="Times New Roman" w:hAnsi="Times New Roman" w:eastAsia="宋体" w:cs="Times New Roman"/>
        </w:rPr>
        <w:t>5(10 Suppl 4):S304-S312.</w:t>
      </w:r>
    </w:p>
    <w:p w14:paraId="199BA51C">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30</w:t>
      </w:r>
      <w:r>
        <w:rPr>
          <w:rFonts w:ascii="Times New Roman" w:hAnsi="Times New Roman" w:eastAsia="宋体" w:cs="Times New Roman"/>
        </w:rPr>
        <w:t>] Han J, Lee KS, Yi CA, et al. Thymic epithelial tumors classified according to a newly established WHO scheme: CT and MR findings. Korean J Radiol. 2003</w:t>
      </w:r>
      <w:r>
        <w:rPr>
          <w:rFonts w:hint="eastAsia" w:ascii="Times New Roman" w:hAnsi="Times New Roman" w:eastAsia="宋体" w:cs="Times New Roman"/>
        </w:rPr>
        <w:t>,</w:t>
      </w:r>
      <w:r>
        <w:rPr>
          <w:rFonts w:ascii="Times New Roman" w:hAnsi="Times New Roman" w:eastAsia="宋体" w:cs="Times New Roman"/>
        </w:rPr>
        <w:t>4(1):46-53.</w:t>
      </w:r>
    </w:p>
    <w:p w14:paraId="0319D0BB">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31</w:t>
      </w:r>
      <w:r>
        <w:rPr>
          <w:rFonts w:ascii="Times New Roman" w:hAnsi="Times New Roman" w:eastAsia="宋体" w:cs="Times New Roman"/>
        </w:rPr>
        <w:t>] 张文玉,黄勇,申洪明,等.多层螺旋CT在低危、高危胸腺瘤及胸腺癌鉴别诊断中的应用.中国临床医学影像杂志.2011</w:t>
      </w:r>
      <w:r>
        <w:rPr>
          <w:rFonts w:hint="eastAsia" w:ascii="Times New Roman" w:hAnsi="Times New Roman" w:eastAsia="宋体" w:cs="Times New Roman"/>
        </w:rPr>
        <w:t>,</w:t>
      </w:r>
      <w:r>
        <w:rPr>
          <w:rFonts w:ascii="Times New Roman" w:hAnsi="Times New Roman" w:eastAsia="宋体" w:cs="Times New Roman"/>
        </w:rPr>
        <w:t>22(9):623-626.</w:t>
      </w:r>
    </w:p>
    <w:p w14:paraId="10695A32">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32</w:t>
      </w:r>
      <w:r>
        <w:rPr>
          <w:rFonts w:ascii="Times New Roman" w:hAnsi="Times New Roman" w:eastAsia="宋体" w:cs="Times New Roman"/>
        </w:rPr>
        <w:t>] 刘国兵,屈艳娟,胡慧娟,等.胸腺瘤术前CT分期与术后Masaoka临床分期相关性分析.中华临床医师杂志(电子版).2013</w:t>
      </w:r>
      <w:r>
        <w:rPr>
          <w:rFonts w:hint="eastAsia" w:ascii="Times New Roman" w:hAnsi="Times New Roman" w:eastAsia="宋体" w:cs="Times New Roman"/>
        </w:rPr>
        <w:t>,</w:t>
      </w:r>
      <w:r>
        <w:rPr>
          <w:rFonts w:ascii="Times New Roman" w:hAnsi="Times New Roman" w:eastAsia="宋体" w:cs="Times New Roman"/>
        </w:rPr>
        <w:t>7(4):1462-1466.</w:t>
      </w:r>
    </w:p>
    <w:p w14:paraId="34B5F5DA">
      <w:pPr>
        <w:rPr>
          <w:rFonts w:ascii="Times New Roman" w:hAnsi="Times New Roman" w:eastAsia="宋体" w:cs="Times New Roman"/>
        </w:rPr>
      </w:pPr>
      <w:r>
        <w:rPr>
          <w:rFonts w:ascii="Times New Roman" w:hAnsi="Times New Roman" w:eastAsia="宋体" w:cs="Times New Roman"/>
          <w:lang w:val="fr-FR"/>
        </w:rPr>
        <w:t>[3</w:t>
      </w:r>
      <w:r>
        <w:rPr>
          <w:rFonts w:hint="eastAsia" w:ascii="Times New Roman" w:hAnsi="Times New Roman" w:eastAsia="宋体" w:cs="Times New Roman"/>
          <w:lang w:val="fr-FR"/>
        </w:rPr>
        <w:t>3</w:t>
      </w:r>
      <w:r>
        <w:rPr>
          <w:rFonts w:ascii="Times New Roman" w:hAnsi="Times New Roman" w:eastAsia="宋体" w:cs="Times New Roman"/>
          <w:lang w:val="fr-FR"/>
        </w:rPr>
        <w:t xml:space="preserve">] Marom EM, Milito MA, Moran CA, et al. </w:t>
      </w:r>
      <w:r>
        <w:rPr>
          <w:rFonts w:ascii="Times New Roman" w:hAnsi="Times New Roman" w:eastAsia="宋体" w:cs="Times New Roman"/>
        </w:rPr>
        <w:t>Computed tomography findings predicting invasiveness of thymoma. J Thorac Oncol. 2011</w:t>
      </w:r>
      <w:r>
        <w:rPr>
          <w:rFonts w:hint="eastAsia" w:ascii="Times New Roman" w:hAnsi="Times New Roman" w:eastAsia="宋体" w:cs="Times New Roman"/>
        </w:rPr>
        <w:t>,</w:t>
      </w:r>
      <w:r>
        <w:rPr>
          <w:rFonts w:ascii="Times New Roman" w:hAnsi="Times New Roman" w:eastAsia="宋体" w:cs="Times New Roman"/>
        </w:rPr>
        <w:t>6(7):1274-1281.</w:t>
      </w:r>
    </w:p>
    <w:p w14:paraId="43A573D4">
      <w:pPr>
        <w:rPr>
          <w:rFonts w:ascii="Times New Roman" w:hAnsi="Times New Roman" w:eastAsia="宋体" w:cs="Times New Roman"/>
        </w:rPr>
      </w:pPr>
      <w:r>
        <w:rPr>
          <w:rFonts w:ascii="Times New Roman" w:hAnsi="Times New Roman" w:eastAsia="宋体" w:cs="Times New Roman"/>
        </w:rPr>
        <w:t>[3</w:t>
      </w:r>
      <w:r>
        <w:rPr>
          <w:rFonts w:hint="eastAsia" w:ascii="Times New Roman" w:hAnsi="Times New Roman" w:eastAsia="宋体" w:cs="Times New Roman"/>
        </w:rPr>
        <w:t>4</w:t>
      </w:r>
      <w:r>
        <w:rPr>
          <w:rFonts w:ascii="Times New Roman" w:hAnsi="Times New Roman" w:eastAsia="宋体" w:cs="Times New Roman"/>
        </w:rPr>
        <w:t>] Yanagawa M, Tomiyama N. Prediction of thymoma histology and stage by radiographic criteria. Thorac Surg Clin. 2011</w:t>
      </w:r>
      <w:r>
        <w:rPr>
          <w:rFonts w:hint="eastAsia" w:ascii="Times New Roman" w:hAnsi="Times New Roman" w:eastAsia="宋体" w:cs="Times New Roman"/>
        </w:rPr>
        <w:t>,</w:t>
      </w:r>
      <w:r>
        <w:rPr>
          <w:rFonts w:ascii="Times New Roman" w:hAnsi="Times New Roman" w:eastAsia="宋体" w:cs="Times New Roman"/>
        </w:rPr>
        <w:t>21(1):1-12.</w:t>
      </w:r>
    </w:p>
    <w:p w14:paraId="3D59585E">
      <w:pPr>
        <w:rPr>
          <w:rFonts w:ascii="Times New Roman" w:hAnsi="Times New Roman" w:eastAsia="宋体" w:cs="Times New Roman"/>
        </w:rPr>
      </w:pPr>
      <w:r>
        <w:rPr>
          <w:rFonts w:ascii="Times New Roman" w:hAnsi="Times New Roman" w:eastAsia="宋体" w:cs="Times New Roman"/>
        </w:rPr>
        <w:t>[3</w:t>
      </w:r>
      <w:r>
        <w:rPr>
          <w:rFonts w:hint="eastAsia" w:ascii="Times New Roman" w:hAnsi="Times New Roman" w:eastAsia="宋体" w:cs="Times New Roman"/>
        </w:rPr>
        <w:t>5</w:t>
      </w:r>
      <w:r>
        <w:rPr>
          <w:rFonts w:ascii="Times New Roman" w:hAnsi="Times New Roman" w:eastAsia="宋体" w:cs="Times New Roman"/>
        </w:rPr>
        <w:t>] Priola AM, Priola SM, Di Franco M, et al. Computed tomography and thymoma: distinctive findings in invasive and noninvasive thymoma and predictive features of recurrence. Radiol Med. 2010</w:t>
      </w:r>
      <w:r>
        <w:rPr>
          <w:rFonts w:hint="eastAsia" w:ascii="Times New Roman" w:hAnsi="Times New Roman" w:eastAsia="宋体" w:cs="Times New Roman"/>
        </w:rPr>
        <w:t>,</w:t>
      </w:r>
      <w:r>
        <w:rPr>
          <w:rFonts w:ascii="Times New Roman" w:hAnsi="Times New Roman" w:eastAsia="宋体" w:cs="Times New Roman"/>
        </w:rPr>
        <w:t>115(1):1-21.</w:t>
      </w:r>
    </w:p>
    <w:p w14:paraId="279FEB83">
      <w:pPr>
        <w:rPr>
          <w:rFonts w:ascii="Times New Roman" w:hAnsi="Times New Roman" w:eastAsia="宋体" w:cs="Times New Roman"/>
        </w:rPr>
      </w:pPr>
      <w:r>
        <w:rPr>
          <w:rFonts w:ascii="Times New Roman" w:hAnsi="Times New Roman" w:eastAsia="宋体" w:cs="Times New Roman"/>
        </w:rPr>
        <w:t>[3</w:t>
      </w:r>
      <w:r>
        <w:rPr>
          <w:rFonts w:hint="eastAsia" w:ascii="Times New Roman" w:hAnsi="Times New Roman" w:eastAsia="宋体" w:cs="Times New Roman"/>
        </w:rPr>
        <w:t>6</w:t>
      </w:r>
      <w:r>
        <w:rPr>
          <w:rFonts w:ascii="Times New Roman" w:hAnsi="Times New Roman" w:eastAsia="宋体" w:cs="Times New Roman"/>
        </w:rPr>
        <w:t>] Tomiyama N, Müller NL, Ellis SJ, et al. Invasive and noninvasive thymoma: distinctive CT features. J Comput Assist Tomogr. 2001</w:t>
      </w:r>
      <w:r>
        <w:rPr>
          <w:rFonts w:hint="eastAsia" w:ascii="Times New Roman" w:hAnsi="Times New Roman" w:eastAsia="宋体" w:cs="Times New Roman"/>
        </w:rPr>
        <w:t>,</w:t>
      </w:r>
      <w:r>
        <w:rPr>
          <w:rFonts w:ascii="Times New Roman" w:hAnsi="Times New Roman" w:eastAsia="宋体" w:cs="Times New Roman"/>
        </w:rPr>
        <w:t>25(3):388-393.</w:t>
      </w:r>
    </w:p>
    <w:p w14:paraId="3D1AC081">
      <w:pPr>
        <w:rPr>
          <w:rFonts w:ascii="Times New Roman" w:hAnsi="Times New Roman" w:eastAsia="宋体" w:cs="Times New Roman"/>
        </w:rPr>
      </w:pPr>
      <w:r>
        <w:rPr>
          <w:rFonts w:ascii="Times New Roman" w:hAnsi="Times New Roman" w:eastAsia="宋体" w:cs="Times New Roman"/>
        </w:rPr>
        <w:t>[3</w:t>
      </w:r>
      <w:r>
        <w:rPr>
          <w:rFonts w:hint="eastAsia" w:ascii="Times New Roman" w:hAnsi="Times New Roman" w:eastAsia="宋体" w:cs="Times New Roman"/>
        </w:rPr>
        <w:t>7</w:t>
      </w:r>
      <w:r>
        <w:rPr>
          <w:rFonts w:ascii="Times New Roman" w:hAnsi="Times New Roman" w:eastAsia="宋体" w:cs="Times New Roman"/>
        </w:rPr>
        <w:t>] 葛建立,王培军.CT对恶性胸腺瘤诊断价值的探讨.实用放射学杂志. 1997</w:t>
      </w:r>
      <w:r>
        <w:rPr>
          <w:rFonts w:hint="eastAsia" w:ascii="Times New Roman" w:hAnsi="Times New Roman" w:eastAsia="宋体" w:cs="Times New Roman"/>
        </w:rPr>
        <w:t>,</w:t>
      </w:r>
      <w:r>
        <w:rPr>
          <w:rFonts w:ascii="Times New Roman" w:hAnsi="Times New Roman" w:eastAsia="宋体" w:cs="Times New Roman"/>
        </w:rPr>
        <w:t>13(12):28-30.</w:t>
      </w:r>
    </w:p>
    <w:p w14:paraId="4657EC61">
      <w:pPr>
        <w:rPr>
          <w:rFonts w:ascii="Times New Roman" w:hAnsi="Times New Roman" w:eastAsia="宋体" w:cs="Times New Roman"/>
          <w:lang w:val="fr-FR"/>
        </w:rPr>
      </w:pPr>
      <w:r>
        <w:rPr>
          <w:rFonts w:ascii="Times New Roman" w:hAnsi="Times New Roman" w:eastAsia="宋体" w:cs="Times New Roman"/>
        </w:rPr>
        <w:t>[3</w:t>
      </w:r>
      <w:r>
        <w:rPr>
          <w:rFonts w:hint="eastAsia" w:ascii="Times New Roman" w:hAnsi="Times New Roman" w:eastAsia="宋体" w:cs="Times New Roman"/>
        </w:rPr>
        <w:t>8</w:t>
      </w:r>
      <w:r>
        <w:rPr>
          <w:rFonts w:ascii="Times New Roman" w:hAnsi="Times New Roman" w:eastAsia="宋体" w:cs="Times New Roman"/>
        </w:rPr>
        <w:t>] 刘晋,尹平,王思聪,等.CT影像组学联合临床及CT特征预测胸腺上皮肿瘤TNM分期.中国介入影像与治疗学.</w:t>
      </w:r>
      <w:r>
        <w:rPr>
          <w:rFonts w:ascii="Times New Roman" w:hAnsi="Times New Roman" w:eastAsia="宋体" w:cs="Times New Roman"/>
          <w:lang w:val="fr-FR"/>
        </w:rPr>
        <w:t>2024</w:t>
      </w:r>
      <w:r>
        <w:rPr>
          <w:rFonts w:hint="eastAsia" w:ascii="Times New Roman" w:hAnsi="Times New Roman" w:eastAsia="宋体" w:cs="Times New Roman"/>
          <w:lang w:val="fr-FR"/>
        </w:rPr>
        <w:t>,</w:t>
      </w:r>
      <w:r>
        <w:rPr>
          <w:rFonts w:ascii="Times New Roman" w:hAnsi="Times New Roman" w:eastAsia="宋体" w:cs="Times New Roman"/>
          <w:lang w:val="fr-FR"/>
        </w:rPr>
        <w:t>21(3):150-154.</w:t>
      </w:r>
    </w:p>
    <w:p w14:paraId="36142513">
      <w:pPr>
        <w:rPr>
          <w:rFonts w:ascii="Times New Roman" w:hAnsi="Times New Roman" w:eastAsia="宋体" w:cs="Times New Roman"/>
        </w:rPr>
      </w:pPr>
      <w:r>
        <w:rPr>
          <w:rFonts w:ascii="Times New Roman" w:hAnsi="Times New Roman" w:eastAsia="宋体" w:cs="Times New Roman"/>
          <w:lang w:val="fr-FR"/>
        </w:rPr>
        <w:t>[3</w:t>
      </w:r>
      <w:r>
        <w:rPr>
          <w:rFonts w:hint="eastAsia" w:ascii="Times New Roman" w:hAnsi="Times New Roman" w:eastAsia="宋体" w:cs="Times New Roman"/>
          <w:lang w:val="fr-FR"/>
        </w:rPr>
        <w:t>9</w:t>
      </w:r>
      <w:r>
        <w:rPr>
          <w:rFonts w:ascii="Times New Roman" w:hAnsi="Times New Roman" w:eastAsia="宋体" w:cs="Times New Roman"/>
          <w:lang w:val="fr-FR"/>
        </w:rPr>
        <w:t xml:space="preserve">] Ruffini E, Huang J, Cilento V, et al. </w:t>
      </w:r>
      <w:r>
        <w:rPr>
          <w:rFonts w:ascii="Times New Roman" w:hAnsi="Times New Roman" w:eastAsia="宋体" w:cs="Times New Roman"/>
        </w:rPr>
        <w:t>The International Association for the Study of Lung Cancer Thymic Epithelial Tumors Staging Project: Proposal for a Stage Classification for the Forthcoming (Ninth) Edition of the TNM Classification of Malignant Tumors. J Thorac Oncol. 2023</w:t>
      </w:r>
      <w:r>
        <w:rPr>
          <w:rFonts w:hint="eastAsia" w:ascii="Times New Roman" w:hAnsi="Times New Roman" w:eastAsia="宋体" w:cs="Times New Roman"/>
        </w:rPr>
        <w:t>,</w:t>
      </w:r>
      <w:r>
        <w:rPr>
          <w:rFonts w:ascii="Times New Roman" w:hAnsi="Times New Roman" w:eastAsia="宋体" w:cs="Times New Roman"/>
        </w:rPr>
        <w:t>18(12):1655-1671.</w:t>
      </w:r>
    </w:p>
    <w:p w14:paraId="3DDF0998">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40</w:t>
      </w:r>
      <w:r>
        <w:rPr>
          <w:rFonts w:ascii="Times New Roman" w:hAnsi="Times New Roman" w:eastAsia="宋体" w:cs="Times New Roman"/>
        </w:rPr>
        <w:t>] 王圣中,刘晨熙,肖刚,等.多层螺旋CT特征对肿块样胸腺增生和低危胸腺瘤的鉴别诊断.中国医学影像学杂志.2022</w:t>
      </w:r>
      <w:r>
        <w:rPr>
          <w:rFonts w:hint="eastAsia" w:ascii="Times New Roman" w:hAnsi="Times New Roman" w:eastAsia="宋体" w:cs="Times New Roman"/>
        </w:rPr>
        <w:t>,</w:t>
      </w:r>
      <w:r>
        <w:rPr>
          <w:rFonts w:ascii="Times New Roman" w:hAnsi="Times New Roman" w:eastAsia="宋体" w:cs="Times New Roman"/>
        </w:rPr>
        <w:t>30(4):363-367+372.</w:t>
      </w:r>
    </w:p>
    <w:p w14:paraId="307FCED5">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41</w:t>
      </w:r>
      <w:r>
        <w:rPr>
          <w:rFonts w:ascii="Times New Roman" w:hAnsi="Times New Roman" w:eastAsia="宋体" w:cs="Times New Roman"/>
        </w:rPr>
        <w:t>] Suster D, Ronen N, Pierce DC, Suster S. Thymic Parenchymal Hyperplasia. Mod Pathol. 2023</w:t>
      </w:r>
      <w:r>
        <w:rPr>
          <w:rFonts w:hint="eastAsia" w:ascii="Times New Roman" w:hAnsi="Times New Roman" w:eastAsia="宋体" w:cs="Times New Roman"/>
        </w:rPr>
        <w:t>,</w:t>
      </w:r>
      <w:r>
        <w:rPr>
          <w:rFonts w:ascii="Times New Roman" w:hAnsi="Times New Roman" w:eastAsia="宋体" w:cs="Times New Roman"/>
        </w:rPr>
        <w:t xml:space="preserve">36(8):100207.  </w:t>
      </w:r>
    </w:p>
    <w:p w14:paraId="322E8737">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42</w:t>
      </w:r>
      <w:r>
        <w:rPr>
          <w:rFonts w:ascii="Times New Roman" w:hAnsi="Times New Roman" w:eastAsia="宋体" w:cs="Times New Roman"/>
        </w:rPr>
        <w:t>] Priola AM, Priola SM, Ciccone G, et al. Differentiation of rebound and lymphoid thymic hyperplasia from anterior mediastinal tumors with dual-echo chemical-shift MR imaging in adulthood: reliability of the chemical-shift ratio and signal intensity index. Radiology. 2015</w:t>
      </w:r>
      <w:r>
        <w:rPr>
          <w:rFonts w:hint="eastAsia" w:ascii="Times New Roman" w:hAnsi="Times New Roman" w:eastAsia="宋体" w:cs="Times New Roman"/>
        </w:rPr>
        <w:t>,</w:t>
      </w:r>
      <w:r>
        <w:rPr>
          <w:rFonts w:ascii="Times New Roman" w:hAnsi="Times New Roman" w:eastAsia="宋体" w:cs="Times New Roman"/>
        </w:rPr>
        <w:t xml:space="preserve">274(1):238-249.  </w:t>
      </w:r>
    </w:p>
    <w:p w14:paraId="3E06078C">
      <w:pPr>
        <w:rPr>
          <w:rFonts w:ascii="Times New Roman" w:hAnsi="Times New Roman" w:eastAsia="宋体" w:cs="Times New Roman"/>
        </w:rPr>
      </w:pPr>
      <w:r>
        <w:rPr>
          <w:rFonts w:ascii="Times New Roman" w:hAnsi="Times New Roman" w:eastAsia="宋体" w:cs="Times New Roman"/>
        </w:rPr>
        <w:t>[4</w:t>
      </w:r>
      <w:r>
        <w:rPr>
          <w:rFonts w:hint="eastAsia" w:ascii="Times New Roman" w:hAnsi="Times New Roman" w:eastAsia="宋体" w:cs="Times New Roman"/>
        </w:rPr>
        <w:t>3</w:t>
      </w:r>
      <w:r>
        <w:rPr>
          <w:rFonts w:ascii="Times New Roman" w:hAnsi="Times New Roman" w:eastAsia="宋体" w:cs="Times New Roman"/>
        </w:rPr>
        <w:t>] von der Thüsen J. Thymic epithelial tumours: histopathological classification and differential diagnosis. Histopathology. 2024</w:t>
      </w:r>
      <w:r>
        <w:rPr>
          <w:rFonts w:hint="eastAsia" w:ascii="Times New Roman" w:hAnsi="Times New Roman" w:eastAsia="宋体" w:cs="Times New Roman"/>
        </w:rPr>
        <w:t>,</w:t>
      </w:r>
      <w:r>
        <w:rPr>
          <w:rFonts w:ascii="Times New Roman" w:hAnsi="Times New Roman" w:eastAsia="宋体" w:cs="Times New Roman"/>
        </w:rPr>
        <w:t xml:space="preserve">84(1):196-215.  </w:t>
      </w:r>
    </w:p>
    <w:p w14:paraId="085C530A">
      <w:pPr>
        <w:rPr>
          <w:rFonts w:ascii="Times New Roman" w:hAnsi="Times New Roman" w:eastAsia="宋体" w:cs="Times New Roman"/>
        </w:rPr>
      </w:pPr>
      <w:r>
        <w:rPr>
          <w:rFonts w:ascii="Times New Roman" w:hAnsi="Times New Roman" w:eastAsia="宋体" w:cs="Times New Roman"/>
        </w:rPr>
        <w:t>[4</w:t>
      </w:r>
      <w:r>
        <w:rPr>
          <w:rFonts w:hint="eastAsia" w:ascii="Times New Roman" w:hAnsi="Times New Roman" w:eastAsia="宋体" w:cs="Times New Roman"/>
        </w:rPr>
        <w:t>4</w:t>
      </w:r>
      <w:r>
        <w:rPr>
          <w:rFonts w:ascii="Times New Roman" w:hAnsi="Times New Roman" w:eastAsia="宋体" w:cs="Times New Roman"/>
        </w:rPr>
        <w:t>]</w:t>
      </w:r>
      <w:r>
        <w:rPr>
          <w:rFonts w:hint="eastAsia" w:ascii="Times New Roman" w:hAnsi="Times New Roman" w:eastAsia="宋体" w:cs="Times New Roman"/>
        </w:rPr>
        <w:t xml:space="preserve"> </w:t>
      </w:r>
      <w:r>
        <w:rPr>
          <w:rFonts w:ascii="Times New Roman" w:hAnsi="Times New Roman" w:eastAsia="宋体" w:cs="Times New Roman"/>
        </w:rPr>
        <w:t>Inaoka T, Takahashi K, Mineta M, et al. Thymic hyperplasia and thymus gland tumors: differentiation with chemical shift MR imaging. Radiology. 2007</w:t>
      </w:r>
      <w:r>
        <w:rPr>
          <w:rFonts w:hint="eastAsia" w:ascii="Times New Roman" w:hAnsi="Times New Roman" w:eastAsia="宋体" w:cs="Times New Roman"/>
        </w:rPr>
        <w:t>,</w:t>
      </w:r>
      <w:r>
        <w:rPr>
          <w:rFonts w:ascii="Times New Roman" w:hAnsi="Times New Roman" w:eastAsia="宋体" w:cs="Times New Roman"/>
        </w:rPr>
        <w:t>243(3):869-876.</w:t>
      </w:r>
    </w:p>
    <w:p w14:paraId="58EA5D8E">
      <w:pPr>
        <w:rPr>
          <w:rFonts w:ascii="Times New Roman" w:hAnsi="Times New Roman" w:eastAsia="宋体" w:cs="Times New Roman"/>
        </w:rPr>
      </w:pPr>
      <w:r>
        <w:rPr>
          <w:rFonts w:ascii="Times New Roman" w:hAnsi="Times New Roman" w:eastAsia="宋体" w:cs="Times New Roman"/>
        </w:rPr>
        <w:t>[4</w:t>
      </w:r>
      <w:r>
        <w:rPr>
          <w:rFonts w:hint="eastAsia" w:ascii="Times New Roman" w:hAnsi="Times New Roman" w:eastAsia="宋体" w:cs="Times New Roman"/>
        </w:rPr>
        <w:t>5</w:t>
      </w:r>
      <w:r>
        <w:rPr>
          <w:rFonts w:ascii="Times New Roman" w:hAnsi="Times New Roman" w:eastAsia="宋体" w:cs="Times New Roman"/>
        </w:rPr>
        <w:t>] Ackman JB, Chintanapakdee W, Mendoza DP, et al. Longitudinal CT and MRI Characteristics of Unilocular Thymic Cysts. Radiology. 2021</w:t>
      </w:r>
      <w:r>
        <w:rPr>
          <w:rFonts w:hint="eastAsia" w:ascii="Times New Roman" w:hAnsi="Times New Roman" w:eastAsia="宋体" w:cs="Times New Roman"/>
        </w:rPr>
        <w:t>,</w:t>
      </w:r>
      <w:r>
        <w:rPr>
          <w:rFonts w:ascii="Times New Roman" w:hAnsi="Times New Roman" w:eastAsia="宋体" w:cs="Times New Roman"/>
        </w:rPr>
        <w:t xml:space="preserve">301(2):443-454.  </w:t>
      </w:r>
    </w:p>
    <w:p w14:paraId="3213EFE5">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46</w:t>
      </w:r>
      <w:r>
        <w:rPr>
          <w:rFonts w:ascii="Times New Roman" w:hAnsi="Times New Roman" w:eastAsia="宋体" w:cs="Times New Roman"/>
        </w:rPr>
        <w:t xml:space="preserve">] Ma YH, Zhang J, Yan WQ, et al. Risk factor analysis for major mediastinal vessel invasion in thymic epithelial tumors based on multi-slice CT Imaging. Front Oncol. 2023;13:1239419.  </w:t>
      </w:r>
    </w:p>
    <w:p w14:paraId="41E6FFD4">
      <w:pPr>
        <w:rPr>
          <w:rFonts w:ascii="Times New Roman" w:hAnsi="Times New Roman" w:eastAsia="宋体" w:cs="Times New Roman"/>
        </w:rPr>
      </w:pPr>
      <w:r>
        <w:rPr>
          <w:rFonts w:ascii="Times New Roman" w:hAnsi="Times New Roman" w:eastAsia="宋体" w:cs="Times New Roman"/>
        </w:rPr>
        <w:t>[4</w:t>
      </w:r>
      <w:r>
        <w:rPr>
          <w:rFonts w:hint="eastAsia" w:ascii="Times New Roman" w:hAnsi="Times New Roman" w:eastAsia="宋体" w:cs="Times New Roman"/>
        </w:rPr>
        <w:t>7</w:t>
      </w:r>
      <w:r>
        <w:rPr>
          <w:rFonts w:ascii="Times New Roman" w:hAnsi="Times New Roman" w:eastAsia="宋体" w:cs="Times New Roman"/>
        </w:rPr>
        <w:t xml:space="preserve">] Barabrah AM, Zaben B, Tuqan AR, et al. Mature Cystic Teratoma of Anterior Mediastinum in a Child: A Case Report and Literature Review. J Investig Med High Impact Case Rep. 2024;12:23247096241274510.  </w:t>
      </w:r>
    </w:p>
    <w:p w14:paraId="55F14779">
      <w:pPr>
        <w:rPr>
          <w:rFonts w:ascii="Times New Roman" w:hAnsi="Times New Roman" w:eastAsia="宋体" w:cs="Times New Roman"/>
          <w:lang w:val="fr-FR"/>
        </w:rPr>
      </w:pPr>
      <w:r>
        <w:rPr>
          <w:rFonts w:ascii="Times New Roman" w:hAnsi="Times New Roman" w:eastAsia="宋体" w:cs="Times New Roman"/>
        </w:rPr>
        <w:t>[4</w:t>
      </w:r>
      <w:r>
        <w:rPr>
          <w:rFonts w:hint="eastAsia" w:ascii="Times New Roman" w:hAnsi="Times New Roman" w:eastAsia="宋体" w:cs="Times New Roman"/>
        </w:rPr>
        <w:t>8</w:t>
      </w:r>
      <w:r>
        <w:rPr>
          <w:rFonts w:ascii="Times New Roman" w:hAnsi="Times New Roman" w:eastAsia="宋体" w:cs="Times New Roman"/>
        </w:rPr>
        <w:t xml:space="preserve">] Ahuja J, Strange CD, Agrawal R, et al. Approach to Imaging of Mediastinal Masses. </w:t>
      </w:r>
      <w:r>
        <w:rPr>
          <w:rFonts w:ascii="Times New Roman" w:hAnsi="Times New Roman" w:eastAsia="宋体" w:cs="Times New Roman"/>
          <w:lang w:val="fr-FR"/>
        </w:rPr>
        <w:t>Diagnostics (Basel). 2023</w:t>
      </w:r>
      <w:r>
        <w:rPr>
          <w:rFonts w:hint="eastAsia" w:ascii="Times New Roman" w:hAnsi="Times New Roman" w:eastAsia="宋体" w:cs="Times New Roman"/>
          <w:lang w:val="fr-FR"/>
        </w:rPr>
        <w:t>,</w:t>
      </w:r>
      <w:r>
        <w:rPr>
          <w:rFonts w:ascii="Times New Roman" w:hAnsi="Times New Roman" w:eastAsia="宋体" w:cs="Times New Roman"/>
          <w:lang w:val="fr-FR"/>
        </w:rPr>
        <w:t xml:space="preserve">13(20):3171.  </w:t>
      </w:r>
    </w:p>
    <w:p w14:paraId="244FD688">
      <w:pPr>
        <w:rPr>
          <w:rFonts w:ascii="Times New Roman" w:hAnsi="Times New Roman" w:eastAsia="宋体" w:cs="Times New Roman"/>
          <w:lang w:val="fr-FR"/>
        </w:rPr>
      </w:pPr>
      <w:r>
        <w:rPr>
          <w:rFonts w:ascii="Times New Roman" w:hAnsi="Times New Roman" w:eastAsia="宋体" w:cs="Times New Roman"/>
          <w:lang w:val="fr-FR"/>
        </w:rPr>
        <w:t>[4</w:t>
      </w:r>
      <w:r>
        <w:rPr>
          <w:rFonts w:hint="eastAsia" w:ascii="Times New Roman" w:hAnsi="Times New Roman" w:eastAsia="宋体" w:cs="Times New Roman"/>
          <w:lang w:val="fr-FR"/>
        </w:rPr>
        <w:t>9</w:t>
      </w:r>
      <w:r>
        <w:rPr>
          <w:rFonts w:ascii="Times New Roman" w:hAnsi="Times New Roman" w:eastAsia="宋体" w:cs="Times New Roman"/>
          <w:lang w:val="fr-FR"/>
        </w:rPr>
        <w:t xml:space="preserve">] Imazu R, Yano M, Kitagawa Y, et al. </w:t>
      </w:r>
      <w:r>
        <w:rPr>
          <w:rFonts w:ascii="Times New Roman" w:hAnsi="Times New Roman" w:eastAsia="宋体" w:cs="Times New Roman"/>
        </w:rPr>
        <w:t xml:space="preserve">Marginal calcification of thymoma: differences in the location of calcification indicate differences in the characteristics of thymomas. </w:t>
      </w:r>
      <w:r>
        <w:rPr>
          <w:rFonts w:ascii="Times New Roman" w:hAnsi="Times New Roman" w:eastAsia="宋体" w:cs="Times New Roman"/>
          <w:lang w:val="fr-FR"/>
        </w:rPr>
        <w:t>J Thorac Dis. 2023</w:t>
      </w:r>
      <w:r>
        <w:rPr>
          <w:rFonts w:hint="eastAsia" w:ascii="Times New Roman" w:hAnsi="Times New Roman" w:eastAsia="宋体" w:cs="Times New Roman"/>
          <w:lang w:val="fr-FR"/>
        </w:rPr>
        <w:t>,</w:t>
      </w:r>
      <w:r>
        <w:rPr>
          <w:rFonts w:ascii="Times New Roman" w:hAnsi="Times New Roman" w:eastAsia="宋体" w:cs="Times New Roman"/>
          <w:lang w:val="fr-FR"/>
        </w:rPr>
        <w:t>15(7):3741-3750.</w:t>
      </w:r>
    </w:p>
    <w:p w14:paraId="25E5F6A0">
      <w:pPr>
        <w:rPr>
          <w:rFonts w:ascii="Times New Roman" w:hAnsi="Times New Roman" w:eastAsia="宋体" w:cs="Times New Roman"/>
          <w:lang w:val="fr-FR"/>
        </w:rPr>
      </w:pPr>
      <w:r>
        <w:rPr>
          <w:rFonts w:ascii="Times New Roman" w:hAnsi="Times New Roman" w:eastAsia="宋体" w:cs="Times New Roman"/>
          <w:lang w:val="fr-FR"/>
        </w:rPr>
        <w:t>[</w:t>
      </w:r>
      <w:r>
        <w:rPr>
          <w:rFonts w:hint="eastAsia" w:ascii="Times New Roman" w:hAnsi="Times New Roman" w:eastAsia="宋体" w:cs="Times New Roman"/>
          <w:lang w:val="fr-FR"/>
        </w:rPr>
        <w:t>50</w:t>
      </w:r>
      <w:r>
        <w:rPr>
          <w:rFonts w:ascii="Times New Roman" w:hAnsi="Times New Roman" w:eastAsia="宋体" w:cs="Times New Roman"/>
          <w:lang w:val="fr-FR"/>
        </w:rPr>
        <w:t xml:space="preserve">] Li Z, Zhu Q, Niu S, et al. </w:t>
      </w:r>
      <w:r>
        <w:rPr>
          <w:rFonts w:ascii="Times New Roman" w:hAnsi="Times New Roman" w:eastAsia="宋体" w:cs="Times New Roman"/>
        </w:rPr>
        <w:t xml:space="preserve">Primary mediastinal seminoma with azoospermia: case report and review of the literature. </w:t>
      </w:r>
      <w:r>
        <w:rPr>
          <w:rFonts w:ascii="Times New Roman" w:hAnsi="Times New Roman" w:eastAsia="宋体" w:cs="Times New Roman"/>
          <w:lang w:val="fr-FR"/>
        </w:rPr>
        <w:t>Front Oncol. 2024</w:t>
      </w:r>
      <w:r>
        <w:rPr>
          <w:rFonts w:hint="eastAsia" w:ascii="Times New Roman" w:hAnsi="Times New Roman" w:eastAsia="宋体" w:cs="Times New Roman"/>
          <w:lang w:val="fr-FR"/>
        </w:rPr>
        <w:t>,</w:t>
      </w:r>
      <w:r>
        <w:rPr>
          <w:rFonts w:ascii="Times New Roman" w:hAnsi="Times New Roman" w:eastAsia="宋体" w:cs="Times New Roman"/>
          <w:lang w:val="fr-FR"/>
        </w:rPr>
        <w:t>14:1309803.</w:t>
      </w:r>
    </w:p>
    <w:p w14:paraId="02331C17">
      <w:pPr>
        <w:rPr>
          <w:rFonts w:ascii="Times New Roman" w:hAnsi="Times New Roman" w:eastAsia="宋体" w:cs="Times New Roman"/>
        </w:rPr>
      </w:pPr>
      <w:r>
        <w:rPr>
          <w:rFonts w:ascii="Times New Roman" w:hAnsi="Times New Roman" w:eastAsia="宋体" w:cs="Times New Roman"/>
          <w:lang w:val="fr-FR"/>
        </w:rPr>
        <w:t>[</w:t>
      </w:r>
      <w:r>
        <w:rPr>
          <w:rFonts w:hint="eastAsia" w:ascii="Times New Roman" w:hAnsi="Times New Roman" w:eastAsia="宋体" w:cs="Times New Roman"/>
          <w:lang w:val="fr-FR"/>
        </w:rPr>
        <w:t>51</w:t>
      </w:r>
      <w:r>
        <w:rPr>
          <w:rFonts w:ascii="Times New Roman" w:hAnsi="Times New Roman" w:eastAsia="宋体" w:cs="Times New Roman"/>
          <w:lang w:val="fr-FR"/>
        </w:rPr>
        <w:t xml:space="preserve">] Gu L, Zhang L, Hou N, et al. </w:t>
      </w:r>
      <w:r>
        <w:rPr>
          <w:rFonts w:ascii="Times New Roman" w:hAnsi="Times New Roman" w:eastAsia="宋体" w:cs="Times New Roman"/>
        </w:rPr>
        <w:t>Clinical and radiographic characterization of primary seminomas and nonseminomatous germ cell tumors. Niger J Clin Pract. 2019</w:t>
      </w:r>
      <w:r>
        <w:rPr>
          <w:rFonts w:hint="eastAsia" w:ascii="Times New Roman" w:hAnsi="Times New Roman" w:eastAsia="宋体" w:cs="Times New Roman"/>
        </w:rPr>
        <w:t>,</w:t>
      </w:r>
      <w:r>
        <w:rPr>
          <w:rFonts w:ascii="Times New Roman" w:hAnsi="Times New Roman" w:eastAsia="宋体" w:cs="Times New Roman"/>
        </w:rPr>
        <w:t>22(3):342-349.</w:t>
      </w:r>
    </w:p>
    <w:p w14:paraId="7DC94829">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52</w:t>
      </w:r>
      <w:r>
        <w:rPr>
          <w:rFonts w:ascii="Times New Roman" w:hAnsi="Times New Roman" w:eastAsia="宋体" w:cs="Times New Roman"/>
        </w:rPr>
        <w:t>] 梁锐烘,曾庆思,刘琴,等.原发性纵隔精原细胞瘤影像学表现与病理学基础.临床放射学杂志.2021</w:t>
      </w:r>
      <w:r>
        <w:rPr>
          <w:rFonts w:hint="eastAsia" w:ascii="Times New Roman" w:hAnsi="Times New Roman" w:eastAsia="宋体" w:cs="Times New Roman"/>
        </w:rPr>
        <w:t>,</w:t>
      </w:r>
      <w:r>
        <w:rPr>
          <w:rFonts w:ascii="Times New Roman" w:hAnsi="Times New Roman" w:eastAsia="宋体" w:cs="Times New Roman"/>
        </w:rPr>
        <w:t>40(6):1111-1115.</w:t>
      </w:r>
    </w:p>
    <w:p w14:paraId="2DE25ABD">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53</w:t>
      </w:r>
      <w:r>
        <w:rPr>
          <w:rFonts w:ascii="Times New Roman" w:hAnsi="Times New Roman" w:eastAsia="宋体" w:cs="Times New Roman"/>
        </w:rPr>
        <w:t>] Bharath Gangadhar, et al. Primary Mediastinal Germ Cell Tumors: A Real-World Analysis of Clinical Characteristics, Treatment, and Survival Outcomes From Two Tertiary Cancer Centers in India. JCO Glob Oncol. 2025</w:t>
      </w:r>
      <w:r>
        <w:rPr>
          <w:rFonts w:hint="eastAsia" w:ascii="Times New Roman" w:hAnsi="Times New Roman" w:eastAsia="宋体" w:cs="Times New Roman"/>
        </w:rPr>
        <w:t>,</w:t>
      </w:r>
      <w:r>
        <w:rPr>
          <w:rFonts w:ascii="Times New Roman" w:hAnsi="Times New Roman" w:eastAsia="宋体" w:cs="Times New Roman"/>
        </w:rPr>
        <w:t>11:e2500099.</w:t>
      </w:r>
    </w:p>
    <w:p w14:paraId="5FBFC938">
      <w:pPr>
        <w:rPr>
          <w:rFonts w:ascii="Times New Roman" w:hAnsi="Times New Roman" w:eastAsia="宋体" w:cs="Times New Roman"/>
        </w:rPr>
      </w:pPr>
      <w:r>
        <w:rPr>
          <w:rFonts w:ascii="Times New Roman" w:hAnsi="Times New Roman" w:eastAsia="宋体" w:cs="Times New Roman"/>
        </w:rPr>
        <w:t>[5</w:t>
      </w:r>
      <w:r>
        <w:rPr>
          <w:rFonts w:hint="eastAsia" w:ascii="Times New Roman" w:hAnsi="Times New Roman" w:eastAsia="宋体" w:cs="Times New Roman"/>
        </w:rPr>
        <w:t>4</w:t>
      </w:r>
      <w:r>
        <w:rPr>
          <w:rFonts w:ascii="Times New Roman" w:hAnsi="Times New Roman" w:eastAsia="宋体" w:cs="Times New Roman"/>
        </w:rPr>
        <w:t>] Marx A, Belharazem D, Lee DH, et al. Molecular pathology of thymomas: implications for diagnosis and therapy. Virchows Arch. 2021</w:t>
      </w:r>
      <w:r>
        <w:rPr>
          <w:rFonts w:hint="eastAsia" w:ascii="Times New Roman" w:hAnsi="Times New Roman" w:eastAsia="宋体" w:cs="Times New Roman"/>
        </w:rPr>
        <w:t>,</w:t>
      </w:r>
      <w:r>
        <w:rPr>
          <w:rFonts w:ascii="Times New Roman" w:hAnsi="Times New Roman" w:eastAsia="宋体" w:cs="Times New Roman"/>
        </w:rPr>
        <w:t>478(1):101-110.</w:t>
      </w:r>
    </w:p>
    <w:p w14:paraId="5B974AE6">
      <w:pPr>
        <w:rPr>
          <w:rFonts w:ascii="Times New Roman" w:hAnsi="Times New Roman" w:eastAsia="宋体" w:cs="Times New Roman"/>
        </w:rPr>
      </w:pPr>
      <w:r>
        <w:rPr>
          <w:rFonts w:ascii="Times New Roman" w:hAnsi="Times New Roman" w:eastAsia="宋体" w:cs="Times New Roman"/>
        </w:rPr>
        <w:t>[5</w:t>
      </w:r>
      <w:r>
        <w:rPr>
          <w:rFonts w:hint="eastAsia" w:ascii="Times New Roman" w:hAnsi="Times New Roman" w:eastAsia="宋体" w:cs="Times New Roman"/>
        </w:rPr>
        <w:t>5</w:t>
      </w:r>
      <w:r>
        <w:rPr>
          <w:rFonts w:ascii="Times New Roman" w:hAnsi="Times New Roman" w:eastAsia="宋体" w:cs="Times New Roman"/>
        </w:rPr>
        <w:t>] 陈佳琪,王建卫.纵隔肿瘤的影像诊断及研究进展.中华肿瘤防治杂志.2024</w:t>
      </w:r>
      <w:r>
        <w:rPr>
          <w:rFonts w:hint="eastAsia" w:ascii="Times New Roman" w:hAnsi="Times New Roman" w:eastAsia="宋体" w:cs="Times New Roman"/>
        </w:rPr>
        <w:t>,</w:t>
      </w:r>
      <w:r>
        <w:rPr>
          <w:rFonts w:ascii="Times New Roman" w:hAnsi="Times New Roman" w:eastAsia="宋体" w:cs="Times New Roman"/>
        </w:rPr>
        <w:t>31(1):47-52.</w:t>
      </w:r>
    </w:p>
    <w:p w14:paraId="5621466D">
      <w:pPr>
        <w:rPr>
          <w:rFonts w:ascii="Times New Roman" w:hAnsi="Times New Roman" w:eastAsia="宋体" w:cs="Times New Roman"/>
        </w:rPr>
      </w:pPr>
      <w:r>
        <w:rPr>
          <w:rFonts w:ascii="Times New Roman" w:hAnsi="Times New Roman" w:eastAsia="宋体" w:cs="Times New Roman"/>
        </w:rPr>
        <w:t>[5</w:t>
      </w:r>
      <w:r>
        <w:rPr>
          <w:rFonts w:hint="eastAsia" w:ascii="Times New Roman" w:hAnsi="Times New Roman" w:eastAsia="宋体" w:cs="Times New Roman"/>
        </w:rPr>
        <w:t>6</w:t>
      </w:r>
      <w:r>
        <w:rPr>
          <w:rFonts w:ascii="Times New Roman" w:hAnsi="Times New Roman" w:eastAsia="宋体" w:cs="Times New Roman"/>
        </w:rPr>
        <w:t>] Pfau D, Smith DA, Beck R, et al. Primary mediastinal large B-cell lymphoma: a review for radiologists. AJR Am J Roentgenol. 2019</w:t>
      </w:r>
      <w:r>
        <w:rPr>
          <w:rFonts w:hint="eastAsia" w:ascii="Times New Roman" w:hAnsi="Times New Roman" w:eastAsia="宋体" w:cs="Times New Roman"/>
        </w:rPr>
        <w:t>,</w:t>
      </w:r>
      <w:r>
        <w:rPr>
          <w:rFonts w:ascii="Times New Roman" w:hAnsi="Times New Roman" w:eastAsia="宋体" w:cs="Times New Roman"/>
        </w:rPr>
        <w:t>213(5):W194-W210.</w:t>
      </w:r>
    </w:p>
    <w:p w14:paraId="55979A83">
      <w:pPr>
        <w:rPr>
          <w:rFonts w:ascii="Times New Roman" w:hAnsi="Times New Roman" w:eastAsia="宋体" w:cs="Times New Roman"/>
          <w:lang w:val="fr-FR"/>
        </w:rPr>
      </w:pPr>
      <w:r>
        <w:rPr>
          <w:rFonts w:ascii="Times New Roman" w:hAnsi="Times New Roman" w:eastAsia="宋体" w:cs="Times New Roman"/>
        </w:rPr>
        <w:t>[5</w:t>
      </w:r>
      <w:r>
        <w:rPr>
          <w:rFonts w:hint="eastAsia" w:ascii="Times New Roman" w:hAnsi="Times New Roman" w:eastAsia="宋体" w:cs="Times New Roman"/>
        </w:rPr>
        <w:t>7</w:t>
      </w:r>
      <w:r>
        <w:rPr>
          <w:rFonts w:ascii="Times New Roman" w:hAnsi="Times New Roman" w:eastAsia="宋体" w:cs="Times New Roman"/>
        </w:rPr>
        <w:t xml:space="preserve">] Dutta R, Kumar A, Julka PK, et al. Thymic neuroendocrine tumour (carcinoid): clinicopathological features of four patients with different presentation. </w:t>
      </w:r>
      <w:r>
        <w:rPr>
          <w:rFonts w:ascii="Times New Roman" w:hAnsi="Times New Roman" w:eastAsia="宋体" w:cs="Times New Roman"/>
          <w:lang w:val="fr-FR"/>
        </w:rPr>
        <w:t>Interact Cardiovasc Thorac Surg. 2010</w:t>
      </w:r>
      <w:r>
        <w:rPr>
          <w:rFonts w:hint="eastAsia" w:ascii="Times New Roman" w:hAnsi="Times New Roman" w:eastAsia="宋体" w:cs="Times New Roman"/>
          <w:lang w:val="fr-FR"/>
        </w:rPr>
        <w:t>,</w:t>
      </w:r>
      <w:r>
        <w:rPr>
          <w:rFonts w:ascii="Times New Roman" w:hAnsi="Times New Roman" w:eastAsia="宋体" w:cs="Times New Roman"/>
          <w:lang w:val="fr-FR"/>
        </w:rPr>
        <w:t xml:space="preserve">11(6):732-736.  </w:t>
      </w:r>
    </w:p>
    <w:p w14:paraId="340F8867">
      <w:pPr>
        <w:rPr>
          <w:rFonts w:ascii="Times New Roman" w:hAnsi="Times New Roman" w:eastAsia="宋体" w:cs="Times New Roman"/>
        </w:rPr>
      </w:pPr>
      <w:r>
        <w:rPr>
          <w:rFonts w:ascii="Times New Roman" w:hAnsi="Times New Roman" w:eastAsia="宋体" w:cs="Times New Roman"/>
          <w:lang w:val="fr-FR"/>
        </w:rPr>
        <w:t>[5</w:t>
      </w:r>
      <w:r>
        <w:rPr>
          <w:rFonts w:hint="eastAsia" w:ascii="Times New Roman" w:hAnsi="Times New Roman" w:eastAsia="宋体" w:cs="Times New Roman"/>
          <w:lang w:val="fr-FR"/>
        </w:rPr>
        <w:t>8</w:t>
      </w:r>
      <w:r>
        <w:rPr>
          <w:rFonts w:ascii="Times New Roman" w:hAnsi="Times New Roman" w:eastAsia="宋体" w:cs="Times New Roman"/>
          <w:lang w:val="fr-FR"/>
        </w:rPr>
        <w:t xml:space="preserve">] Marx A, Chan JK, Coindre JM, et al. </w:t>
      </w:r>
      <w:r>
        <w:rPr>
          <w:rFonts w:ascii="Times New Roman" w:hAnsi="Times New Roman" w:eastAsia="宋体" w:cs="Times New Roman"/>
        </w:rPr>
        <w:t>The 2015 World Health Organization classification of tumors of the thymus: continuity and changes. J Thorac Oncol. 2015</w:t>
      </w:r>
      <w:r>
        <w:rPr>
          <w:rFonts w:hint="eastAsia" w:ascii="Times New Roman" w:hAnsi="Times New Roman" w:eastAsia="宋体" w:cs="Times New Roman"/>
        </w:rPr>
        <w:t>,</w:t>
      </w:r>
      <w:r>
        <w:rPr>
          <w:rFonts w:ascii="Times New Roman" w:hAnsi="Times New Roman" w:eastAsia="宋体" w:cs="Times New Roman"/>
        </w:rPr>
        <w:t xml:space="preserve">10(10):1383-1395.  </w:t>
      </w:r>
    </w:p>
    <w:p w14:paraId="52F0B813">
      <w:pPr>
        <w:rPr>
          <w:rFonts w:ascii="Times New Roman" w:hAnsi="Times New Roman" w:eastAsia="宋体" w:cs="Times New Roman"/>
        </w:rPr>
      </w:pPr>
      <w:r>
        <w:rPr>
          <w:rFonts w:ascii="Times New Roman" w:hAnsi="Times New Roman" w:eastAsia="宋体" w:cs="Times New Roman"/>
        </w:rPr>
        <w:t>[5</w:t>
      </w:r>
      <w:r>
        <w:rPr>
          <w:rFonts w:hint="eastAsia" w:ascii="Times New Roman" w:hAnsi="Times New Roman" w:eastAsia="宋体" w:cs="Times New Roman"/>
        </w:rPr>
        <w:t>9</w:t>
      </w:r>
      <w:r>
        <w:rPr>
          <w:rFonts w:ascii="Times New Roman" w:hAnsi="Times New Roman" w:eastAsia="宋体" w:cs="Times New Roman"/>
        </w:rPr>
        <w:t>] 卫英, 阮磊. 胸腺原发神经内分泌肿瘤的CT诊断与鉴别诊断. 医学影像学杂志. 2021</w:t>
      </w:r>
      <w:r>
        <w:rPr>
          <w:rFonts w:hint="eastAsia" w:ascii="Times New Roman" w:hAnsi="Times New Roman" w:eastAsia="宋体" w:cs="Times New Roman"/>
        </w:rPr>
        <w:t>,</w:t>
      </w:r>
      <w:r>
        <w:rPr>
          <w:rFonts w:ascii="Times New Roman" w:hAnsi="Times New Roman" w:eastAsia="宋体" w:cs="Times New Roman"/>
        </w:rPr>
        <w:t xml:space="preserve">31(4):593-595,610.  </w:t>
      </w:r>
    </w:p>
    <w:p w14:paraId="77D296E0">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60</w:t>
      </w:r>
      <w:r>
        <w:rPr>
          <w:rFonts w:ascii="Times New Roman" w:hAnsi="Times New Roman" w:eastAsia="宋体" w:cs="Times New Roman"/>
        </w:rPr>
        <w:t>] Travis WD, Brambilla E, Burke AP, et al. Introduction to The 2015 World Health Organization classification of tumors of the lung, pleura, thymus, and heart. J Thorac Oncol. 2015</w:t>
      </w:r>
      <w:r>
        <w:rPr>
          <w:rFonts w:hint="eastAsia" w:ascii="Times New Roman" w:hAnsi="Times New Roman" w:eastAsia="宋体" w:cs="Times New Roman"/>
        </w:rPr>
        <w:t>,</w:t>
      </w:r>
      <w:r>
        <w:rPr>
          <w:rFonts w:ascii="Times New Roman" w:hAnsi="Times New Roman" w:eastAsia="宋体" w:cs="Times New Roman"/>
        </w:rPr>
        <w:t xml:space="preserve">10(9):1240-1242.  </w:t>
      </w:r>
    </w:p>
    <w:p w14:paraId="64F317BE">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61</w:t>
      </w:r>
      <w:r>
        <w:rPr>
          <w:rFonts w:ascii="Times New Roman" w:hAnsi="Times New Roman" w:eastAsia="宋体" w:cs="Times New Roman"/>
        </w:rPr>
        <w:t>] Strollo DC, Rosado De Christenson ML, Jett JR. Primary mediastinal tumors. Part 1: tumors of the anterior mediastinum. Chest. 1997</w:t>
      </w:r>
      <w:r>
        <w:rPr>
          <w:rFonts w:hint="eastAsia" w:ascii="Times New Roman" w:hAnsi="Times New Roman" w:eastAsia="宋体" w:cs="Times New Roman"/>
        </w:rPr>
        <w:t>,</w:t>
      </w:r>
      <w:r>
        <w:rPr>
          <w:rFonts w:ascii="Times New Roman" w:hAnsi="Times New Roman" w:eastAsia="宋体" w:cs="Times New Roman"/>
        </w:rPr>
        <w:t xml:space="preserve">112(2):511-522.  </w:t>
      </w:r>
    </w:p>
    <w:p w14:paraId="5CE2C457">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62</w:t>
      </w:r>
      <w:r>
        <w:rPr>
          <w:rFonts w:ascii="Times New Roman" w:hAnsi="Times New Roman" w:eastAsia="宋体" w:cs="Times New Roman"/>
        </w:rPr>
        <w:t>] Hajhosseini B, Montazeri V, Hajhosseini L, et al. Mediastinal goiter: a comprehensive study of 60 consecutive cases with special emphasis on identifying predictors of malignancy and sternotomy. Am J Surg. 2012</w:t>
      </w:r>
      <w:r>
        <w:rPr>
          <w:rFonts w:hint="eastAsia" w:ascii="Times New Roman" w:hAnsi="Times New Roman" w:eastAsia="宋体" w:cs="Times New Roman"/>
        </w:rPr>
        <w:t>,</w:t>
      </w:r>
      <w:r>
        <w:rPr>
          <w:rFonts w:ascii="Times New Roman" w:hAnsi="Times New Roman" w:eastAsia="宋体" w:cs="Times New Roman"/>
        </w:rPr>
        <w:t xml:space="preserve">203(4):442-447.  </w:t>
      </w:r>
    </w:p>
    <w:p w14:paraId="0293222A">
      <w:pPr>
        <w:rPr>
          <w:rFonts w:ascii="Times New Roman" w:hAnsi="Times New Roman" w:eastAsia="宋体" w:cs="Times New Roman"/>
        </w:rPr>
      </w:pPr>
      <w:r>
        <w:rPr>
          <w:rFonts w:ascii="Times New Roman" w:hAnsi="Times New Roman" w:eastAsia="宋体" w:cs="Times New Roman"/>
        </w:rPr>
        <w:t>[</w:t>
      </w:r>
      <w:r>
        <w:rPr>
          <w:rFonts w:hint="eastAsia" w:ascii="Times New Roman" w:hAnsi="Times New Roman" w:eastAsia="宋体" w:cs="Times New Roman"/>
        </w:rPr>
        <w:t>63</w:t>
      </w:r>
      <w:r>
        <w:rPr>
          <w:rFonts w:ascii="Times New Roman" w:hAnsi="Times New Roman" w:eastAsia="宋体" w:cs="Times New Roman"/>
        </w:rPr>
        <w:t>] Bizakis J, Karatzanis A, Hajiionnou J, et al. Diagnosis and management of substernal goiter at the University of Crete. Surg Today. 2008</w:t>
      </w:r>
      <w:r>
        <w:rPr>
          <w:rFonts w:hint="eastAsia" w:ascii="Times New Roman" w:hAnsi="Times New Roman" w:eastAsia="宋体" w:cs="Times New Roman"/>
        </w:rPr>
        <w:t>,</w:t>
      </w:r>
      <w:r>
        <w:rPr>
          <w:rFonts w:ascii="Times New Roman" w:hAnsi="Times New Roman" w:eastAsia="宋体" w:cs="Times New Roman"/>
        </w:rPr>
        <w:t xml:space="preserve">38(2):99-103.  </w:t>
      </w:r>
    </w:p>
    <w:p w14:paraId="61924F97">
      <w:pPr>
        <w:rPr>
          <w:rFonts w:ascii="Times New Roman" w:hAnsi="Times New Roman" w:eastAsia="宋体" w:cs="Times New Roman"/>
        </w:rPr>
      </w:pPr>
      <w:r>
        <w:rPr>
          <w:rFonts w:ascii="Times New Roman" w:hAnsi="Times New Roman" w:eastAsia="宋体" w:cs="Times New Roman"/>
        </w:rPr>
        <w:t>[6</w:t>
      </w:r>
      <w:r>
        <w:rPr>
          <w:rFonts w:hint="eastAsia" w:ascii="Times New Roman" w:hAnsi="Times New Roman" w:eastAsia="宋体" w:cs="Times New Roman"/>
        </w:rPr>
        <w:t>4</w:t>
      </w:r>
      <w:r>
        <w:rPr>
          <w:rFonts w:ascii="Times New Roman" w:hAnsi="Times New Roman" w:eastAsia="宋体" w:cs="Times New Roman"/>
        </w:rPr>
        <w:t>] Löffler MT, Bamberg F, Eisenblätter M, et al. Mediastinal lesions: The most common pathologies in chest X-rays and their correlations in computed tomography. Radiologe. 2022</w:t>
      </w:r>
      <w:r>
        <w:rPr>
          <w:rFonts w:hint="eastAsia" w:ascii="Times New Roman" w:hAnsi="Times New Roman" w:eastAsia="宋体" w:cs="Times New Roman"/>
        </w:rPr>
        <w:t>,</w:t>
      </w:r>
      <w:r>
        <w:rPr>
          <w:rFonts w:ascii="Times New Roman" w:hAnsi="Times New Roman" w:eastAsia="宋体" w:cs="Times New Roman"/>
        </w:rPr>
        <w:t xml:space="preserve">62(2):99-108.  </w:t>
      </w:r>
    </w:p>
    <w:p w14:paraId="450445C0">
      <w:pPr>
        <w:rPr>
          <w:rFonts w:ascii="Times New Roman" w:hAnsi="Times New Roman" w:eastAsia="宋体" w:cs="Times New Roman"/>
        </w:rPr>
      </w:pPr>
      <w:r>
        <w:rPr>
          <w:rFonts w:ascii="Times New Roman" w:hAnsi="Times New Roman" w:eastAsia="宋体" w:cs="Times New Roman"/>
        </w:rPr>
        <w:t>[6</w:t>
      </w:r>
      <w:r>
        <w:rPr>
          <w:rFonts w:hint="eastAsia" w:ascii="Times New Roman" w:hAnsi="Times New Roman" w:eastAsia="宋体" w:cs="Times New Roman"/>
        </w:rPr>
        <w:t>5</w:t>
      </w:r>
      <w:r>
        <w:rPr>
          <w:rFonts w:ascii="Times New Roman" w:hAnsi="Times New Roman" w:eastAsia="宋体" w:cs="Times New Roman"/>
        </w:rPr>
        <w:t>] 龚启勇</w:t>
      </w:r>
      <w:r>
        <w:rPr>
          <w:rFonts w:hint="eastAsia" w:ascii="Times New Roman" w:hAnsi="Times New Roman" w:eastAsia="宋体" w:cs="Times New Roman"/>
        </w:rPr>
        <w:t>,刘士远,</w:t>
      </w:r>
      <w:r>
        <w:rPr>
          <w:rFonts w:ascii="Times New Roman" w:hAnsi="Times New Roman" w:eastAsia="宋体" w:cs="Times New Roman"/>
        </w:rPr>
        <w:t>等.医学影像学（第9版）.北京</w:t>
      </w:r>
      <w:r>
        <w:rPr>
          <w:rFonts w:hint="eastAsia" w:ascii="Times New Roman" w:hAnsi="Times New Roman" w:eastAsia="宋体" w:cs="Times New Roman"/>
        </w:rPr>
        <w:t>:</w:t>
      </w:r>
      <w:r>
        <w:rPr>
          <w:rFonts w:ascii="Times New Roman" w:hAnsi="Times New Roman" w:eastAsia="宋体" w:cs="Times New Roman"/>
        </w:rPr>
        <w:t>人民卫生出版社</w:t>
      </w:r>
      <w:r>
        <w:rPr>
          <w:rFonts w:hint="eastAsia" w:ascii="Times New Roman" w:hAnsi="Times New Roman" w:eastAsia="宋体" w:cs="Times New Roman"/>
        </w:rPr>
        <w:t>,</w:t>
      </w:r>
      <w:r>
        <w:rPr>
          <w:rFonts w:ascii="Times New Roman" w:hAnsi="Times New Roman" w:eastAsia="宋体" w:cs="Times New Roman"/>
        </w:rPr>
        <w:t xml:space="preserve">2024.  </w:t>
      </w:r>
    </w:p>
    <w:p w14:paraId="55CCBD99">
      <w:pPr>
        <w:widowControl w:val="0"/>
        <w:rPr>
          <w:rFonts w:hint="eastAsia"/>
        </w:rPr>
      </w:pPr>
      <w:r>
        <w:rPr>
          <w:rFonts w:ascii="Times New Roman" w:hAnsi="Times New Roman" w:eastAsia="宋体" w:cs="Times New Roman"/>
        </w:rPr>
        <mc:AlternateContent>
          <mc:Choice Requires="wps">
            <w:drawing>
              <wp:anchor distT="0" distB="0" distL="114300" distR="114300" simplePos="0" relativeHeight="251664384" behindDoc="0" locked="0" layoutInCell="1" allowOverlap="1">
                <wp:simplePos x="0" y="0"/>
                <wp:positionH relativeFrom="column">
                  <wp:posOffset>2085340</wp:posOffset>
                </wp:positionH>
                <wp:positionV relativeFrom="paragraph">
                  <wp:posOffset>988695</wp:posOffset>
                </wp:positionV>
                <wp:extent cx="1104900" cy="0"/>
                <wp:effectExtent l="0" t="0" r="0" b="0"/>
                <wp:wrapNone/>
                <wp:docPr id="1503175401" name="直接连接符 11"/>
                <wp:cNvGraphicFramePr/>
                <a:graphic xmlns:a="http://schemas.openxmlformats.org/drawingml/2006/main">
                  <a:graphicData uri="http://schemas.microsoft.com/office/word/2010/wordprocessingShape">
                    <wps:wsp>
                      <wps:cNvCnPr/>
                      <wps:spPr>
                        <a:xfrm>
                          <a:off x="0" y="0"/>
                          <a:ext cx="11049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11" o:spid="_x0000_s1026" o:spt="20" style="position:absolute;left:0pt;margin-left:164.2pt;margin-top:77.85pt;height:0pt;width:87pt;z-index:251664384;mso-width-relative:page;mso-height-relative:page;" filled="f" stroked="t" coordsize="21600,21600" o:gfxdata="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sJGLT&#10;1gAAAAsBAAAPAAAAAAAAAAEAIAAAACIAAABkcnMvZG93bnJldi54bWxQSwECFAAUAAAACACHTuJA&#10;ufY8l+oBAAC7AwAADgAAAAAAAAABACAAAAAlAQAAZHJzL2Uyb0RvYy54bWxQSwUGAAAAAAYABgBZ&#10;AQAAgQUAAAAA&#10;">
                <v:fill on="f" focussize="0,0"/>
                <v:stroke weight="0.5pt" color="#000000 [3200]" miterlimit="8" joinstyle="miter"/>
                <v:imagedata o:title=""/>
                <o:lock v:ext="edit" aspectratio="f"/>
              </v:line>
            </w:pict>
          </mc:Fallback>
        </mc:AlternateContent>
      </w:r>
      <w:r>
        <w:rPr>
          <w:rFonts w:ascii="Times New Roman" w:hAnsi="Times New Roman" w:eastAsia="宋体" w:cs="Times New Roman"/>
        </w:rPr>
        <w:t>[6</w:t>
      </w:r>
      <w:r>
        <w:rPr>
          <w:rFonts w:hint="eastAsia" w:ascii="Times New Roman" w:hAnsi="Times New Roman" w:eastAsia="宋体" w:cs="Times New Roman"/>
        </w:rPr>
        <w:t>6</w:t>
      </w:r>
      <w:r>
        <w:rPr>
          <w:rFonts w:ascii="Times New Roman" w:hAnsi="Times New Roman" w:eastAsia="宋体" w:cs="Times New Roman"/>
        </w:rPr>
        <w:t>] 中国医师协会肿瘤多学科诊疗专业委员会,王洁,程颖,等.中国胸腺上皮肿瘤临床诊疗指南(2021版).中华肿瘤杂志.2</w:t>
      </w:r>
      <w:bookmarkStart w:id="18" w:name="_GoBack"/>
      <w:bookmarkEnd w:id="18"/>
      <w:r>
        <w:rPr>
          <w:rFonts w:ascii="Times New Roman" w:hAnsi="Times New Roman" w:eastAsia="宋体" w:cs="Times New Roman"/>
        </w:rPr>
        <w:t>021;43(4):395-404.</w:t>
      </w:r>
    </w:p>
    <w:sectPr>
      <w:footerReference r:id="rId14" w:type="default"/>
      <w:headerReference r:id="rId13" w:type="even"/>
      <w:footerReference r:id="rId15" w:type="even"/>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Segoe UI">
    <w:panose1 w:val="020B0502040204020203"/>
    <w:charset w:val="00"/>
    <w:family w:val="swiss"/>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D4E2AD">
    <w:pPr>
      <w:pStyle w:val="7"/>
      <w:jc w:val="right"/>
      <w:rPr>
        <w:rFonts w:hint="eastAsia"/>
      </w:rPr>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741628442"/>
                          </w:sdtPr>
                          <w:sdtContent>
                            <w:p w14:paraId="440E0514">
                              <w:pPr>
                                <w:pStyle w:val="7"/>
                                <w:jc w:val="right"/>
                                <w:rPr>
                                  <w:rFonts w:hint="eastAsia"/>
                                </w:rPr>
                              </w:pPr>
                              <w:r>
                                <w:fldChar w:fldCharType="begin"/>
                              </w:r>
                              <w:r>
                                <w:instrText xml:space="preserve">PAGE   \* MERGEFORMAT</w:instrText>
                              </w:r>
                              <w:r>
                                <w:fldChar w:fldCharType="separate"/>
                              </w:r>
                              <w:r>
                                <w:rPr>
                                  <w:lang w:val="zh-CN"/>
                                </w:rPr>
                                <w:t>15</w:t>
                              </w:r>
                              <w:r>
                                <w:fldChar w:fldCharType="end"/>
                              </w:r>
                            </w:p>
                          </w:sdtContent>
                        </w:sdt>
                        <w:p w14:paraId="68E5A3F5">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sdt>
                    <w:sdtPr>
                      <w:id w:val="-1741628442"/>
                    </w:sdtPr>
                    <w:sdtContent>
                      <w:p w14:paraId="440E0514">
                        <w:pPr>
                          <w:pStyle w:val="7"/>
                          <w:jc w:val="right"/>
                          <w:rPr>
                            <w:rFonts w:hint="eastAsia"/>
                          </w:rPr>
                        </w:pPr>
                        <w:r>
                          <w:fldChar w:fldCharType="begin"/>
                        </w:r>
                        <w:r>
                          <w:instrText xml:space="preserve">PAGE   \* MERGEFORMAT</w:instrText>
                        </w:r>
                        <w:r>
                          <w:fldChar w:fldCharType="separate"/>
                        </w:r>
                        <w:r>
                          <w:rPr>
                            <w:lang w:val="zh-CN"/>
                          </w:rPr>
                          <w:t>15</w:t>
                        </w:r>
                        <w:r>
                          <w:fldChar w:fldCharType="end"/>
                        </w:r>
                      </w:p>
                    </w:sdtContent>
                  </w:sdt>
                  <w:p w14:paraId="68E5A3F5">
                    <w:pPr>
                      <w:rPr>
                        <w:rFonts w:hint="eastAsia"/>
                      </w:rPr>
                    </w:pPr>
                  </w:p>
                </w:txbxContent>
              </v:textbox>
            </v:shape>
          </w:pict>
        </mc:Fallback>
      </mc:AlternateContent>
    </w:r>
  </w:p>
  <w:p w14:paraId="3C08B740">
    <w:pPr>
      <w:pStyle w:val="7"/>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A4FC4">
    <w:pPr>
      <w:pStyle w:val="7"/>
      <w:rPr>
        <w:rFonts w:hint="eastAsia"/>
      </w:rPr>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A00F7B">
                          <w:pPr>
                            <w:pStyle w:val="7"/>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4A00F7B">
                    <w:pPr>
                      <w:pStyle w:val="7"/>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E44087">
    <w:pPr>
      <w:pStyle w:val="7"/>
      <w:rPr>
        <w:rFonts w:hint="eastAsia"/>
      </w:rPr>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D80837">
                          <w:pPr>
                            <w:pStyle w:val="7"/>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BD80837">
                    <w:pPr>
                      <w:pStyle w:val="7"/>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2A0FF">
    <w:pPr>
      <w:pStyle w:val="7"/>
      <w:rPr>
        <w:rFonts w:hint="eastAsia"/>
      </w:rPr>
    </w:pPr>
    <w: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542009">
                          <w:pPr>
                            <w:pStyle w:val="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5F542009">
                    <w:pPr>
                      <w:pStyle w:val="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4128E1">
    <w:pPr>
      <w:pStyle w:val="7"/>
      <w:jc w:val="right"/>
      <w:rPr>
        <w:rFonts w:hint="eastAsia"/>
      </w:rPr>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A5CBEE">
                          <w:pPr>
                            <w:pStyle w:val="7"/>
                            <w:rPr>
                              <w:rFonts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rPr>
                            <w:instrText xml:space="preserve"> PAGE  \* MERGEFORMAT </w:instrText>
                          </w:r>
                          <w:r>
                            <w:rPr>
                              <w:rFonts w:ascii="Times New Roman" w:hAnsi="Times New Roman" w:eastAsia="宋体" w:cs="Times New Roman"/>
                            </w:rPr>
                            <w:fldChar w:fldCharType="separate"/>
                          </w:r>
                          <w:r>
                            <w:rPr>
                              <w:rFonts w:ascii="Times New Roman" w:hAnsi="Times New Roman" w:eastAsia="宋体" w:cs="Times New Roman"/>
                            </w:rPr>
                            <w:t>I</w:t>
                          </w:r>
                          <w:r>
                            <w:rPr>
                              <w:rFonts w:ascii="Times New Roman" w:hAnsi="Times New Roman" w:eastAsia="宋体" w:cs="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48A5CBEE">
                    <w:pPr>
                      <w:pStyle w:val="7"/>
                      <w:rPr>
                        <w:rFonts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rPr>
                      <w:instrText xml:space="preserve"> PAGE  \* MERGEFORMAT </w:instrText>
                    </w:r>
                    <w:r>
                      <w:rPr>
                        <w:rFonts w:ascii="Times New Roman" w:hAnsi="Times New Roman" w:eastAsia="宋体" w:cs="Times New Roman"/>
                      </w:rPr>
                      <w:fldChar w:fldCharType="separate"/>
                    </w:r>
                    <w:r>
                      <w:rPr>
                        <w:rFonts w:ascii="Times New Roman" w:hAnsi="Times New Roman" w:eastAsia="宋体" w:cs="Times New Roman"/>
                      </w:rPr>
                      <w:t>I</w:t>
                    </w:r>
                    <w:r>
                      <w:rPr>
                        <w:rFonts w:ascii="Times New Roman" w:hAnsi="Times New Roman" w:eastAsia="宋体" w:cs="Times New Roman"/>
                      </w:rPr>
                      <w:fldChar w:fldCharType="end"/>
                    </w:r>
                  </w:p>
                </w:txbxContent>
              </v:textbox>
            </v:shape>
          </w:pict>
        </mc:Fallback>
      </mc:AlternateContent>
    </w:r>
  </w:p>
  <w:p w14:paraId="71CA03C5">
    <w:pPr>
      <w:pStyle w:val="7"/>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D81AA">
    <w:pPr>
      <w:pStyle w:val="7"/>
      <w:rPr>
        <w:rFonts w:hint="eastAsia"/>
      </w:rPr>
    </w:pPr>
    <w: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75E881">
                          <w:pPr>
                            <w:pStyle w:val="7"/>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1375E881">
                    <w:pPr>
                      <w:pStyle w:val="7"/>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C687F9">
    <w:pPr>
      <w:pStyle w:val="7"/>
      <w:rPr>
        <w:rFonts w:hint="eastAsi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5F6F4">
    <w:pPr>
      <w:pStyle w:val="7"/>
      <w:jc w:val="right"/>
      <w:rPr>
        <w:rFonts w:hint="eastAsia"/>
      </w:rPr>
    </w:pPr>
    <w: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99C1D7">
                          <w:pPr>
                            <w:pStyle w:val="7"/>
                            <w:rPr>
                              <w:rFonts w:hint="eastAsia"/>
                            </w:rPr>
                          </w:pPr>
                          <w:r>
                            <w:fldChar w:fldCharType="begin"/>
                          </w:r>
                          <w:r>
                            <w:instrText xml:space="preserve"> PAGE  \* MERGEFORMAT </w:instrText>
                          </w:r>
                          <w:r>
                            <w:fldChar w:fldCharType="separate"/>
                          </w:r>
                          <w:r>
                            <w:t>III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2399C1D7">
                    <w:pPr>
                      <w:pStyle w:val="7"/>
                      <w:rPr>
                        <w:rFonts w:hint="eastAsia"/>
                      </w:rPr>
                    </w:pPr>
                    <w:r>
                      <w:fldChar w:fldCharType="begin"/>
                    </w:r>
                    <w:r>
                      <w:instrText xml:space="preserve"> PAGE  \* MERGEFORMAT </w:instrText>
                    </w:r>
                    <w:r>
                      <w:fldChar w:fldCharType="separate"/>
                    </w:r>
                    <w:r>
                      <w:t>III</w:t>
                    </w:r>
                    <w:r>
                      <w:fldChar w:fldCharType="end"/>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inside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63A41B">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1C63A41B">
                    <w:pPr>
                      <w:rPr>
                        <w:rFonts w:hint="eastAsia"/>
                      </w:rPr>
                    </w:pP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F78A2">
    <w:pPr>
      <w:pStyle w:val="7"/>
      <w:tabs>
        <w:tab w:val="clear" w:pos="4153"/>
      </w:tabs>
      <w:rPr>
        <w:rFonts w:hint="eastAsia"/>
      </w:rPr>
    </w:pPr>
    <w:r>
      <mc:AlternateContent>
        <mc:Choice Requires="wps">
          <w:drawing>
            <wp:anchor distT="0" distB="0" distL="114300" distR="114300" simplePos="0" relativeHeight="2516684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724DB8">
                          <w:pPr>
                            <w:pStyle w:val="7"/>
                            <w:rPr>
                              <w:rFonts w:hint="eastAsia"/>
                            </w:rPr>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22724DB8">
                    <w:pPr>
                      <w:pStyle w:val="7"/>
                      <w:rPr>
                        <w:rFonts w:hint="eastAsia"/>
                      </w:rPr>
                    </w:pPr>
                    <w:r>
                      <w:fldChar w:fldCharType="begin"/>
                    </w:r>
                    <w:r>
                      <w:instrText xml:space="preserve"> PAGE  \* MERGEFORMAT </w:instrText>
                    </w:r>
                    <w:r>
                      <w:fldChar w:fldCharType="separate"/>
                    </w:r>
                    <w:r>
                      <w:t>II</w:t>
                    </w:r>
                    <w:r>
                      <w:fldChar w:fldCharType="end"/>
                    </w:r>
                  </w:p>
                </w:txbxContent>
              </v:textbox>
            </v:shape>
          </w:pict>
        </mc:Fallback>
      </mc:AlternateContent>
    </w:r>
    <w:r>
      <w:rPr>
        <w:rFonts w:hint="eastAsia" w:eastAsia="宋体"/>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D9C13">
    <w:pPr>
      <w:pStyle w:val="8"/>
      <w:pBdr>
        <w:bottom w:val="none" w:color="auto" w:sz="0" w:space="1"/>
      </w:pBdr>
      <w:jc w:val="right"/>
      <w:rPr>
        <w:rFonts w:ascii="Times New Roman" w:hAnsi="Times New Roman" w:eastAsia="宋体" w:cs="Times New Roman"/>
      </w:rPr>
    </w:pPr>
    <w:r>
      <w:rPr>
        <w:rFonts w:ascii="Times New Roman" w:hAnsi="Times New Roman" w:eastAsia="宋体" w:cs="Times New Roman"/>
      </w:rPr>
      <w:t xml:space="preserve">T/CRHA </w:t>
    </w:r>
    <w:r>
      <w:rPr>
        <w:rFonts w:hint="eastAsia" w:ascii="Times New Roman" w:hAnsi="Times New Roman" w:eastAsia="宋体" w:cs="Times New Roman"/>
      </w:rPr>
      <w:t>XXX—</w:t>
    </w:r>
    <w:r>
      <w:rPr>
        <w:rFonts w:ascii="Times New Roman" w:hAnsi="Times New Roman" w:eastAsia="宋体" w:cs="Times New Roman"/>
      </w:rPr>
      <w:t>202</w:t>
    </w:r>
    <w:r>
      <w:rPr>
        <w:rFonts w:hint="eastAsia" w:ascii="Times New Roman" w:hAnsi="Times New Roman" w:eastAsia="宋体" w:cs="Times New Roman"/>
      </w:rPr>
      <w:t>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0FDFB">
    <w:pPr>
      <w:pStyle w:val="8"/>
      <w:pBdr>
        <w:bottom w:val="none" w:color="auto" w:sz="0" w:space="1"/>
      </w:pBdr>
      <w:jc w:val="left"/>
      <w:rPr>
        <w:rFonts w:ascii="Times New Roman" w:hAnsi="Times New Roman" w:eastAsia="宋体" w:cs="Times New Roman"/>
      </w:rPr>
    </w:pPr>
    <w:r>
      <w:rPr>
        <w:rFonts w:ascii="Times New Roman" w:hAnsi="Times New Roman" w:eastAsia="宋体" w:cs="Times New Roman"/>
        <w:b/>
        <w:bCs/>
        <w:sz w:val="21"/>
        <w:szCs w:val="21"/>
      </w:rPr>
      <w:t>T/CRHA</w:t>
    </w:r>
    <w:r>
      <w:rPr>
        <w:rFonts w:ascii="Times New Roman" w:hAnsi="Times New Roman" w:eastAsia="宋体" w:cs="Times New Roman"/>
      </w:rPr>
      <w:t xml:space="preserve"> </w:t>
    </w:r>
    <w:r>
      <w:rPr>
        <w:rFonts w:hint="eastAsia" w:ascii="黑体" w:hAnsi="黑体" w:eastAsia="黑体" w:cs="黑体"/>
        <w:sz w:val="21"/>
        <w:szCs w:val="21"/>
      </w:rPr>
      <w:t>XXX—202X</w:t>
    </w:r>
  </w:p>
  <w:p w14:paraId="782C2AF8">
    <w:pPr>
      <w:pStyle w:val="8"/>
      <w:pBdr>
        <w:bottom w:val="none" w:color="auto" w:sz="0" w:space="1"/>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BF2A4D">
    <w:pPr>
      <w:pStyle w:val="8"/>
      <w:pBdr>
        <w:bottom w:val="none" w:color="auto" w:sz="0" w:space="1"/>
      </w:pBdr>
      <w:jc w:val="right"/>
      <w:rPr>
        <w:rFonts w:ascii="Times New Roman" w:hAnsi="Times New Roman" w:eastAsia="宋体" w:cs="Times New Roman"/>
      </w:rPr>
    </w:pPr>
    <w:r>
      <w:rPr>
        <w:rFonts w:ascii="Times New Roman" w:hAnsi="Times New Roman" w:eastAsia="宋体" w:cs="Times New Roman"/>
        <w:b/>
        <w:bCs/>
        <w:sz w:val="21"/>
        <w:szCs w:val="21"/>
      </w:rPr>
      <w:t>T/CRHA</w:t>
    </w:r>
    <w:r>
      <w:rPr>
        <w:rFonts w:ascii="Times New Roman" w:hAnsi="Times New Roman" w:eastAsia="宋体" w:cs="Times New Roman"/>
      </w:rPr>
      <w:t xml:space="preserve"> </w:t>
    </w:r>
    <w:r>
      <w:rPr>
        <w:rFonts w:hint="eastAsia" w:ascii="黑体" w:hAnsi="黑体" w:eastAsia="黑体" w:cs="黑体"/>
        <w:sz w:val="21"/>
        <w:szCs w:val="21"/>
      </w:rPr>
      <w:t>XXX—202X</w:t>
    </w:r>
  </w:p>
  <w:p w14:paraId="39C69DB8">
    <w:pP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9235EA">
    <w:pPr>
      <w:pStyle w:val="8"/>
      <w:pBdr>
        <w:bottom w:val="none" w:color="auto" w:sz="0" w:space="1"/>
      </w:pBdr>
      <w:jc w:val="left"/>
      <w:rPr>
        <w:rFonts w:ascii="Times New Roman" w:hAnsi="Times New Roman" w:eastAsia="宋体" w:cs="Times New Roman"/>
      </w:rPr>
    </w:pPr>
    <w:r>
      <w:rPr>
        <w:rFonts w:ascii="Times New Roman" w:hAnsi="Times New Roman" w:eastAsia="宋体" w:cs="Times New Roman"/>
      </w:rPr>
      <w:t xml:space="preserve">T/CRHA </w:t>
    </w:r>
    <w:r>
      <w:rPr>
        <w:rFonts w:hint="eastAsia" w:ascii="Times New Roman" w:hAnsi="Times New Roman" w:eastAsia="宋体" w:cs="Times New Roman"/>
      </w:rPr>
      <w:t>XXX—</w:t>
    </w:r>
    <w:r>
      <w:rPr>
        <w:rFonts w:ascii="Times New Roman" w:hAnsi="Times New Roman" w:eastAsia="宋体" w:cs="Times New Roman"/>
      </w:rPr>
      <w:t>202</w:t>
    </w:r>
    <w:r>
      <w:rPr>
        <w:rFonts w:hint="eastAsia" w:ascii="Times New Roman" w:hAnsi="Times New Roman" w:eastAsia="宋体" w:cs="Times New Roman"/>
      </w:rPr>
      <w:t>X</w:t>
    </w:r>
  </w:p>
  <w:p w14:paraId="3C2B1658">
    <w:pPr>
      <w:pStyle w:val="8"/>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50"/>
      <w:suff w:val="nothing"/>
      <w:lvlText w:val="%1%2　"/>
      <w:lvlJc w:val="left"/>
      <w:pPr>
        <w:ind w:left="0" w:firstLine="0"/>
      </w:pPr>
      <w:rPr>
        <w:rFonts w:hint="eastAsia" w:ascii="黑体" w:eastAsia="黑体"/>
        <w:b w:val="0"/>
        <w:i w:val="0"/>
        <w:sz w:val="21"/>
      </w:rPr>
    </w:lvl>
    <w:lvl w:ilvl="2" w:tentative="0">
      <w:start w:val="1"/>
      <w:numFmt w:val="decimal"/>
      <w:pStyle w:val="51"/>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52"/>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evenAndOddHeaders w:val="1"/>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c5ZDM0NmQwNjA1OTNjYTgxMWU3ZThlM2E4YzM2ZjQifQ=="/>
    <w:docVar w:name="EN.InstantFormat" w:val="&lt;ENInstantFormat&gt;&lt;Enabled&gt;1&lt;/Enabled&gt;&lt;ScanUnformatted&gt;1&lt;/ScanUnformatted&gt;&lt;ScanChanges&gt;1&lt;/ScanChanges&gt;&lt;Suspended&gt;0&lt;/Suspended&gt;&lt;/ENInstantFormat&gt;"/>
    <w:docVar w:name="EN.Layout" w:val="&lt;ENLayout&gt;&lt;Style&gt;Behavioural Brain Research&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ds0v9efkape9he0eacp5as5ptwe5vpfd0td&quot;&gt;胡文静的EndNote库&lt;record-ids&gt;&lt;item&gt;1209&lt;/item&gt;&lt;item&gt;1215&lt;/item&gt;&lt;item&gt;1220&lt;/item&gt;&lt;item&gt;1222&lt;/item&gt;&lt;item&gt;1223&lt;/item&gt;&lt;item&gt;1224&lt;/item&gt;&lt;item&gt;1225&lt;/item&gt;&lt;item&gt;1226&lt;/item&gt;&lt;item&gt;1227&lt;/item&gt;&lt;item&gt;1228&lt;/item&gt;&lt;item&gt;1229&lt;/item&gt;&lt;item&gt;1314&lt;/item&gt;&lt;item&gt;1316&lt;/item&gt;&lt;/record-ids&gt;&lt;/item&gt;&lt;/Libraries&gt;"/>
    <w:docVar w:name="KY_MEDREF_DOCUID" w:val="{FAA23126-FA69-4DEA-9B0F-308792F70060}"/>
    <w:docVar w:name="KY_MEDREF_VERSION" w:val="3"/>
  </w:docVars>
  <w:rsids>
    <w:rsidRoot w:val="004833E2"/>
    <w:rsid w:val="00005D15"/>
    <w:rsid w:val="00006072"/>
    <w:rsid w:val="00010792"/>
    <w:rsid w:val="000126AC"/>
    <w:rsid w:val="00013176"/>
    <w:rsid w:val="00021587"/>
    <w:rsid w:val="0002453B"/>
    <w:rsid w:val="0002547B"/>
    <w:rsid w:val="0002637C"/>
    <w:rsid w:val="0002663B"/>
    <w:rsid w:val="00027EDC"/>
    <w:rsid w:val="000304DE"/>
    <w:rsid w:val="00033458"/>
    <w:rsid w:val="000377DA"/>
    <w:rsid w:val="0004039A"/>
    <w:rsid w:val="00041138"/>
    <w:rsid w:val="00041949"/>
    <w:rsid w:val="0005409C"/>
    <w:rsid w:val="000548DC"/>
    <w:rsid w:val="00056A60"/>
    <w:rsid w:val="0005763E"/>
    <w:rsid w:val="00057B09"/>
    <w:rsid w:val="0006275C"/>
    <w:rsid w:val="00066840"/>
    <w:rsid w:val="00072491"/>
    <w:rsid w:val="00072815"/>
    <w:rsid w:val="00073AC5"/>
    <w:rsid w:val="00077105"/>
    <w:rsid w:val="000771FC"/>
    <w:rsid w:val="00081E09"/>
    <w:rsid w:val="000830A8"/>
    <w:rsid w:val="0008659B"/>
    <w:rsid w:val="000870BE"/>
    <w:rsid w:val="00095271"/>
    <w:rsid w:val="000A10B7"/>
    <w:rsid w:val="000A144A"/>
    <w:rsid w:val="000A2D37"/>
    <w:rsid w:val="000A3E0D"/>
    <w:rsid w:val="000A3FAE"/>
    <w:rsid w:val="000B12BE"/>
    <w:rsid w:val="000B54AC"/>
    <w:rsid w:val="000B5A07"/>
    <w:rsid w:val="000C032C"/>
    <w:rsid w:val="000C58A4"/>
    <w:rsid w:val="000C73CA"/>
    <w:rsid w:val="000D38BE"/>
    <w:rsid w:val="000D3B34"/>
    <w:rsid w:val="000D4494"/>
    <w:rsid w:val="000D74F8"/>
    <w:rsid w:val="000E1B7B"/>
    <w:rsid w:val="000E24EC"/>
    <w:rsid w:val="000E2CC9"/>
    <w:rsid w:val="000E3A43"/>
    <w:rsid w:val="000E4609"/>
    <w:rsid w:val="000E506C"/>
    <w:rsid w:val="000E5DF9"/>
    <w:rsid w:val="000E674A"/>
    <w:rsid w:val="000F0451"/>
    <w:rsid w:val="000F2F90"/>
    <w:rsid w:val="00104AB0"/>
    <w:rsid w:val="00105858"/>
    <w:rsid w:val="00110C41"/>
    <w:rsid w:val="00113BFA"/>
    <w:rsid w:val="00114735"/>
    <w:rsid w:val="0011477A"/>
    <w:rsid w:val="00116438"/>
    <w:rsid w:val="0011708B"/>
    <w:rsid w:val="00121EE3"/>
    <w:rsid w:val="001248BA"/>
    <w:rsid w:val="001270E5"/>
    <w:rsid w:val="0012776E"/>
    <w:rsid w:val="001302FE"/>
    <w:rsid w:val="001354DB"/>
    <w:rsid w:val="00135D3F"/>
    <w:rsid w:val="00136B06"/>
    <w:rsid w:val="00147E01"/>
    <w:rsid w:val="0015254C"/>
    <w:rsid w:val="00153874"/>
    <w:rsid w:val="001545CB"/>
    <w:rsid w:val="00172DF1"/>
    <w:rsid w:val="00173FC5"/>
    <w:rsid w:val="00176C53"/>
    <w:rsid w:val="00177C9E"/>
    <w:rsid w:val="0018623D"/>
    <w:rsid w:val="00191DFD"/>
    <w:rsid w:val="00192EBC"/>
    <w:rsid w:val="00193CC8"/>
    <w:rsid w:val="00193D37"/>
    <w:rsid w:val="00193DB4"/>
    <w:rsid w:val="001A0393"/>
    <w:rsid w:val="001A22EE"/>
    <w:rsid w:val="001A3586"/>
    <w:rsid w:val="001A5115"/>
    <w:rsid w:val="001A56CB"/>
    <w:rsid w:val="001A7742"/>
    <w:rsid w:val="001B2C09"/>
    <w:rsid w:val="001B6FBB"/>
    <w:rsid w:val="001E186D"/>
    <w:rsid w:val="001E637A"/>
    <w:rsid w:val="001E64A9"/>
    <w:rsid w:val="001E6E82"/>
    <w:rsid w:val="001E74EF"/>
    <w:rsid w:val="001E781A"/>
    <w:rsid w:val="001F3A00"/>
    <w:rsid w:val="00201D5E"/>
    <w:rsid w:val="00206199"/>
    <w:rsid w:val="002100B3"/>
    <w:rsid w:val="00211CEC"/>
    <w:rsid w:val="002120B7"/>
    <w:rsid w:val="00214163"/>
    <w:rsid w:val="00214910"/>
    <w:rsid w:val="0021602E"/>
    <w:rsid w:val="00217F4A"/>
    <w:rsid w:val="0022139D"/>
    <w:rsid w:val="00222A03"/>
    <w:rsid w:val="002257B9"/>
    <w:rsid w:val="002262E4"/>
    <w:rsid w:val="0022631D"/>
    <w:rsid w:val="00231B51"/>
    <w:rsid w:val="0024007A"/>
    <w:rsid w:val="00243155"/>
    <w:rsid w:val="00244993"/>
    <w:rsid w:val="00244CDC"/>
    <w:rsid w:val="00245436"/>
    <w:rsid w:val="00247092"/>
    <w:rsid w:val="0025110E"/>
    <w:rsid w:val="00251F14"/>
    <w:rsid w:val="00252505"/>
    <w:rsid w:val="00252F69"/>
    <w:rsid w:val="00257E6E"/>
    <w:rsid w:val="00260405"/>
    <w:rsid w:val="00264453"/>
    <w:rsid w:val="002664EC"/>
    <w:rsid w:val="002754A5"/>
    <w:rsid w:val="002774C4"/>
    <w:rsid w:val="00284BE6"/>
    <w:rsid w:val="00285401"/>
    <w:rsid w:val="00287B4E"/>
    <w:rsid w:val="0029058B"/>
    <w:rsid w:val="00295062"/>
    <w:rsid w:val="002A747A"/>
    <w:rsid w:val="002B2880"/>
    <w:rsid w:val="002B2A24"/>
    <w:rsid w:val="002B3A01"/>
    <w:rsid w:val="002B4433"/>
    <w:rsid w:val="002B7DDF"/>
    <w:rsid w:val="002C5170"/>
    <w:rsid w:val="002D4EE4"/>
    <w:rsid w:val="002D7DD8"/>
    <w:rsid w:val="002E3D25"/>
    <w:rsid w:val="002E64C1"/>
    <w:rsid w:val="002E754E"/>
    <w:rsid w:val="002F2B77"/>
    <w:rsid w:val="002F34DA"/>
    <w:rsid w:val="002F7767"/>
    <w:rsid w:val="003029FB"/>
    <w:rsid w:val="0030498F"/>
    <w:rsid w:val="00311695"/>
    <w:rsid w:val="0031175E"/>
    <w:rsid w:val="00315F43"/>
    <w:rsid w:val="003256F7"/>
    <w:rsid w:val="00327512"/>
    <w:rsid w:val="00327862"/>
    <w:rsid w:val="00331CC2"/>
    <w:rsid w:val="0033219D"/>
    <w:rsid w:val="0033587F"/>
    <w:rsid w:val="003400F5"/>
    <w:rsid w:val="00343D89"/>
    <w:rsid w:val="00345620"/>
    <w:rsid w:val="00347CB2"/>
    <w:rsid w:val="00352252"/>
    <w:rsid w:val="003523E1"/>
    <w:rsid w:val="0035267F"/>
    <w:rsid w:val="003527C8"/>
    <w:rsid w:val="00356C7D"/>
    <w:rsid w:val="00360423"/>
    <w:rsid w:val="00361449"/>
    <w:rsid w:val="003639D4"/>
    <w:rsid w:val="003668B4"/>
    <w:rsid w:val="00367387"/>
    <w:rsid w:val="00370221"/>
    <w:rsid w:val="003703BE"/>
    <w:rsid w:val="00373ED5"/>
    <w:rsid w:val="0037626A"/>
    <w:rsid w:val="00385595"/>
    <w:rsid w:val="00387294"/>
    <w:rsid w:val="00390258"/>
    <w:rsid w:val="003906E6"/>
    <w:rsid w:val="00390962"/>
    <w:rsid w:val="00392044"/>
    <w:rsid w:val="00393573"/>
    <w:rsid w:val="00393AE0"/>
    <w:rsid w:val="003979DD"/>
    <w:rsid w:val="003A3B44"/>
    <w:rsid w:val="003A4197"/>
    <w:rsid w:val="003A4C7C"/>
    <w:rsid w:val="003A4FB7"/>
    <w:rsid w:val="003B055C"/>
    <w:rsid w:val="003B2C54"/>
    <w:rsid w:val="003B7750"/>
    <w:rsid w:val="003C036C"/>
    <w:rsid w:val="003C0938"/>
    <w:rsid w:val="003C1481"/>
    <w:rsid w:val="003C5E4C"/>
    <w:rsid w:val="003C76BA"/>
    <w:rsid w:val="003C7AE8"/>
    <w:rsid w:val="003D05AD"/>
    <w:rsid w:val="003D3BDD"/>
    <w:rsid w:val="003D5F18"/>
    <w:rsid w:val="003D705C"/>
    <w:rsid w:val="003D7F21"/>
    <w:rsid w:val="003E37B5"/>
    <w:rsid w:val="003E61AA"/>
    <w:rsid w:val="003E71CC"/>
    <w:rsid w:val="003F1381"/>
    <w:rsid w:val="003F2AD8"/>
    <w:rsid w:val="004065F6"/>
    <w:rsid w:val="0040710E"/>
    <w:rsid w:val="0041083D"/>
    <w:rsid w:val="004165A5"/>
    <w:rsid w:val="00417131"/>
    <w:rsid w:val="0042069E"/>
    <w:rsid w:val="004218BD"/>
    <w:rsid w:val="00422DA8"/>
    <w:rsid w:val="00425509"/>
    <w:rsid w:val="0043034C"/>
    <w:rsid w:val="00433002"/>
    <w:rsid w:val="00434575"/>
    <w:rsid w:val="00436831"/>
    <w:rsid w:val="0044366C"/>
    <w:rsid w:val="004447DF"/>
    <w:rsid w:val="0045238F"/>
    <w:rsid w:val="00453FDA"/>
    <w:rsid w:val="004552E8"/>
    <w:rsid w:val="004564E4"/>
    <w:rsid w:val="00463CEE"/>
    <w:rsid w:val="00466D05"/>
    <w:rsid w:val="004678FD"/>
    <w:rsid w:val="00472C4F"/>
    <w:rsid w:val="00474290"/>
    <w:rsid w:val="00475E70"/>
    <w:rsid w:val="0048130D"/>
    <w:rsid w:val="004827C7"/>
    <w:rsid w:val="004833E2"/>
    <w:rsid w:val="00484004"/>
    <w:rsid w:val="0049165F"/>
    <w:rsid w:val="00493599"/>
    <w:rsid w:val="004A48C8"/>
    <w:rsid w:val="004A5FED"/>
    <w:rsid w:val="004A6F6F"/>
    <w:rsid w:val="004B3892"/>
    <w:rsid w:val="004C52AF"/>
    <w:rsid w:val="004C57D2"/>
    <w:rsid w:val="004C7695"/>
    <w:rsid w:val="004D1A69"/>
    <w:rsid w:val="004D3B8F"/>
    <w:rsid w:val="004E1256"/>
    <w:rsid w:val="004E4111"/>
    <w:rsid w:val="004F2091"/>
    <w:rsid w:val="004F2362"/>
    <w:rsid w:val="004F42C8"/>
    <w:rsid w:val="004F5102"/>
    <w:rsid w:val="004F78EB"/>
    <w:rsid w:val="005002C5"/>
    <w:rsid w:val="0050659A"/>
    <w:rsid w:val="00506993"/>
    <w:rsid w:val="00506E46"/>
    <w:rsid w:val="00512B61"/>
    <w:rsid w:val="00516FA2"/>
    <w:rsid w:val="00524D29"/>
    <w:rsid w:val="00525095"/>
    <w:rsid w:val="00525AD4"/>
    <w:rsid w:val="00527E57"/>
    <w:rsid w:val="005302F6"/>
    <w:rsid w:val="0053058A"/>
    <w:rsid w:val="00536034"/>
    <w:rsid w:val="00537219"/>
    <w:rsid w:val="005400EA"/>
    <w:rsid w:val="005419C0"/>
    <w:rsid w:val="0054235F"/>
    <w:rsid w:val="00546117"/>
    <w:rsid w:val="00546C16"/>
    <w:rsid w:val="00562781"/>
    <w:rsid w:val="005641B7"/>
    <w:rsid w:val="00564613"/>
    <w:rsid w:val="005702B0"/>
    <w:rsid w:val="0057249C"/>
    <w:rsid w:val="0057395C"/>
    <w:rsid w:val="00573B86"/>
    <w:rsid w:val="00575917"/>
    <w:rsid w:val="00575A68"/>
    <w:rsid w:val="005824EC"/>
    <w:rsid w:val="0058363A"/>
    <w:rsid w:val="0058407E"/>
    <w:rsid w:val="00585107"/>
    <w:rsid w:val="0059091B"/>
    <w:rsid w:val="00592122"/>
    <w:rsid w:val="0059283F"/>
    <w:rsid w:val="005943A5"/>
    <w:rsid w:val="00597064"/>
    <w:rsid w:val="00597654"/>
    <w:rsid w:val="005B0878"/>
    <w:rsid w:val="005B0F1D"/>
    <w:rsid w:val="005B12AD"/>
    <w:rsid w:val="005B1835"/>
    <w:rsid w:val="005B49DF"/>
    <w:rsid w:val="005B604B"/>
    <w:rsid w:val="005C0011"/>
    <w:rsid w:val="005C04C3"/>
    <w:rsid w:val="005C197C"/>
    <w:rsid w:val="005C32E8"/>
    <w:rsid w:val="005C6025"/>
    <w:rsid w:val="005C7387"/>
    <w:rsid w:val="005D131B"/>
    <w:rsid w:val="005D63D2"/>
    <w:rsid w:val="005D653B"/>
    <w:rsid w:val="005D7B2D"/>
    <w:rsid w:val="005D7CF6"/>
    <w:rsid w:val="005E3C6E"/>
    <w:rsid w:val="005E515E"/>
    <w:rsid w:val="005E5E1C"/>
    <w:rsid w:val="005E5F98"/>
    <w:rsid w:val="005E6163"/>
    <w:rsid w:val="005F0F3A"/>
    <w:rsid w:val="005F43C8"/>
    <w:rsid w:val="005F46DC"/>
    <w:rsid w:val="005F7559"/>
    <w:rsid w:val="00606253"/>
    <w:rsid w:val="00611C44"/>
    <w:rsid w:val="00615DB0"/>
    <w:rsid w:val="00617CBE"/>
    <w:rsid w:val="00620574"/>
    <w:rsid w:val="00632C53"/>
    <w:rsid w:val="006333F0"/>
    <w:rsid w:val="0063386D"/>
    <w:rsid w:val="00633AF5"/>
    <w:rsid w:val="00633B40"/>
    <w:rsid w:val="0063405C"/>
    <w:rsid w:val="006366C7"/>
    <w:rsid w:val="006367B9"/>
    <w:rsid w:val="006376F3"/>
    <w:rsid w:val="006421D1"/>
    <w:rsid w:val="00647139"/>
    <w:rsid w:val="00647B91"/>
    <w:rsid w:val="00652BCD"/>
    <w:rsid w:val="0065301E"/>
    <w:rsid w:val="00656AE6"/>
    <w:rsid w:val="006620AD"/>
    <w:rsid w:val="00671068"/>
    <w:rsid w:val="00673CA1"/>
    <w:rsid w:val="00677299"/>
    <w:rsid w:val="00680A19"/>
    <w:rsid w:val="00681BC9"/>
    <w:rsid w:val="00682CE5"/>
    <w:rsid w:val="006849DC"/>
    <w:rsid w:val="006862D2"/>
    <w:rsid w:val="00687E06"/>
    <w:rsid w:val="00691370"/>
    <w:rsid w:val="00692694"/>
    <w:rsid w:val="00693BC4"/>
    <w:rsid w:val="006945F7"/>
    <w:rsid w:val="006963AC"/>
    <w:rsid w:val="006972E5"/>
    <w:rsid w:val="006A6223"/>
    <w:rsid w:val="006A68DF"/>
    <w:rsid w:val="006A6C6C"/>
    <w:rsid w:val="006B03C3"/>
    <w:rsid w:val="006B1439"/>
    <w:rsid w:val="006B1F0E"/>
    <w:rsid w:val="006B7B8E"/>
    <w:rsid w:val="006C1353"/>
    <w:rsid w:val="006C496E"/>
    <w:rsid w:val="006C5897"/>
    <w:rsid w:val="006C60F7"/>
    <w:rsid w:val="006C77DE"/>
    <w:rsid w:val="006D034C"/>
    <w:rsid w:val="006E02A6"/>
    <w:rsid w:val="006E0380"/>
    <w:rsid w:val="006E40C6"/>
    <w:rsid w:val="006E6A7A"/>
    <w:rsid w:val="006E7CFD"/>
    <w:rsid w:val="006F41C4"/>
    <w:rsid w:val="006F6546"/>
    <w:rsid w:val="006F6C5D"/>
    <w:rsid w:val="0070163A"/>
    <w:rsid w:val="007070BE"/>
    <w:rsid w:val="00711FCA"/>
    <w:rsid w:val="0071225A"/>
    <w:rsid w:val="0071363B"/>
    <w:rsid w:val="007176F3"/>
    <w:rsid w:val="0072244C"/>
    <w:rsid w:val="00725D22"/>
    <w:rsid w:val="00730FDB"/>
    <w:rsid w:val="00731871"/>
    <w:rsid w:val="00732AEA"/>
    <w:rsid w:val="0073579A"/>
    <w:rsid w:val="00742B1E"/>
    <w:rsid w:val="007476D2"/>
    <w:rsid w:val="007535CD"/>
    <w:rsid w:val="00754C92"/>
    <w:rsid w:val="0075609C"/>
    <w:rsid w:val="00756885"/>
    <w:rsid w:val="00760557"/>
    <w:rsid w:val="0076787C"/>
    <w:rsid w:val="00770073"/>
    <w:rsid w:val="00773291"/>
    <w:rsid w:val="00774E1D"/>
    <w:rsid w:val="00786659"/>
    <w:rsid w:val="00786BDC"/>
    <w:rsid w:val="00787609"/>
    <w:rsid w:val="00792A02"/>
    <w:rsid w:val="007964BB"/>
    <w:rsid w:val="0079786A"/>
    <w:rsid w:val="00797BF9"/>
    <w:rsid w:val="007A4113"/>
    <w:rsid w:val="007A6239"/>
    <w:rsid w:val="007A7289"/>
    <w:rsid w:val="007B236A"/>
    <w:rsid w:val="007B238D"/>
    <w:rsid w:val="007B2CB9"/>
    <w:rsid w:val="007B582A"/>
    <w:rsid w:val="007C112A"/>
    <w:rsid w:val="007C29C5"/>
    <w:rsid w:val="007C2EA9"/>
    <w:rsid w:val="007D0F89"/>
    <w:rsid w:val="007D3BF7"/>
    <w:rsid w:val="007D4C38"/>
    <w:rsid w:val="007D4F08"/>
    <w:rsid w:val="007D792F"/>
    <w:rsid w:val="007D7D68"/>
    <w:rsid w:val="007E09B6"/>
    <w:rsid w:val="007E0FB8"/>
    <w:rsid w:val="007E3E71"/>
    <w:rsid w:val="007E676A"/>
    <w:rsid w:val="007E7EE7"/>
    <w:rsid w:val="007F401F"/>
    <w:rsid w:val="007F443D"/>
    <w:rsid w:val="00801891"/>
    <w:rsid w:val="00805B23"/>
    <w:rsid w:val="0080621A"/>
    <w:rsid w:val="0080715F"/>
    <w:rsid w:val="0081377A"/>
    <w:rsid w:val="00813A2D"/>
    <w:rsid w:val="00813B00"/>
    <w:rsid w:val="00813CCB"/>
    <w:rsid w:val="00814E62"/>
    <w:rsid w:val="008168A2"/>
    <w:rsid w:val="008177AE"/>
    <w:rsid w:val="00820B03"/>
    <w:rsid w:val="008219FA"/>
    <w:rsid w:val="00821AFB"/>
    <w:rsid w:val="00822479"/>
    <w:rsid w:val="00822B1E"/>
    <w:rsid w:val="00822FBC"/>
    <w:rsid w:val="008232A0"/>
    <w:rsid w:val="0082597C"/>
    <w:rsid w:val="00825E6F"/>
    <w:rsid w:val="0082758F"/>
    <w:rsid w:val="00832AF6"/>
    <w:rsid w:val="008353FC"/>
    <w:rsid w:val="00836652"/>
    <w:rsid w:val="0083672E"/>
    <w:rsid w:val="008369FF"/>
    <w:rsid w:val="008420AD"/>
    <w:rsid w:val="008449E3"/>
    <w:rsid w:val="00845B2F"/>
    <w:rsid w:val="0084793F"/>
    <w:rsid w:val="008501F2"/>
    <w:rsid w:val="008553AE"/>
    <w:rsid w:val="008560D4"/>
    <w:rsid w:val="0086056F"/>
    <w:rsid w:val="00860685"/>
    <w:rsid w:val="00860C2B"/>
    <w:rsid w:val="00863FCC"/>
    <w:rsid w:val="008664B3"/>
    <w:rsid w:val="00871670"/>
    <w:rsid w:val="008736D9"/>
    <w:rsid w:val="008762A1"/>
    <w:rsid w:val="00881D53"/>
    <w:rsid w:val="00882EC1"/>
    <w:rsid w:val="00883258"/>
    <w:rsid w:val="00887AA4"/>
    <w:rsid w:val="00891494"/>
    <w:rsid w:val="00891CB1"/>
    <w:rsid w:val="008920B2"/>
    <w:rsid w:val="00895010"/>
    <w:rsid w:val="00896950"/>
    <w:rsid w:val="008A07AC"/>
    <w:rsid w:val="008A0A97"/>
    <w:rsid w:val="008A4DC1"/>
    <w:rsid w:val="008A5C55"/>
    <w:rsid w:val="008A5DB2"/>
    <w:rsid w:val="008B0383"/>
    <w:rsid w:val="008B4528"/>
    <w:rsid w:val="008B58AE"/>
    <w:rsid w:val="008B5A83"/>
    <w:rsid w:val="008B65FF"/>
    <w:rsid w:val="008B7BD5"/>
    <w:rsid w:val="008C0A0A"/>
    <w:rsid w:val="008C1CF1"/>
    <w:rsid w:val="008C57A8"/>
    <w:rsid w:val="008C5F0B"/>
    <w:rsid w:val="008C7770"/>
    <w:rsid w:val="008C7B4E"/>
    <w:rsid w:val="008D2276"/>
    <w:rsid w:val="008E5ED9"/>
    <w:rsid w:val="008F004E"/>
    <w:rsid w:val="008F02E4"/>
    <w:rsid w:val="008F5578"/>
    <w:rsid w:val="008F71CB"/>
    <w:rsid w:val="00902A9C"/>
    <w:rsid w:val="009047DF"/>
    <w:rsid w:val="0090541E"/>
    <w:rsid w:val="00905491"/>
    <w:rsid w:val="009131B7"/>
    <w:rsid w:val="00913C5D"/>
    <w:rsid w:val="00914112"/>
    <w:rsid w:val="00914A77"/>
    <w:rsid w:val="00916B4A"/>
    <w:rsid w:val="009179E1"/>
    <w:rsid w:val="00925F87"/>
    <w:rsid w:val="009319AF"/>
    <w:rsid w:val="0093620A"/>
    <w:rsid w:val="009417FB"/>
    <w:rsid w:val="00941E08"/>
    <w:rsid w:val="00953BEB"/>
    <w:rsid w:val="009559BA"/>
    <w:rsid w:val="00956AF5"/>
    <w:rsid w:val="0096348D"/>
    <w:rsid w:val="00966453"/>
    <w:rsid w:val="00966FDA"/>
    <w:rsid w:val="00974E52"/>
    <w:rsid w:val="00986BAD"/>
    <w:rsid w:val="0099233B"/>
    <w:rsid w:val="00993146"/>
    <w:rsid w:val="00994BB5"/>
    <w:rsid w:val="00996E5C"/>
    <w:rsid w:val="009977E5"/>
    <w:rsid w:val="00997BBE"/>
    <w:rsid w:val="009A4D49"/>
    <w:rsid w:val="009A772B"/>
    <w:rsid w:val="009B316A"/>
    <w:rsid w:val="009B34F9"/>
    <w:rsid w:val="009B7ED1"/>
    <w:rsid w:val="009C0A1C"/>
    <w:rsid w:val="009C4D87"/>
    <w:rsid w:val="009C6404"/>
    <w:rsid w:val="009D02FA"/>
    <w:rsid w:val="009D159C"/>
    <w:rsid w:val="009D3328"/>
    <w:rsid w:val="009D39B7"/>
    <w:rsid w:val="009D56A9"/>
    <w:rsid w:val="009D56DE"/>
    <w:rsid w:val="009E2F00"/>
    <w:rsid w:val="009E40F6"/>
    <w:rsid w:val="009E4BEE"/>
    <w:rsid w:val="009E57FD"/>
    <w:rsid w:val="009E6710"/>
    <w:rsid w:val="009E792A"/>
    <w:rsid w:val="009E7E3D"/>
    <w:rsid w:val="009F05EF"/>
    <w:rsid w:val="009F3A5F"/>
    <w:rsid w:val="00A1116F"/>
    <w:rsid w:val="00A1166C"/>
    <w:rsid w:val="00A142CC"/>
    <w:rsid w:val="00A15B1A"/>
    <w:rsid w:val="00A16649"/>
    <w:rsid w:val="00A16E1B"/>
    <w:rsid w:val="00A23B56"/>
    <w:rsid w:val="00A23E50"/>
    <w:rsid w:val="00A24727"/>
    <w:rsid w:val="00A24B10"/>
    <w:rsid w:val="00A328D6"/>
    <w:rsid w:val="00A349C8"/>
    <w:rsid w:val="00A41BFF"/>
    <w:rsid w:val="00A4287E"/>
    <w:rsid w:val="00A45393"/>
    <w:rsid w:val="00A47318"/>
    <w:rsid w:val="00A533EE"/>
    <w:rsid w:val="00A5515E"/>
    <w:rsid w:val="00A562AD"/>
    <w:rsid w:val="00A5638E"/>
    <w:rsid w:val="00A63B7D"/>
    <w:rsid w:val="00A67DE3"/>
    <w:rsid w:val="00A7062A"/>
    <w:rsid w:val="00A73985"/>
    <w:rsid w:val="00A74C0B"/>
    <w:rsid w:val="00A758C1"/>
    <w:rsid w:val="00A77ECE"/>
    <w:rsid w:val="00A82F9A"/>
    <w:rsid w:val="00A8449E"/>
    <w:rsid w:val="00A855FC"/>
    <w:rsid w:val="00A85C55"/>
    <w:rsid w:val="00A9070F"/>
    <w:rsid w:val="00A90D6F"/>
    <w:rsid w:val="00A91C1B"/>
    <w:rsid w:val="00A93C6F"/>
    <w:rsid w:val="00A944E8"/>
    <w:rsid w:val="00A96831"/>
    <w:rsid w:val="00A96ACA"/>
    <w:rsid w:val="00AA0743"/>
    <w:rsid w:val="00AA2267"/>
    <w:rsid w:val="00AA4039"/>
    <w:rsid w:val="00AA4FE3"/>
    <w:rsid w:val="00AA7737"/>
    <w:rsid w:val="00AB34D1"/>
    <w:rsid w:val="00AB638B"/>
    <w:rsid w:val="00AB7E42"/>
    <w:rsid w:val="00AC2F03"/>
    <w:rsid w:val="00AC6A90"/>
    <w:rsid w:val="00AD0063"/>
    <w:rsid w:val="00AD160F"/>
    <w:rsid w:val="00AE1A22"/>
    <w:rsid w:val="00AE2575"/>
    <w:rsid w:val="00AE39A6"/>
    <w:rsid w:val="00AE5A09"/>
    <w:rsid w:val="00AE728D"/>
    <w:rsid w:val="00AF06BC"/>
    <w:rsid w:val="00AF1AF8"/>
    <w:rsid w:val="00AF3627"/>
    <w:rsid w:val="00B01B00"/>
    <w:rsid w:val="00B02FE8"/>
    <w:rsid w:val="00B03358"/>
    <w:rsid w:val="00B04673"/>
    <w:rsid w:val="00B056B0"/>
    <w:rsid w:val="00B065C4"/>
    <w:rsid w:val="00B06795"/>
    <w:rsid w:val="00B068CF"/>
    <w:rsid w:val="00B1046E"/>
    <w:rsid w:val="00B110A2"/>
    <w:rsid w:val="00B120F4"/>
    <w:rsid w:val="00B12278"/>
    <w:rsid w:val="00B1359C"/>
    <w:rsid w:val="00B2156E"/>
    <w:rsid w:val="00B22991"/>
    <w:rsid w:val="00B22A55"/>
    <w:rsid w:val="00B2632D"/>
    <w:rsid w:val="00B30383"/>
    <w:rsid w:val="00B30BE8"/>
    <w:rsid w:val="00B32582"/>
    <w:rsid w:val="00B35A32"/>
    <w:rsid w:val="00B410C7"/>
    <w:rsid w:val="00B41B0F"/>
    <w:rsid w:val="00B43F6E"/>
    <w:rsid w:val="00B440A9"/>
    <w:rsid w:val="00B467F0"/>
    <w:rsid w:val="00B4734E"/>
    <w:rsid w:val="00B477D4"/>
    <w:rsid w:val="00B577A8"/>
    <w:rsid w:val="00B62C00"/>
    <w:rsid w:val="00B64D06"/>
    <w:rsid w:val="00B67C87"/>
    <w:rsid w:val="00B70CD1"/>
    <w:rsid w:val="00B71CEF"/>
    <w:rsid w:val="00B73CCE"/>
    <w:rsid w:val="00B7612D"/>
    <w:rsid w:val="00B80205"/>
    <w:rsid w:val="00B82E58"/>
    <w:rsid w:val="00B85BB1"/>
    <w:rsid w:val="00B85F1A"/>
    <w:rsid w:val="00B872B5"/>
    <w:rsid w:val="00B8785F"/>
    <w:rsid w:val="00B91590"/>
    <w:rsid w:val="00B931BE"/>
    <w:rsid w:val="00B9676D"/>
    <w:rsid w:val="00B96E4E"/>
    <w:rsid w:val="00B96F07"/>
    <w:rsid w:val="00B9752F"/>
    <w:rsid w:val="00B97B02"/>
    <w:rsid w:val="00BA7DB6"/>
    <w:rsid w:val="00BB0777"/>
    <w:rsid w:val="00BB0847"/>
    <w:rsid w:val="00BB57EB"/>
    <w:rsid w:val="00BB74CE"/>
    <w:rsid w:val="00BB7A0B"/>
    <w:rsid w:val="00BC09DF"/>
    <w:rsid w:val="00BC0E99"/>
    <w:rsid w:val="00BC5FDD"/>
    <w:rsid w:val="00BC70BD"/>
    <w:rsid w:val="00BC7BE5"/>
    <w:rsid w:val="00BD2124"/>
    <w:rsid w:val="00BD2127"/>
    <w:rsid w:val="00BD25F8"/>
    <w:rsid w:val="00BD2B0D"/>
    <w:rsid w:val="00BD379D"/>
    <w:rsid w:val="00BE2B8D"/>
    <w:rsid w:val="00BE6460"/>
    <w:rsid w:val="00BE7804"/>
    <w:rsid w:val="00BF1635"/>
    <w:rsid w:val="00BF1C4E"/>
    <w:rsid w:val="00BF1FD0"/>
    <w:rsid w:val="00BF4744"/>
    <w:rsid w:val="00BF5080"/>
    <w:rsid w:val="00BF5996"/>
    <w:rsid w:val="00BF5D82"/>
    <w:rsid w:val="00C014CA"/>
    <w:rsid w:val="00C02BEE"/>
    <w:rsid w:val="00C125CC"/>
    <w:rsid w:val="00C145DC"/>
    <w:rsid w:val="00C305CE"/>
    <w:rsid w:val="00C33380"/>
    <w:rsid w:val="00C35772"/>
    <w:rsid w:val="00C361DA"/>
    <w:rsid w:val="00C41C4F"/>
    <w:rsid w:val="00C42980"/>
    <w:rsid w:val="00C432B8"/>
    <w:rsid w:val="00C44BE6"/>
    <w:rsid w:val="00C4716F"/>
    <w:rsid w:val="00C547A8"/>
    <w:rsid w:val="00C54D92"/>
    <w:rsid w:val="00C55A5E"/>
    <w:rsid w:val="00C57D9D"/>
    <w:rsid w:val="00C669A6"/>
    <w:rsid w:val="00C67294"/>
    <w:rsid w:val="00C67A63"/>
    <w:rsid w:val="00C74316"/>
    <w:rsid w:val="00C74FAD"/>
    <w:rsid w:val="00C8003B"/>
    <w:rsid w:val="00C80209"/>
    <w:rsid w:val="00C81392"/>
    <w:rsid w:val="00C82EA3"/>
    <w:rsid w:val="00C8377A"/>
    <w:rsid w:val="00C84565"/>
    <w:rsid w:val="00C8639E"/>
    <w:rsid w:val="00C91631"/>
    <w:rsid w:val="00C933C9"/>
    <w:rsid w:val="00C94331"/>
    <w:rsid w:val="00C96D61"/>
    <w:rsid w:val="00CA0A0F"/>
    <w:rsid w:val="00CA2AB5"/>
    <w:rsid w:val="00CA35B1"/>
    <w:rsid w:val="00CB396B"/>
    <w:rsid w:val="00CB40A9"/>
    <w:rsid w:val="00CB4F35"/>
    <w:rsid w:val="00CC0138"/>
    <w:rsid w:val="00CC1FAE"/>
    <w:rsid w:val="00CC1FD6"/>
    <w:rsid w:val="00CC27BA"/>
    <w:rsid w:val="00CC54A6"/>
    <w:rsid w:val="00CC77BA"/>
    <w:rsid w:val="00CC7853"/>
    <w:rsid w:val="00CD0BD3"/>
    <w:rsid w:val="00CD0CF9"/>
    <w:rsid w:val="00CD14E7"/>
    <w:rsid w:val="00CD1A2C"/>
    <w:rsid w:val="00CD1D1A"/>
    <w:rsid w:val="00CD42FA"/>
    <w:rsid w:val="00CE20D1"/>
    <w:rsid w:val="00CE3D4C"/>
    <w:rsid w:val="00CE613D"/>
    <w:rsid w:val="00CF0035"/>
    <w:rsid w:val="00CF16D7"/>
    <w:rsid w:val="00CF49D6"/>
    <w:rsid w:val="00CF5064"/>
    <w:rsid w:val="00CF574B"/>
    <w:rsid w:val="00CF7D5C"/>
    <w:rsid w:val="00D003E4"/>
    <w:rsid w:val="00D02D09"/>
    <w:rsid w:val="00D031C9"/>
    <w:rsid w:val="00D035B0"/>
    <w:rsid w:val="00D03F26"/>
    <w:rsid w:val="00D058BD"/>
    <w:rsid w:val="00D0653F"/>
    <w:rsid w:val="00D06AE6"/>
    <w:rsid w:val="00D138F3"/>
    <w:rsid w:val="00D151E2"/>
    <w:rsid w:val="00D1550B"/>
    <w:rsid w:val="00D167E5"/>
    <w:rsid w:val="00D224CE"/>
    <w:rsid w:val="00D23475"/>
    <w:rsid w:val="00D25A1A"/>
    <w:rsid w:val="00D26334"/>
    <w:rsid w:val="00D30C94"/>
    <w:rsid w:val="00D34670"/>
    <w:rsid w:val="00D426BC"/>
    <w:rsid w:val="00D44C91"/>
    <w:rsid w:val="00D50D97"/>
    <w:rsid w:val="00D51E17"/>
    <w:rsid w:val="00D55895"/>
    <w:rsid w:val="00D56BC6"/>
    <w:rsid w:val="00D6204A"/>
    <w:rsid w:val="00D620A4"/>
    <w:rsid w:val="00D62350"/>
    <w:rsid w:val="00D64CB0"/>
    <w:rsid w:val="00D70E26"/>
    <w:rsid w:val="00D71C09"/>
    <w:rsid w:val="00D74072"/>
    <w:rsid w:val="00D81903"/>
    <w:rsid w:val="00D81C75"/>
    <w:rsid w:val="00D83260"/>
    <w:rsid w:val="00D87ADD"/>
    <w:rsid w:val="00D94F5F"/>
    <w:rsid w:val="00D95652"/>
    <w:rsid w:val="00D9567E"/>
    <w:rsid w:val="00DA0152"/>
    <w:rsid w:val="00DB7F17"/>
    <w:rsid w:val="00DC0E13"/>
    <w:rsid w:val="00DC1BFC"/>
    <w:rsid w:val="00DC43B6"/>
    <w:rsid w:val="00DC51BD"/>
    <w:rsid w:val="00DC7A56"/>
    <w:rsid w:val="00DC7E6D"/>
    <w:rsid w:val="00DD15CF"/>
    <w:rsid w:val="00DD17C6"/>
    <w:rsid w:val="00DD227F"/>
    <w:rsid w:val="00DD55DD"/>
    <w:rsid w:val="00DD6879"/>
    <w:rsid w:val="00DE0EB6"/>
    <w:rsid w:val="00DE299F"/>
    <w:rsid w:val="00DE31CD"/>
    <w:rsid w:val="00DE3F2A"/>
    <w:rsid w:val="00DF015E"/>
    <w:rsid w:val="00DF663D"/>
    <w:rsid w:val="00E00BFE"/>
    <w:rsid w:val="00E011BA"/>
    <w:rsid w:val="00E01280"/>
    <w:rsid w:val="00E01DD3"/>
    <w:rsid w:val="00E0339B"/>
    <w:rsid w:val="00E045DB"/>
    <w:rsid w:val="00E04D39"/>
    <w:rsid w:val="00E0660B"/>
    <w:rsid w:val="00E0725F"/>
    <w:rsid w:val="00E07C8E"/>
    <w:rsid w:val="00E1642E"/>
    <w:rsid w:val="00E222C0"/>
    <w:rsid w:val="00E22B4B"/>
    <w:rsid w:val="00E267F4"/>
    <w:rsid w:val="00E32E0E"/>
    <w:rsid w:val="00E33AD8"/>
    <w:rsid w:val="00E3444A"/>
    <w:rsid w:val="00E35731"/>
    <w:rsid w:val="00E35937"/>
    <w:rsid w:val="00E35CC7"/>
    <w:rsid w:val="00E36FF4"/>
    <w:rsid w:val="00E405BC"/>
    <w:rsid w:val="00E40A0F"/>
    <w:rsid w:val="00E4121E"/>
    <w:rsid w:val="00E43BB0"/>
    <w:rsid w:val="00E44751"/>
    <w:rsid w:val="00E50377"/>
    <w:rsid w:val="00E52592"/>
    <w:rsid w:val="00E530C0"/>
    <w:rsid w:val="00E5547E"/>
    <w:rsid w:val="00E623F0"/>
    <w:rsid w:val="00E62CE8"/>
    <w:rsid w:val="00E65ACA"/>
    <w:rsid w:val="00E70BD7"/>
    <w:rsid w:val="00E77497"/>
    <w:rsid w:val="00E7799F"/>
    <w:rsid w:val="00E821F9"/>
    <w:rsid w:val="00E85332"/>
    <w:rsid w:val="00E86844"/>
    <w:rsid w:val="00E87234"/>
    <w:rsid w:val="00E875AB"/>
    <w:rsid w:val="00E90824"/>
    <w:rsid w:val="00E91330"/>
    <w:rsid w:val="00E95ED8"/>
    <w:rsid w:val="00EA0126"/>
    <w:rsid w:val="00EA132E"/>
    <w:rsid w:val="00EA1CA6"/>
    <w:rsid w:val="00EA6744"/>
    <w:rsid w:val="00EA6D69"/>
    <w:rsid w:val="00EB0BEA"/>
    <w:rsid w:val="00EB1E77"/>
    <w:rsid w:val="00EB3901"/>
    <w:rsid w:val="00EB6CD2"/>
    <w:rsid w:val="00EB78C2"/>
    <w:rsid w:val="00EC033F"/>
    <w:rsid w:val="00EC1EDA"/>
    <w:rsid w:val="00EC32D6"/>
    <w:rsid w:val="00EC4E98"/>
    <w:rsid w:val="00EC4F79"/>
    <w:rsid w:val="00EC5C1D"/>
    <w:rsid w:val="00EC695D"/>
    <w:rsid w:val="00ED621F"/>
    <w:rsid w:val="00ED6C91"/>
    <w:rsid w:val="00EE2ECE"/>
    <w:rsid w:val="00EE5689"/>
    <w:rsid w:val="00EF2A4E"/>
    <w:rsid w:val="00EF5BBF"/>
    <w:rsid w:val="00EF680F"/>
    <w:rsid w:val="00F0034D"/>
    <w:rsid w:val="00F01FE7"/>
    <w:rsid w:val="00F22547"/>
    <w:rsid w:val="00F22E0E"/>
    <w:rsid w:val="00F23836"/>
    <w:rsid w:val="00F24572"/>
    <w:rsid w:val="00F24672"/>
    <w:rsid w:val="00F259CE"/>
    <w:rsid w:val="00F31C2A"/>
    <w:rsid w:val="00F34BCC"/>
    <w:rsid w:val="00F358F1"/>
    <w:rsid w:val="00F368EA"/>
    <w:rsid w:val="00F37817"/>
    <w:rsid w:val="00F40722"/>
    <w:rsid w:val="00F41668"/>
    <w:rsid w:val="00F427D8"/>
    <w:rsid w:val="00F42829"/>
    <w:rsid w:val="00F43524"/>
    <w:rsid w:val="00F50D06"/>
    <w:rsid w:val="00F52BCE"/>
    <w:rsid w:val="00F52ECB"/>
    <w:rsid w:val="00F532B2"/>
    <w:rsid w:val="00F62890"/>
    <w:rsid w:val="00F63116"/>
    <w:rsid w:val="00F723C8"/>
    <w:rsid w:val="00F83532"/>
    <w:rsid w:val="00F860A5"/>
    <w:rsid w:val="00F90C52"/>
    <w:rsid w:val="00F924A4"/>
    <w:rsid w:val="00F93198"/>
    <w:rsid w:val="00F94C16"/>
    <w:rsid w:val="00FA0B28"/>
    <w:rsid w:val="00FA3145"/>
    <w:rsid w:val="00FA4A60"/>
    <w:rsid w:val="00FB3CBC"/>
    <w:rsid w:val="00FB518B"/>
    <w:rsid w:val="00FC143E"/>
    <w:rsid w:val="00FC1648"/>
    <w:rsid w:val="00FC3737"/>
    <w:rsid w:val="00FC3CB9"/>
    <w:rsid w:val="00FC420A"/>
    <w:rsid w:val="00FC51AE"/>
    <w:rsid w:val="00FD072F"/>
    <w:rsid w:val="00FD1843"/>
    <w:rsid w:val="00FD3142"/>
    <w:rsid w:val="00FD794C"/>
    <w:rsid w:val="00FE39F2"/>
    <w:rsid w:val="00FE6472"/>
    <w:rsid w:val="00FE6B1E"/>
    <w:rsid w:val="00FF1E6D"/>
    <w:rsid w:val="00FF46F9"/>
    <w:rsid w:val="00FF7904"/>
    <w:rsid w:val="01041951"/>
    <w:rsid w:val="01791910"/>
    <w:rsid w:val="05E40C54"/>
    <w:rsid w:val="06A42377"/>
    <w:rsid w:val="074F5A1D"/>
    <w:rsid w:val="07587E1D"/>
    <w:rsid w:val="093A0DE5"/>
    <w:rsid w:val="09763169"/>
    <w:rsid w:val="0A6071C9"/>
    <w:rsid w:val="0AC7549A"/>
    <w:rsid w:val="0AF9CB7F"/>
    <w:rsid w:val="0B534919"/>
    <w:rsid w:val="0C5B0590"/>
    <w:rsid w:val="0D371CA4"/>
    <w:rsid w:val="0F877EC3"/>
    <w:rsid w:val="11086EBE"/>
    <w:rsid w:val="117D361B"/>
    <w:rsid w:val="1226248C"/>
    <w:rsid w:val="12EB7235"/>
    <w:rsid w:val="13836007"/>
    <w:rsid w:val="13A14AC4"/>
    <w:rsid w:val="150C03F7"/>
    <w:rsid w:val="15A37675"/>
    <w:rsid w:val="172A58C0"/>
    <w:rsid w:val="188B3FAB"/>
    <w:rsid w:val="1A0173C2"/>
    <w:rsid w:val="1A277D03"/>
    <w:rsid w:val="1BC3580A"/>
    <w:rsid w:val="1BFD2EC4"/>
    <w:rsid w:val="1C9F23A9"/>
    <w:rsid w:val="1CE61304"/>
    <w:rsid w:val="1CEC2B3E"/>
    <w:rsid w:val="1D5E7B70"/>
    <w:rsid w:val="1EEB7D15"/>
    <w:rsid w:val="206E0FC8"/>
    <w:rsid w:val="229E48DB"/>
    <w:rsid w:val="23B02BC5"/>
    <w:rsid w:val="23B048C6"/>
    <w:rsid w:val="24C90335"/>
    <w:rsid w:val="25184E18"/>
    <w:rsid w:val="25FE5651"/>
    <w:rsid w:val="26106FBE"/>
    <w:rsid w:val="26472A30"/>
    <w:rsid w:val="274779FD"/>
    <w:rsid w:val="2ACB3B4E"/>
    <w:rsid w:val="2D5D6C5F"/>
    <w:rsid w:val="2DF31F7F"/>
    <w:rsid w:val="2E47409D"/>
    <w:rsid w:val="2F7B222C"/>
    <w:rsid w:val="31D10829"/>
    <w:rsid w:val="3261621A"/>
    <w:rsid w:val="334C2C48"/>
    <w:rsid w:val="34172F5A"/>
    <w:rsid w:val="34803EC8"/>
    <w:rsid w:val="34B9379B"/>
    <w:rsid w:val="35AA66DB"/>
    <w:rsid w:val="35E772E4"/>
    <w:rsid w:val="36E967E4"/>
    <w:rsid w:val="38A65E3F"/>
    <w:rsid w:val="3B732951"/>
    <w:rsid w:val="3CD95212"/>
    <w:rsid w:val="3EAE7781"/>
    <w:rsid w:val="3F779754"/>
    <w:rsid w:val="3FA78228"/>
    <w:rsid w:val="3FC01EDD"/>
    <w:rsid w:val="40583EC3"/>
    <w:rsid w:val="413A3D72"/>
    <w:rsid w:val="43B12F69"/>
    <w:rsid w:val="4687467B"/>
    <w:rsid w:val="47E744AA"/>
    <w:rsid w:val="48607974"/>
    <w:rsid w:val="49A2495C"/>
    <w:rsid w:val="4A603B63"/>
    <w:rsid w:val="4B0E7E6F"/>
    <w:rsid w:val="4BC13157"/>
    <w:rsid w:val="4C303B79"/>
    <w:rsid w:val="4D137AF0"/>
    <w:rsid w:val="4F530677"/>
    <w:rsid w:val="4FD2575B"/>
    <w:rsid w:val="527032EE"/>
    <w:rsid w:val="5439223A"/>
    <w:rsid w:val="5510015F"/>
    <w:rsid w:val="553F0BCB"/>
    <w:rsid w:val="573D64DB"/>
    <w:rsid w:val="5907218C"/>
    <w:rsid w:val="59CB704F"/>
    <w:rsid w:val="5C5703D7"/>
    <w:rsid w:val="5C696B87"/>
    <w:rsid w:val="5C7A1BCF"/>
    <w:rsid w:val="5C7A5495"/>
    <w:rsid w:val="5D002955"/>
    <w:rsid w:val="5DAB167E"/>
    <w:rsid w:val="5DDC62D0"/>
    <w:rsid w:val="5E472840"/>
    <w:rsid w:val="5F742670"/>
    <w:rsid w:val="60732830"/>
    <w:rsid w:val="61452CD9"/>
    <w:rsid w:val="62B62F9F"/>
    <w:rsid w:val="63DE1DF7"/>
    <w:rsid w:val="650F518F"/>
    <w:rsid w:val="678D25CA"/>
    <w:rsid w:val="68964C95"/>
    <w:rsid w:val="6965127B"/>
    <w:rsid w:val="6A0445F0"/>
    <w:rsid w:val="6A55309E"/>
    <w:rsid w:val="6B1271E1"/>
    <w:rsid w:val="6B3057ED"/>
    <w:rsid w:val="6C2142DB"/>
    <w:rsid w:val="6D6C01D4"/>
    <w:rsid w:val="6E135C3B"/>
    <w:rsid w:val="6EBBEF1C"/>
    <w:rsid w:val="6F5E59AA"/>
    <w:rsid w:val="6F8D27C3"/>
    <w:rsid w:val="70120D53"/>
    <w:rsid w:val="701E08C7"/>
    <w:rsid w:val="70932323"/>
    <w:rsid w:val="716B3924"/>
    <w:rsid w:val="74322378"/>
    <w:rsid w:val="750D0161"/>
    <w:rsid w:val="754049A5"/>
    <w:rsid w:val="763A43F3"/>
    <w:rsid w:val="76FF0615"/>
    <w:rsid w:val="77AFCE9C"/>
    <w:rsid w:val="7ACC7DC7"/>
    <w:rsid w:val="7B1A0118"/>
    <w:rsid w:val="7C7951F7"/>
    <w:rsid w:val="7F6C0C97"/>
    <w:rsid w:val="BD737697"/>
    <w:rsid w:val="BEF9AD9B"/>
    <w:rsid w:val="F63D405D"/>
    <w:rsid w:val="F769E095"/>
    <w:rsid w:val="FEFF4084"/>
    <w:rsid w:val="FF3E3E40"/>
    <w:rsid w:val="FFFF99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5"/>
    <w:qFormat/>
    <w:uiPriority w:val="9"/>
    <w:pPr>
      <w:keepNext/>
      <w:keepLines/>
      <w:spacing w:before="340" w:after="330" w:line="578" w:lineRule="auto"/>
      <w:outlineLvl w:val="0"/>
    </w:pPr>
    <w:rPr>
      <w:b/>
      <w:bCs/>
      <w:kern w:val="44"/>
      <w:sz w:val="44"/>
      <w:szCs w:val="44"/>
    </w:rPr>
  </w:style>
  <w:style w:type="paragraph" w:styleId="3">
    <w:name w:val="heading 3"/>
    <w:basedOn w:val="1"/>
    <w:next w:val="1"/>
    <w:semiHidden/>
    <w:unhideWhenUsed/>
    <w:qFormat/>
    <w:uiPriority w:val="9"/>
    <w:pPr>
      <w:spacing w:beforeAutospacing="1" w:afterAutospacing="1"/>
      <w:jc w:val="left"/>
      <w:outlineLvl w:val="2"/>
    </w:pPr>
    <w:rPr>
      <w:rFonts w:hint="eastAsia" w:ascii="宋体" w:hAnsi="宋体" w:eastAsia="宋体" w:cs="Times New Roman"/>
      <w:b/>
      <w:bCs/>
      <w:kern w:val="0"/>
      <w:sz w:val="27"/>
      <w:szCs w:val="27"/>
    </w:rPr>
  </w:style>
  <w:style w:type="character" w:default="1" w:styleId="15">
    <w:name w:val="Default Paragraph Font"/>
    <w:semiHidden/>
    <w:unhideWhenUsed/>
    <w:qFormat/>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4">
    <w:name w:val="annotation text"/>
    <w:basedOn w:val="1"/>
    <w:link w:val="29"/>
    <w:unhideWhenUsed/>
    <w:qFormat/>
    <w:uiPriority w:val="99"/>
    <w:pPr>
      <w:jc w:val="left"/>
    </w:pPr>
  </w:style>
  <w:style w:type="paragraph" w:styleId="5">
    <w:name w:val="Body Text"/>
    <w:basedOn w:val="1"/>
    <w:qFormat/>
    <w:uiPriority w:val="1"/>
    <w:pPr>
      <w:spacing w:before="37"/>
      <w:ind w:left="540"/>
    </w:pPr>
    <w:rPr>
      <w:rFonts w:ascii="宋体" w:hAnsi="宋体" w:eastAsia="宋体"/>
      <w:szCs w:val="21"/>
    </w:rPr>
  </w:style>
  <w:style w:type="paragraph" w:styleId="6">
    <w:name w:val="Balloon Text"/>
    <w:basedOn w:val="1"/>
    <w:link w:val="31"/>
    <w:unhideWhenUsed/>
    <w:qFormat/>
    <w:uiPriority w:val="99"/>
    <w:rPr>
      <w:sz w:val="18"/>
      <w:szCs w:val="18"/>
    </w:rPr>
  </w:style>
  <w:style w:type="paragraph" w:styleId="7">
    <w:name w:val="footer"/>
    <w:basedOn w:val="1"/>
    <w:link w:val="22"/>
    <w:autoRedefine/>
    <w:unhideWhenUsed/>
    <w:qFormat/>
    <w:uiPriority w:val="99"/>
    <w:pPr>
      <w:tabs>
        <w:tab w:val="center" w:pos="4153"/>
        <w:tab w:val="right" w:pos="8306"/>
      </w:tabs>
      <w:snapToGrid w:val="0"/>
      <w:jc w:val="left"/>
    </w:pPr>
    <w:rPr>
      <w:sz w:val="18"/>
      <w:szCs w:val="18"/>
    </w:rPr>
  </w:style>
  <w:style w:type="paragraph" w:styleId="8">
    <w:name w:val="header"/>
    <w:basedOn w:val="1"/>
    <w:link w:val="2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autoRedefine/>
    <w:unhideWhenUsed/>
    <w:qFormat/>
    <w:uiPriority w:val="39"/>
  </w:style>
  <w:style w:type="paragraph" w:styleId="10">
    <w:name w:val="HTML Preformatted"/>
    <w:basedOn w:val="1"/>
    <w:link w:val="33"/>
    <w:autoRedefine/>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11">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2">
    <w:name w:val="annotation subject"/>
    <w:basedOn w:val="4"/>
    <w:next w:val="4"/>
    <w:link w:val="30"/>
    <w:autoRedefine/>
    <w:unhideWhenUsed/>
    <w:qFormat/>
    <w:uiPriority w:val="99"/>
    <w:rPr>
      <w:b/>
      <w:bCs/>
    </w:rPr>
  </w:style>
  <w:style w:type="table" w:styleId="14">
    <w:name w:val="Table Grid"/>
    <w:basedOn w:val="13"/>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22"/>
    <w:rPr>
      <w:b/>
    </w:rPr>
  </w:style>
  <w:style w:type="character" w:styleId="17">
    <w:name w:val="Emphasis"/>
    <w:basedOn w:val="15"/>
    <w:autoRedefine/>
    <w:qFormat/>
    <w:uiPriority w:val="20"/>
    <w:rPr>
      <w:i/>
      <w:iCs/>
    </w:rPr>
  </w:style>
  <w:style w:type="character" w:styleId="18">
    <w:name w:val="Hyperlink"/>
    <w:basedOn w:val="15"/>
    <w:autoRedefine/>
    <w:unhideWhenUsed/>
    <w:qFormat/>
    <w:uiPriority w:val="99"/>
    <w:rPr>
      <w:color w:val="0563C1" w:themeColor="hyperlink"/>
      <w:u w:val="single"/>
      <w14:textFill>
        <w14:solidFill>
          <w14:schemeClr w14:val="hlink"/>
        </w14:solidFill>
      </w14:textFill>
    </w:rPr>
  </w:style>
  <w:style w:type="character" w:styleId="19">
    <w:name w:val="annotation reference"/>
    <w:basedOn w:val="15"/>
    <w:autoRedefine/>
    <w:unhideWhenUsed/>
    <w:qFormat/>
    <w:uiPriority w:val="99"/>
    <w:rPr>
      <w:sz w:val="21"/>
      <w:szCs w:val="21"/>
    </w:rPr>
  </w:style>
  <w:style w:type="paragraph" w:customStyle="1" w:styleId="20">
    <w:name w:val="列出段落1"/>
    <w:basedOn w:val="1"/>
    <w:link w:val="24"/>
    <w:autoRedefine/>
    <w:qFormat/>
    <w:uiPriority w:val="34"/>
    <w:pPr>
      <w:ind w:firstLine="420" w:firstLineChars="200"/>
    </w:pPr>
  </w:style>
  <w:style w:type="character" w:customStyle="1" w:styleId="21">
    <w:name w:val="页眉 字符"/>
    <w:basedOn w:val="15"/>
    <w:link w:val="8"/>
    <w:autoRedefine/>
    <w:qFormat/>
    <w:uiPriority w:val="99"/>
    <w:rPr>
      <w:sz w:val="18"/>
      <w:szCs w:val="18"/>
    </w:rPr>
  </w:style>
  <w:style w:type="character" w:customStyle="1" w:styleId="22">
    <w:name w:val="页脚 字符"/>
    <w:basedOn w:val="15"/>
    <w:link w:val="7"/>
    <w:autoRedefine/>
    <w:qFormat/>
    <w:uiPriority w:val="99"/>
    <w:rPr>
      <w:sz w:val="18"/>
      <w:szCs w:val="18"/>
    </w:rPr>
  </w:style>
  <w:style w:type="paragraph" w:customStyle="1" w:styleId="23">
    <w:name w:val="EndNote Bibliography Title"/>
    <w:basedOn w:val="1"/>
    <w:link w:val="25"/>
    <w:autoRedefine/>
    <w:qFormat/>
    <w:uiPriority w:val="0"/>
    <w:pPr>
      <w:jc w:val="center"/>
    </w:pPr>
    <w:rPr>
      <w:rFonts w:ascii="等线" w:hAnsi="等线" w:eastAsia="等线"/>
      <w:sz w:val="20"/>
    </w:rPr>
  </w:style>
  <w:style w:type="character" w:customStyle="1" w:styleId="24">
    <w:name w:val="列出段落 Char"/>
    <w:basedOn w:val="15"/>
    <w:link w:val="20"/>
    <w:autoRedefine/>
    <w:qFormat/>
    <w:uiPriority w:val="34"/>
  </w:style>
  <w:style w:type="character" w:customStyle="1" w:styleId="25">
    <w:name w:val="EndNote Bibliography Title 字符"/>
    <w:basedOn w:val="24"/>
    <w:link w:val="23"/>
    <w:autoRedefine/>
    <w:qFormat/>
    <w:uiPriority w:val="0"/>
    <w:rPr>
      <w:rFonts w:ascii="等线" w:hAnsi="等线" w:eastAsia="等线" w:cstheme="minorBidi"/>
      <w:kern w:val="2"/>
      <w:szCs w:val="22"/>
    </w:rPr>
  </w:style>
  <w:style w:type="paragraph" w:customStyle="1" w:styleId="26">
    <w:name w:val="EndNote Bibliography"/>
    <w:basedOn w:val="1"/>
    <w:link w:val="27"/>
    <w:autoRedefine/>
    <w:qFormat/>
    <w:uiPriority w:val="0"/>
    <w:rPr>
      <w:rFonts w:ascii="等线" w:hAnsi="等线" w:eastAsia="等线"/>
      <w:sz w:val="20"/>
    </w:rPr>
  </w:style>
  <w:style w:type="character" w:customStyle="1" w:styleId="27">
    <w:name w:val="EndNote Bibliography 字符"/>
    <w:basedOn w:val="24"/>
    <w:link w:val="26"/>
    <w:autoRedefine/>
    <w:qFormat/>
    <w:uiPriority w:val="0"/>
    <w:rPr>
      <w:rFonts w:ascii="等线" w:hAnsi="等线" w:eastAsia="等线" w:cstheme="minorBidi"/>
      <w:kern w:val="2"/>
      <w:szCs w:val="22"/>
    </w:rPr>
  </w:style>
  <w:style w:type="character" w:customStyle="1" w:styleId="28">
    <w:name w:val="未处理的提及1"/>
    <w:basedOn w:val="15"/>
    <w:autoRedefine/>
    <w:unhideWhenUsed/>
    <w:qFormat/>
    <w:uiPriority w:val="99"/>
    <w:rPr>
      <w:color w:val="605E5C"/>
      <w:shd w:val="clear" w:color="auto" w:fill="E1DFDD"/>
    </w:rPr>
  </w:style>
  <w:style w:type="character" w:customStyle="1" w:styleId="29">
    <w:name w:val="批注文字 字符"/>
    <w:basedOn w:val="15"/>
    <w:link w:val="4"/>
    <w:autoRedefine/>
    <w:semiHidden/>
    <w:qFormat/>
    <w:uiPriority w:val="99"/>
  </w:style>
  <w:style w:type="character" w:customStyle="1" w:styleId="30">
    <w:name w:val="批注主题 字符"/>
    <w:basedOn w:val="29"/>
    <w:link w:val="12"/>
    <w:autoRedefine/>
    <w:semiHidden/>
    <w:qFormat/>
    <w:uiPriority w:val="99"/>
    <w:rPr>
      <w:b/>
      <w:bCs/>
    </w:rPr>
  </w:style>
  <w:style w:type="character" w:customStyle="1" w:styleId="31">
    <w:name w:val="批注框文本 字符"/>
    <w:basedOn w:val="15"/>
    <w:link w:val="6"/>
    <w:autoRedefine/>
    <w:semiHidden/>
    <w:qFormat/>
    <w:uiPriority w:val="99"/>
    <w:rPr>
      <w:sz w:val="18"/>
      <w:szCs w:val="18"/>
    </w:rPr>
  </w:style>
  <w:style w:type="paragraph" w:customStyle="1" w:styleId="32">
    <w:name w:val="修订1"/>
    <w:autoRedefine/>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33">
    <w:name w:val="HTML 预设格式 字符"/>
    <w:basedOn w:val="15"/>
    <w:link w:val="10"/>
    <w:autoRedefine/>
    <w:semiHidden/>
    <w:qFormat/>
    <w:uiPriority w:val="99"/>
    <w:rPr>
      <w:rFonts w:ascii="宋体" w:hAnsi="宋体" w:eastAsia="宋体" w:cs="宋体"/>
      <w:kern w:val="0"/>
      <w:sz w:val="24"/>
      <w:szCs w:val="24"/>
    </w:rPr>
  </w:style>
  <w:style w:type="character" w:customStyle="1" w:styleId="34">
    <w:name w:val="y2iqfc"/>
    <w:basedOn w:val="15"/>
    <w:autoRedefine/>
    <w:qFormat/>
    <w:uiPriority w:val="0"/>
  </w:style>
  <w:style w:type="character" w:customStyle="1" w:styleId="35">
    <w:name w:val="inner-text-paragraph-org"/>
    <w:basedOn w:val="15"/>
    <w:autoRedefine/>
    <w:qFormat/>
    <w:uiPriority w:val="0"/>
  </w:style>
  <w:style w:type="character" w:customStyle="1" w:styleId="36">
    <w:name w:val="未处理的提及2"/>
    <w:basedOn w:val="15"/>
    <w:autoRedefine/>
    <w:unhideWhenUsed/>
    <w:qFormat/>
    <w:uiPriority w:val="99"/>
    <w:rPr>
      <w:color w:val="605E5C"/>
      <w:shd w:val="clear" w:color="auto" w:fill="E1DFDD"/>
    </w:rPr>
  </w:style>
  <w:style w:type="character" w:customStyle="1" w:styleId="37">
    <w:name w:val="列表段落 字符1"/>
    <w:basedOn w:val="15"/>
    <w:autoRedefine/>
    <w:qFormat/>
    <w:uiPriority w:val="34"/>
  </w:style>
  <w:style w:type="paragraph" w:customStyle="1" w:styleId="38">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39">
    <w:name w:val="Heading #2|1"/>
    <w:basedOn w:val="1"/>
    <w:autoRedefine/>
    <w:qFormat/>
    <w:uiPriority w:val="0"/>
    <w:pPr>
      <w:spacing w:after="400"/>
      <w:ind w:hanging="780"/>
      <w:jc w:val="left"/>
      <w:outlineLvl w:val="1"/>
    </w:pPr>
    <w:rPr>
      <w:rFonts w:ascii="宋体" w:hAnsi="宋体" w:eastAsia="宋体" w:cs="宋体"/>
      <w:kern w:val="0"/>
      <w:sz w:val="40"/>
      <w:szCs w:val="40"/>
      <w:lang w:val="zh-TW" w:eastAsia="zh-TW" w:bidi="zh-TW"/>
    </w:rPr>
  </w:style>
  <w:style w:type="paragraph" w:customStyle="1" w:styleId="40">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41">
    <w:name w:val="封面标准代替信息"/>
    <w:autoRedefine/>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42">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43">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44">
    <w:name w:val="发布部门"/>
    <w:next w:val="45"/>
    <w:autoRedefine/>
    <w:qFormat/>
    <w:uiPriority w:val="0"/>
    <w:pPr>
      <w:framePr w:w="9416" w:h="1134" w:hRule="exact" w:hSpace="125" w:vSpace="181" w:wrap="around" w:vAnchor="page" w:hAnchor="page" w:x="1488" w:y="15540" w:anchorLock="1"/>
      <w:pBdr>
        <w:top w:val="single" w:color="auto" w:sz="4" w:space="1"/>
        <w:left w:val="none" w:color="auto" w:sz="0" w:space="4"/>
        <w:bottom w:val="none" w:color="auto" w:sz="0" w:space="1"/>
        <w:right w:val="none" w:color="auto" w:sz="0" w:space="4"/>
      </w:pBdr>
      <w:jc w:val="center"/>
    </w:pPr>
    <w:rPr>
      <w:rFonts w:ascii="黑体" w:hAnsi="黑体" w:eastAsia="黑体" w:cs="黑体"/>
      <w:bCs/>
      <w:spacing w:val="20"/>
      <w:sz w:val="28"/>
      <w:szCs w:val="28"/>
      <w:lang w:val="en-US" w:eastAsia="zh-CN" w:bidi="ar-SA"/>
    </w:rPr>
  </w:style>
  <w:style w:type="paragraph" w:customStyle="1" w:styleId="45">
    <w:name w:val="段"/>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46">
    <w:name w:val="其他发布日期"/>
    <w:basedOn w:val="47"/>
    <w:autoRedefine/>
    <w:qFormat/>
    <w:uiPriority w:val="0"/>
    <w:pPr>
      <w:framePr w:w="9331" w:wrap="around" w:vAnchor="page" w:hAnchor="text" w:x="1341" w:y="15201"/>
      <w:jc w:val="center"/>
    </w:pPr>
  </w:style>
  <w:style w:type="paragraph" w:customStyle="1" w:styleId="47">
    <w:name w:val="发布日期"/>
    <w:autoRedefine/>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48">
    <w:name w:val="样式1"/>
    <w:basedOn w:val="1"/>
    <w:next w:val="9"/>
    <w:autoRedefine/>
    <w:qFormat/>
    <w:uiPriority w:val="0"/>
  </w:style>
  <w:style w:type="paragraph" w:customStyle="1" w:styleId="49">
    <w:name w:val="标准文件_段"/>
    <w:qFormat/>
    <w:uiPriority w:val="0"/>
    <w:pPr>
      <w:autoSpaceDE w:val="0"/>
      <w:autoSpaceDN w:val="0"/>
      <w:spacing w:line="276" w:lineRule="auto"/>
      <w:ind w:firstLine="420" w:firstLineChars="200"/>
      <w:jc w:val="both"/>
    </w:pPr>
    <w:rPr>
      <w:rFonts w:ascii="Times New Roman" w:hAnsi="Times New Roman" w:eastAsia="宋体" w:cs="Times New Roman"/>
      <w:sz w:val="21"/>
      <w:szCs w:val="21"/>
      <w:lang w:val="en-US" w:eastAsia="zh-CN" w:bidi="ar-SA"/>
    </w:rPr>
  </w:style>
  <w:style w:type="paragraph" w:customStyle="1" w:styleId="50">
    <w:name w:val="标准文件_章标题"/>
    <w:next w:val="49"/>
    <w:autoRedefine/>
    <w:qFormat/>
    <w:uiPriority w:val="0"/>
    <w:pPr>
      <w:numPr>
        <w:ilvl w:val="1"/>
        <w:numId w:val="1"/>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51">
    <w:name w:val="标准文件_一级条标题"/>
    <w:basedOn w:val="50"/>
    <w:next w:val="49"/>
    <w:autoRedefine/>
    <w:qFormat/>
    <w:uiPriority w:val="0"/>
    <w:pPr>
      <w:numPr>
        <w:ilvl w:val="2"/>
      </w:numPr>
      <w:spacing w:before="50" w:beforeLines="50" w:after="50" w:afterLines="50"/>
      <w:outlineLvl w:val="1"/>
    </w:pPr>
  </w:style>
  <w:style w:type="paragraph" w:customStyle="1" w:styleId="52">
    <w:name w:val="标准文件_二级条标题"/>
    <w:next w:val="49"/>
    <w:autoRedefine/>
    <w:qFormat/>
    <w:uiPriority w:val="0"/>
    <w:pPr>
      <w:widowControl w:val="0"/>
      <w:numPr>
        <w:ilvl w:val="3"/>
        <w:numId w:val="1"/>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53">
    <w:name w:val="标准文件_目录标题"/>
    <w:basedOn w:val="1"/>
    <w:autoRedefine/>
    <w:qFormat/>
    <w:uiPriority w:val="0"/>
    <w:pPr>
      <w:spacing w:before="480" w:after="150" w:afterLines="150"/>
      <w:jc w:val="center"/>
    </w:pPr>
    <w:rPr>
      <w:rFonts w:ascii="黑体" w:eastAsia="黑体"/>
      <w:sz w:val="32"/>
    </w:rPr>
  </w:style>
  <w:style w:type="paragraph" w:customStyle="1" w:styleId="54">
    <w:name w:val="Revision"/>
    <w:hidden/>
    <w:unhideWhenUsed/>
    <w:uiPriority w:val="99"/>
    <w:rPr>
      <w:rFonts w:asciiTheme="minorHAnsi" w:hAnsiTheme="minorHAnsi" w:eastAsiaTheme="minorEastAsia" w:cstheme="minorBidi"/>
      <w:kern w:val="2"/>
      <w:sz w:val="21"/>
      <w:szCs w:val="22"/>
      <w:lang w:val="en-US" w:eastAsia="zh-CN" w:bidi="ar-SA"/>
    </w:rPr>
  </w:style>
  <w:style w:type="character" w:customStyle="1" w:styleId="55">
    <w:name w:val="标题 1 字符"/>
    <w:basedOn w:val="15"/>
    <w:link w:val="2"/>
    <w:uiPriority w:val="9"/>
    <w:rPr>
      <w:rFonts w:asciiTheme="minorHAnsi" w:hAnsiTheme="minorHAnsi" w:eastAsiaTheme="minorEastAsia" w:cstheme="minorBidi"/>
      <w:b/>
      <w:bCs/>
      <w:kern w:val="44"/>
      <w:sz w:val="44"/>
      <w:szCs w:val="44"/>
    </w:rPr>
  </w:style>
  <w:style w:type="paragraph" w:customStyle="1" w:styleId="56">
    <w:name w:val="TOC Heading"/>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57">
    <w:name w:val="Unresolved Mention"/>
    <w:basedOn w:val="15"/>
    <w:semiHidden/>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569A7B-E6DD-4A5E-8B68-CAEC93B7DC0F}">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18</Pages>
  <Words>2534</Words>
  <Characters>3806</Characters>
  <Lines>157</Lines>
  <Paragraphs>44</Paragraphs>
  <TotalTime>320</TotalTime>
  <ScaleCrop>false</ScaleCrop>
  <LinksUpToDate>false</LinksUpToDate>
  <CharactersWithSpaces>4105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2026-01-19T13:18:00Z</dcterms:created>
  <dc:creator>Family</dc:creator>
  <cp:lastModifiedBy>J</cp:lastModifiedBy>
  <cp:lastPrinted>2021-10-22T19:40:00Z</cp:lastPrinted>
  <dcterms:modified xsi:type="dcterms:W3CDTF">2026-04-24T03:47:07Z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4FD103AE745049B5A87703938E4482AE_13</vt:lpwstr>
  </property>
  <property fmtid="{D5CDD505-2E9C-101B-9397-08002B2CF9AE}" pid="4" name="KSOTemplateDocerSaveRecord">
    <vt:lpwstr>eyJoZGlkIjoiMTFmMDJjZGU0YzYzNjgxMjg1NzBlNDNlZWZkY2IyNjMiLCJ1c2VySWQiOiIxMzc2MzQzNjk3In0=</vt:lpwstr>
  </property>
  <property fmtid="{D5CDD505-2E9C-101B-9397-08002B2CF9AE}" pid="5" name="GrammarlyDocumentId">
    <vt:lpwstr>87bd402a-5954-4fa3-8036-afc868612cd2</vt:lpwstr>
  </property>
</Properties>
</file>