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640E8E">
      <w:pPr>
        <w:pStyle w:val="36"/>
        <w:framePr w:wrap="around" w:vAnchor="page" w:hAnchor="page" w:x="1841" w:y="501"/>
        <w:rPr>
          <w:b/>
          <w:bCs/>
        </w:rPr>
      </w:pPr>
      <w:r>
        <w:rPr>
          <w:rFonts w:ascii="Times New Roman"/>
          <w:b/>
          <w:bCs/>
        </w:rPr>
        <w:t>ICS</w:t>
      </w:r>
      <w:r>
        <w:rPr>
          <w:rFonts w:hint="eastAsia" w:ascii="Times New Roman"/>
          <w:b/>
          <w:bCs/>
        </w:rPr>
        <w:t xml:space="preserve"> 11</w:t>
      </w:r>
      <w:r>
        <w:rPr>
          <w:rFonts w:ascii="Times New Roman"/>
          <w:b/>
          <w:bCs/>
        </w:rPr>
        <w:t>.0</w:t>
      </w:r>
      <w:r>
        <w:rPr>
          <w:rFonts w:hint="eastAsia" w:ascii="Times New Roman"/>
          <w:b/>
          <w:bCs/>
        </w:rPr>
        <w:t>2</w:t>
      </w:r>
      <w:r>
        <w:rPr>
          <w:rFonts w:ascii="Times New Roman"/>
          <w:b/>
          <w:bCs/>
        </w:rPr>
        <w:t>0</w:t>
      </w:r>
    </w:p>
    <w:p w14:paraId="198F1AE1">
      <w:pPr>
        <w:pStyle w:val="36"/>
        <w:framePr w:wrap="around" w:vAnchor="page" w:hAnchor="page" w:x="1841" w:y="501"/>
        <w:rPr>
          <w:rFonts w:ascii="Times New Roman"/>
          <w:b/>
          <w:bCs/>
        </w:rPr>
      </w:pPr>
      <w:r>
        <w:rPr>
          <w:rFonts w:hint="eastAsia" w:ascii="Times New Roman"/>
          <w:b/>
          <w:bCs/>
        </w:rPr>
        <w:t>CCS C 05</w:t>
      </w:r>
    </w:p>
    <w:p w14:paraId="2206F38C">
      <w:pPr>
        <w:pStyle w:val="40"/>
        <w:framePr w:w="8178" w:h="856" w:hRule="exact" w:wrap="around" w:x="2055" w:y="2221"/>
        <w:rPr>
          <w:rFonts w:hint="eastAsia" w:ascii="黑体" w:hAnsi="黑体" w:eastAsia="黑体"/>
          <w:b w:val="0"/>
          <w:sz w:val="56"/>
          <w:szCs w:val="52"/>
        </w:rPr>
      </w:pPr>
      <w:r>
        <w:rPr>
          <w:rFonts w:hint="eastAsia" w:ascii="黑体" w:hAnsi="黑体" w:eastAsia="黑体"/>
          <w:b w:val="0"/>
          <w:sz w:val="56"/>
          <w:szCs w:val="52"/>
        </w:rPr>
        <w:t>团体标准</w:t>
      </w:r>
    </w:p>
    <w:tbl>
      <w:tblPr>
        <w:tblStyle w:val="12"/>
        <w:tblW w:w="93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356"/>
      </w:tblGrid>
      <w:tr w14:paraId="1DB14A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56" w:type="dxa"/>
            <w:tcBorders>
              <w:top w:val="nil"/>
              <w:left w:val="nil"/>
              <w:bottom w:val="nil"/>
              <w:right w:val="nil"/>
            </w:tcBorders>
          </w:tcPr>
          <w:p w14:paraId="7FBA007A">
            <w:pPr>
              <w:pStyle w:val="38"/>
              <w:framePr w:wrap="around" w:x="1382" w:y="3031"/>
            </w:pPr>
            <w:r>
              <w:rPr>
                <w:rFonts w:hint="eastAsia" w:ascii="Times New Roman"/>
                <w:b/>
                <w:bCs/>
                <w:lang w:val="fr-FR"/>
              </w:rPr>
              <w:t>T</w:t>
            </w:r>
            <w:r>
              <w:rPr>
                <w:rFonts w:ascii="Times New Roman"/>
                <w:b/>
                <w:bCs/>
                <w:lang w:val="fr-FR"/>
              </w:rPr>
              <w:t>/</w:t>
            </w:r>
            <w:r>
              <w:rPr>
                <w:rFonts w:hint="eastAsia" w:ascii="Times New Roman"/>
                <w:b/>
                <w:bCs/>
                <w:lang w:val="fr-FR"/>
              </w:rPr>
              <w:t>C</w:t>
            </w:r>
            <w:bookmarkStart w:id="0" w:name="StdNo1"/>
            <w:r>
              <w:rPr>
                <w:rFonts w:hint="eastAsia" w:ascii="Times New Roman"/>
                <w:b/>
                <w:bCs/>
              </w:rPr>
              <w:t>RHA</w:t>
            </w:r>
            <w:bookmarkEnd w:id="0"/>
            <w:r>
              <w:rPr>
                <w:rFonts w:hint="eastAsia" w:ascii="Times New Roman"/>
              </w:rPr>
              <w:t xml:space="preserve"> </w:t>
            </w:r>
            <w:r>
              <w:rPr>
                <w:rFonts w:hint="eastAsia"/>
              </w:rPr>
              <w:t>142</w:t>
            </w:r>
            <w:r>
              <w:t>—</w:t>
            </w:r>
            <w:r>
              <w:rPr>
                <w:rFonts w:hint="eastAsia"/>
              </w:rPr>
              <w:t>2025</w:t>
            </w:r>
          </w:p>
        </w:tc>
      </w:tr>
    </w:tbl>
    <w:p w14:paraId="358B6A9A">
      <w:pPr>
        <w:pStyle w:val="38"/>
        <w:framePr w:wrap="around" w:x="1382" w:y="3031"/>
        <w:jc w:val="center"/>
      </w:pPr>
      <w:r>
        <w:rPr>
          <w:rFonts w:hint="eastAsia"/>
        </w:rPr>
        <w:t>————————————————————————————————————————</w:t>
      </w:r>
    </w:p>
    <w:p w14:paraId="40856AEA">
      <w:pPr>
        <w:pStyle w:val="38"/>
        <w:framePr w:wrap="around" w:x="1382" w:y="3031"/>
      </w:pPr>
    </w:p>
    <w:p w14:paraId="5636D3CC">
      <w:pPr>
        <w:pStyle w:val="37"/>
        <w:framePr w:h="5348" w:hRule="exact" w:wrap="around"/>
        <w:outlineLvl w:val="9"/>
        <w:rPr>
          <w:sz w:val="52"/>
          <w:szCs w:val="52"/>
        </w:rPr>
      </w:pPr>
      <w:bookmarkStart w:id="1" w:name="_Hlk224823256"/>
      <w:bookmarkStart w:id="2" w:name="StdEnglishName"/>
      <w:r>
        <w:rPr>
          <w:rFonts w:hint="eastAsia"/>
          <w:sz w:val="52"/>
          <w:szCs w:val="52"/>
        </w:rPr>
        <w:t>人源化肠癌类器官病理质量评价规范</w:t>
      </w:r>
    </w:p>
    <w:bookmarkEnd w:id="1"/>
    <w:p w14:paraId="10681559">
      <w:pPr>
        <w:pStyle w:val="37"/>
        <w:framePr w:h="5348" w:hRule="exact" w:wrap="around"/>
        <w:outlineLvl w:val="9"/>
      </w:pPr>
      <w:r>
        <w:t>Specification for pathological quality evaluation of patient-derived colorectal cancer organoids</w:t>
      </w:r>
    </w:p>
    <w:p w14:paraId="38A3112B">
      <w:pPr>
        <w:pStyle w:val="37"/>
        <w:framePr w:h="5348" w:hRule="exact" w:wrap="around"/>
        <w:outlineLvl w:val="9"/>
        <w:rPr>
          <w:rFonts w:hint="eastAsia"/>
        </w:rPr>
      </w:pPr>
      <w:r>
        <w:rPr>
          <w:rFonts w:hint="eastAsia"/>
        </w:rPr>
        <w:t>(征求意见稿）</w:t>
      </w:r>
    </w:p>
    <w:p w14:paraId="62D678D5">
      <w:pPr>
        <w:pStyle w:val="44"/>
        <w:framePr w:wrap="around"/>
      </w:pPr>
      <w:r>
        <w:rPr>
          <w:rFonts w:hint="eastAsia" w:ascii="黑体" w:hAnsi="黑体"/>
        </w:rPr>
        <w:t>2026</w:t>
      </w:r>
      <w:r>
        <w:rPr>
          <w:rFonts w:ascii="黑体" w:hAnsi="黑体"/>
        </w:rPr>
        <w:t>-</w:t>
      </w:r>
      <w:r>
        <w:rPr>
          <w:rFonts w:hint="eastAsia" w:ascii="黑体" w:hAnsi="黑体"/>
        </w:rPr>
        <w:t>0</w:t>
      </w:r>
      <w:r>
        <w:rPr>
          <w:rFonts w:hint="eastAsia" w:ascii="黑体" w:hAnsi="黑体"/>
          <w:lang w:val="en-US" w:eastAsia="zh-CN"/>
        </w:rPr>
        <w:t>X</w:t>
      </w:r>
      <w:r>
        <w:rPr>
          <w:rFonts w:ascii="黑体" w:hAnsi="黑体"/>
        </w:rPr>
        <w:t>-</w:t>
      </w:r>
      <w:r>
        <w:rPr>
          <w:rFonts w:hint="eastAsia" w:ascii="黑体" w:hAnsi="黑体"/>
          <w:szCs w:val="22"/>
          <w:lang w:val="en-US" w:eastAsia="zh-CN"/>
        </w:rPr>
        <w:t>XX</w:t>
      </w:r>
      <w:r>
        <w:rPr>
          <w:rFonts w:hint="eastAsia"/>
        </w:rPr>
        <w:t xml:space="preserve">发布                                      </w:t>
      </w:r>
      <w:r>
        <w:rPr>
          <w:rFonts w:hint="eastAsia" w:ascii="黑体" w:hAnsi="黑体"/>
          <w:szCs w:val="22"/>
        </w:rPr>
        <w:t>2026-0</w:t>
      </w:r>
      <w:r>
        <w:rPr>
          <w:rFonts w:hint="eastAsia" w:ascii="黑体" w:hAnsi="黑体"/>
          <w:szCs w:val="22"/>
          <w:lang w:val="en-US" w:eastAsia="zh-CN"/>
        </w:rPr>
        <w:t>X</w:t>
      </w:r>
      <w:r>
        <w:rPr>
          <w:rFonts w:hint="eastAsia" w:ascii="黑体" w:hAnsi="黑体"/>
          <w:szCs w:val="22"/>
        </w:rPr>
        <w:t>-</w:t>
      </w:r>
      <w:r>
        <w:rPr>
          <w:rFonts w:hint="eastAsia" w:ascii="黑体" w:hAnsi="黑体"/>
          <w:szCs w:val="22"/>
          <w:lang w:val="en-US" w:eastAsia="zh-CN"/>
        </w:rPr>
        <w:t>XX</w:t>
      </w:r>
      <w:r>
        <w:rPr>
          <w:rFonts w:hint="eastAsia" w:ascii="黑体" w:hAnsi="黑体"/>
          <w:szCs w:val="22"/>
        </w:rPr>
        <w:t>实施</w:t>
      </w:r>
    </w:p>
    <w:p w14:paraId="58E677E4">
      <w:pPr>
        <w:pStyle w:val="42"/>
        <w:framePr w:wrap="around" w:x="1346" w:y="15591"/>
        <w:pBdr>
          <w:top w:val="single" w:color="auto" w:sz="4" w:space="1"/>
          <w:left w:val="none" w:color="auto" w:sz="0" w:space="4"/>
          <w:bottom w:val="none" w:color="auto" w:sz="0" w:space="1"/>
          <w:right w:val="none" w:color="auto" w:sz="0" w:space="4"/>
        </w:pBdr>
        <w:rPr>
          <w:rFonts w:hint="eastAsia" w:ascii="黑体" w:hAnsi="黑体" w:eastAsia="黑体" w:cs="黑体"/>
          <w:b/>
          <w:bCs/>
          <w:w w:val="100"/>
          <w:sz w:val="28"/>
          <w:szCs w:val="28"/>
        </w:rPr>
      </w:pPr>
      <w:r>
        <w:rPr>
          <w:rFonts w:hint="eastAsia" w:ascii="黑体" w:hAnsi="黑体" w:eastAsia="黑体" w:cs="黑体"/>
          <w:b w:val="0"/>
          <w:bCs/>
          <w:w w:val="100"/>
          <w:sz w:val="28"/>
          <w:szCs w:val="28"/>
        </w:rPr>
        <w:t>中国研究型医院学会 发布</w:t>
      </w:r>
      <w:bookmarkEnd w:id="2"/>
    </w:p>
    <w:p w14:paraId="1C9250FA">
      <w:pPr>
        <w:rPr>
          <w:rFonts w:hint="eastAsia" w:eastAsia="宋体"/>
        </w:rPr>
      </w:pPr>
      <w:r>
        <w:rPr>
          <w:rFonts w:hint="eastAsia" w:eastAsia="宋体"/>
        </w:rPr>
        <w:drawing>
          <wp:anchor distT="0" distB="0" distL="114300" distR="114300" simplePos="0" relativeHeight="251661312" behindDoc="0" locked="0" layoutInCell="1" allowOverlap="1">
            <wp:simplePos x="0" y="0"/>
            <wp:positionH relativeFrom="column">
              <wp:posOffset>4546600</wp:posOffset>
            </wp:positionH>
            <wp:positionV relativeFrom="paragraph">
              <wp:posOffset>-485140</wp:posOffset>
            </wp:positionV>
            <wp:extent cx="1076325" cy="1040130"/>
            <wp:effectExtent l="0" t="0" r="5715" b="11430"/>
            <wp:wrapTopAndBottom/>
            <wp:docPr id="1" name="图片 1" descr="a06827f94baeb281ac1150c54aaec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a06827f94baeb281ac1150c54aaec17"/>
                    <pic:cNvPicPr>
                      <a:picLocks noChangeAspect="1"/>
                    </pic:cNvPicPr>
                  </pic:nvPicPr>
                  <pic:blipFill>
                    <a:blip r:embed="rId17"/>
                    <a:stretch>
                      <a:fillRect/>
                    </a:stretch>
                  </pic:blipFill>
                  <pic:spPr>
                    <a:xfrm>
                      <a:off x="0" y="0"/>
                      <a:ext cx="1076325" cy="1040130"/>
                    </a:xfrm>
                    <a:prstGeom prst="rect">
                      <a:avLst/>
                    </a:prstGeom>
                  </pic:spPr>
                </pic:pic>
              </a:graphicData>
            </a:graphic>
          </wp:anchor>
        </w:drawing>
      </w:r>
    </w:p>
    <w:p w14:paraId="343956EB">
      <w:pPr>
        <w:spacing w:line="360" w:lineRule="auto"/>
        <w:jc w:val="center"/>
        <w:rPr>
          <w:rFonts w:hint="eastAsia" w:ascii="宋体" w:hAnsi="宋体" w:eastAsia="宋体" w:cs="Times New Roman"/>
          <w:bCs/>
          <w:sz w:val="24"/>
          <w:szCs w:val="24"/>
        </w:rPr>
      </w:pPr>
    </w:p>
    <w:p w14:paraId="16C855E2">
      <w:pPr>
        <w:spacing w:line="360" w:lineRule="auto"/>
        <w:jc w:val="center"/>
        <w:rPr>
          <w:rFonts w:hint="eastAsia" w:ascii="宋体" w:hAnsi="宋体" w:eastAsia="宋体" w:cs="Times New Roman"/>
          <w:bCs/>
          <w:sz w:val="24"/>
          <w:szCs w:val="24"/>
        </w:rPr>
      </w:pPr>
    </w:p>
    <w:p w14:paraId="1E9370C8">
      <w:pPr>
        <w:widowControl/>
        <w:spacing w:line="360" w:lineRule="auto"/>
        <w:jc w:val="center"/>
        <w:rPr>
          <w:rFonts w:hint="eastAsia" w:ascii="黑体" w:hAnsi="黑体" w:eastAsia="黑体" w:cs="黑体"/>
          <w:sz w:val="32"/>
          <w:szCs w:val="32"/>
        </w:rPr>
        <w:sectPr>
          <w:headerReference r:id="rId3" w:type="default"/>
          <w:footerReference r:id="rId5" w:type="default"/>
          <w:headerReference r:id="rId4" w:type="even"/>
          <w:pgSz w:w="11906" w:h="16838"/>
          <w:pgMar w:top="1100" w:right="1800" w:bottom="1100" w:left="1800" w:header="851" w:footer="992" w:gutter="0"/>
          <w:pgNumType w:fmt="upperRoman" w:start="0"/>
          <w:cols w:space="425" w:num="1"/>
          <w:titlePg/>
          <w:docGrid w:type="lines" w:linePitch="312" w:charSpace="0"/>
        </w:sectPr>
      </w:pPr>
    </w:p>
    <w:p w14:paraId="195A6C8B">
      <w:pPr>
        <w:widowControl/>
        <w:spacing w:before="312" w:beforeLines="100" w:after="312" w:afterLines="100"/>
        <w:jc w:val="center"/>
        <w:rPr>
          <w:rFonts w:hint="eastAsia" w:ascii="黑体" w:hAnsi="黑体" w:eastAsia="黑体" w:cs="黑体"/>
          <w:sz w:val="32"/>
          <w:szCs w:val="32"/>
        </w:rPr>
      </w:pPr>
      <w:r>
        <w:rPr>
          <w:rFonts w:hint="eastAsia" w:ascii="黑体" w:hAnsi="黑体" w:eastAsia="黑体" w:cs="黑体"/>
          <w:sz w:val="32"/>
          <w:szCs w:val="32"/>
        </w:rPr>
        <w:t>目  次</w:t>
      </w:r>
    </w:p>
    <w:sdt>
      <w:sdtPr>
        <w:rPr>
          <w:lang w:val="zh-CN"/>
        </w:rPr>
        <w:id w:val="-175569272"/>
        <w:docPartObj>
          <w:docPartGallery w:val="Table of Contents"/>
          <w:docPartUnique/>
        </w:docPartObj>
      </w:sdtPr>
      <w:sdtEndPr>
        <w:rPr>
          <w:rFonts w:asciiTheme="minorHAnsi" w:hAnsiTheme="minorHAnsi" w:eastAsiaTheme="minorEastAsia" w:cstheme="minorBidi"/>
          <w:b/>
          <w:bCs/>
          <w:color w:val="auto"/>
          <w:kern w:val="2"/>
          <w:sz w:val="21"/>
          <w:szCs w:val="22"/>
          <w:lang w:val="zh-CN"/>
        </w:rPr>
      </w:sdtEndPr>
      <w:sdtContent>
        <w:p w14:paraId="35F67247">
          <w:pPr>
            <w:pStyle w:val="50"/>
            <w:rPr>
              <w:rFonts w:hint="eastAsia"/>
              <w:sz w:val="21"/>
              <w:szCs w:val="21"/>
            </w:rPr>
          </w:pPr>
        </w:p>
        <w:p w14:paraId="739B61DD">
          <w:pPr>
            <w:pStyle w:val="8"/>
            <w:tabs>
              <w:tab w:val="right" w:leader="dot" w:pos="8296"/>
            </w:tabs>
            <w:rPr>
              <w:rFonts w:hint="default" w:ascii="Times New Roman" w:hAnsi="Times New Roman" w:eastAsia="宋体" w:cs="Times New Roman"/>
              <w:sz w:val="22"/>
              <w:szCs w:val="24"/>
              <w14:ligatures w14:val="standardContextual"/>
            </w:rPr>
          </w:pPr>
          <w:r>
            <w:fldChar w:fldCharType="begin"/>
          </w:r>
          <w:r>
            <w:instrText xml:space="preserve"> TOC \o "1-3" \h \z \u </w:instrText>
          </w:r>
          <w:r>
            <w:rPr>
              <w:rFonts w:hint="eastAsia"/>
            </w:rPr>
            <w:fldChar w:fldCharType="separate"/>
          </w: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"_Toc225449509"</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rPr>
            <w:t>前言</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_Toc225449509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hint="default" w:ascii="Times New Roman" w:hAnsi="Times New Roman" w:eastAsia="宋体" w:cs="Times New Roman"/>
            </w:rPr>
            <w:t>II</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2B063EA4">
          <w:pPr>
            <w:pStyle w:val="8"/>
            <w:tabs>
              <w:tab w:val="left" w:pos="230"/>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"_Toc225449510"</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1</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范围</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_Toc225449510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hint="default" w:ascii="Times New Roman" w:hAnsi="Times New Roman" w:eastAsia="宋体" w:cs="Times New Roman"/>
            </w:rPr>
            <w:t>1</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299DEE06">
          <w:pPr>
            <w:pStyle w:val="8"/>
            <w:tabs>
              <w:tab w:val="left" w:pos="230"/>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"_Toc225449511"</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2</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规范性引用文件</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_Toc225449511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hint="default" w:ascii="Times New Roman" w:hAnsi="Times New Roman" w:eastAsia="宋体" w:cs="Times New Roman"/>
            </w:rPr>
            <w:t>1</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2AC12ADB">
          <w:pPr>
            <w:pStyle w:val="8"/>
            <w:tabs>
              <w:tab w:val="left" w:pos="230"/>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"_Toc225449512"</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3</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术语和定义</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_Toc225449512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hint="default" w:ascii="Times New Roman" w:hAnsi="Times New Roman" w:eastAsia="宋体" w:cs="Times New Roman"/>
            </w:rPr>
            <w:t>1</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4F95E2C2">
          <w:pPr>
            <w:pStyle w:val="8"/>
            <w:tabs>
              <w:tab w:val="left" w:pos="230"/>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"_Toc225449513"</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4</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缩略语</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_Toc225449513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hint="default" w:ascii="Times New Roman" w:hAnsi="Times New Roman" w:eastAsia="宋体" w:cs="Times New Roman"/>
            </w:rPr>
            <w:t>1</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44290617">
          <w:pPr>
            <w:pStyle w:val="8"/>
            <w:tabs>
              <w:tab w:val="left" w:pos="230"/>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"_Toc225449514"</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5</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伦理要求</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_Toc225449514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hint="default" w:ascii="Times New Roman" w:hAnsi="Times New Roman" w:eastAsia="宋体" w:cs="Times New Roman"/>
            </w:rPr>
            <w:t>2</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74DB837C">
          <w:pPr>
            <w:pStyle w:val="8"/>
            <w:tabs>
              <w:tab w:val="left" w:pos="230"/>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"_Toc225449515"</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6</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技术要求</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_Toc225449515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hint="default" w:ascii="Times New Roman" w:hAnsi="Times New Roman" w:eastAsia="宋体" w:cs="Times New Roman"/>
            </w:rPr>
            <w:t>2</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245011CD">
          <w:pPr>
            <w:pStyle w:val="8"/>
            <w:tabs>
              <w:tab w:val="left" w:pos="230"/>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"_Toc225449516"</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7</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检测方法</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_Toc225449516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hint="default" w:ascii="Times New Roman" w:hAnsi="Times New Roman" w:eastAsia="宋体" w:cs="Times New Roman"/>
            </w:rPr>
            <w:t>3</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7762550D">
          <w:pPr>
            <w:pStyle w:val="8"/>
            <w:tabs>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"_Toc225449517"</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附录A（规范性）器官组织病理检测方法-石蜡包埋法</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_Toc225449517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hint="default" w:ascii="Times New Roman" w:hAnsi="Times New Roman" w:eastAsia="宋体" w:cs="Times New Roman"/>
            </w:rPr>
            <w:t>4</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67B79D1B">
          <w:pPr>
            <w:pStyle w:val="8"/>
            <w:tabs>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"_Toc225449521"</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附录B（规范性）类器官STR鉴定方法</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_Toc225449521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hint="default" w:ascii="Times New Roman" w:hAnsi="Times New Roman" w:eastAsia="宋体" w:cs="Times New Roman"/>
            </w:rPr>
            <w:t>6</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1B700EDF">
          <w:pPr>
            <w:pStyle w:val="8"/>
            <w:tabs>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"_Toc225449524"</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附录C（资料性）类器官基因突变检测方法</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_Toc225449524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hint="default" w:ascii="Times New Roman" w:hAnsi="Times New Roman" w:eastAsia="宋体" w:cs="Times New Roman"/>
            </w:rPr>
            <w:t>7</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34F7499E">
          <w:pPr>
            <w:pStyle w:val="8"/>
            <w:tabs>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"_Toc225449527"</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参考文献</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_Toc225449527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hint="default" w:ascii="Times New Roman" w:hAnsi="Times New Roman" w:eastAsia="宋体" w:cs="Times New Roman"/>
            </w:rPr>
            <w:t>8</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4A8AD7E6">
          <w:pPr>
            <w:rPr>
              <w:rFonts w:hint="eastAsia"/>
            </w:rPr>
          </w:pPr>
          <w:r>
            <w:rPr>
              <w:b/>
              <w:bCs/>
              <w:lang w:val="zh-CN"/>
            </w:rPr>
            <w:fldChar w:fldCharType="end"/>
          </w:r>
        </w:p>
      </w:sdtContent>
    </w:sdt>
    <w:p w14:paraId="03EF6D65">
      <w:pPr>
        <w:pStyle w:val="8"/>
        <w:rPr>
          <w:rFonts w:hint="eastAsia" w:ascii="黑体" w:hAnsi="黑体" w:eastAsia="黑体" w:cs="黑体"/>
          <w:sz w:val="32"/>
          <w:szCs w:val="32"/>
        </w:rPr>
        <w:sectPr>
          <w:headerReference r:id="rId6" w:type="first"/>
          <w:footerReference r:id="rId9" w:type="first"/>
          <w:footerReference r:id="rId7" w:type="default"/>
          <w:footerReference r:id="rId8" w:type="even"/>
          <w:pgSz w:w="11906" w:h="16838"/>
          <w:pgMar w:top="1440" w:right="1800" w:bottom="1440" w:left="1800" w:header="851" w:footer="992" w:gutter="0"/>
          <w:pgNumType w:fmt="upperRoman" w:start="1"/>
          <w:cols w:space="425" w:num="1"/>
          <w:titlePg/>
          <w:docGrid w:type="lines" w:linePitch="312" w:charSpace="0"/>
        </w:sectPr>
      </w:pPr>
    </w:p>
    <w:p w14:paraId="13447F21">
      <w:pPr>
        <w:pStyle w:val="8"/>
        <w:spacing w:before="312" w:beforeLines="100" w:after="312" w:afterLines="100"/>
        <w:jc w:val="center"/>
        <w:outlineLvl w:val="0"/>
        <w:rPr>
          <w:rFonts w:hint="eastAsia" w:ascii="黑体" w:hAnsi="黑体" w:eastAsia="黑体" w:cs="黑体"/>
          <w:sz w:val="32"/>
          <w:szCs w:val="32"/>
        </w:rPr>
      </w:pPr>
      <w:bookmarkStart w:id="3" w:name="_Toc225449509"/>
      <w:r>
        <w:rPr>
          <w:rFonts w:hint="eastAsia" w:ascii="黑体" w:hAnsi="黑体" w:eastAsia="黑体" w:cs="黑体"/>
          <w:sz w:val="32"/>
          <w:szCs w:val="32"/>
        </w:rPr>
        <w:t>前  言</w:t>
      </w:r>
      <w:bookmarkEnd w:id="3"/>
    </w:p>
    <w:p w14:paraId="054DAF5A">
      <w:pPr>
        <w:ind w:firstLine="420" w:firstLineChars="200"/>
        <w:rPr>
          <w:rFonts w:hint="default" w:ascii="Times New Roman" w:hAnsi="Times New Roman" w:eastAsia="宋体" w:cs="Times New Roman"/>
          <w:szCs w:val="21"/>
        </w:rPr>
      </w:pPr>
      <w:r>
        <w:rPr>
          <w:rFonts w:ascii="Times New Roman" w:hAnsi="Times New Roman" w:eastAsia="宋体" w:cs="Times New Roman"/>
          <w:szCs w:val="21"/>
        </w:rPr>
        <w:t>本</w:t>
      </w:r>
      <w:r>
        <w:rPr>
          <w:rFonts w:hint="default" w:ascii="Times New Roman" w:hAnsi="Times New Roman" w:eastAsia="宋体" w:cs="Times New Roman"/>
          <w:szCs w:val="21"/>
        </w:rPr>
        <w:t>文件</w:t>
      </w:r>
      <w:r>
        <w:rPr>
          <w:rFonts w:ascii="Times New Roman" w:hAnsi="Times New Roman" w:eastAsia="宋体" w:cs="Times New Roman"/>
          <w:szCs w:val="21"/>
        </w:rPr>
        <w:t>按照GB/T 1.1</w:t>
      </w:r>
      <w:r>
        <w:rPr>
          <w:rFonts w:hint="default" w:ascii="Times New Roman" w:hAnsi="Times New Roman" w:eastAsia="宋体" w:cs="Times New Roman"/>
          <w:szCs w:val="21"/>
        </w:rPr>
        <w:t>-</w:t>
      </w:r>
      <w:r>
        <w:rPr>
          <w:rFonts w:ascii="Times New Roman" w:hAnsi="Times New Roman" w:eastAsia="宋体" w:cs="Times New Roman"/>
          <w:szCs w:val="21"/>
        </w:rPr>
        <w:t>2020</w:t>
      </w:r>
      <w:r>
        <w:rPr>
          <w:rFonts w:hint="default" w:ascii="Times New Roman" w:hAnsi="Times New Roman" w:eastAsia="宋体" w:cs="Times New Roman"/>
          <w:szCs w:val="21"/>
        </w:rPr>
        <w:t xml:space="preserve"> </w:t>
      </w:r>
      <w:r>
        <w:rPr>
          <w:rFonts w:hint="default" w:ascii="Times New Roman" w:hAnsi="Times New Roman" w:eastAsia="宋体" w:cs="Times New Roman"/>
          <w:szCs w:val="21"/>
        </w:rPr>
        <w:t>《标准化工作导则 第1部分：标准化文件的结构和起草规则》的规定</w:t>
      </w:r>
      <w:r>
        <w:rPr>
          <w:rFonts w:ascii="Times New Roman" w:hAnsi="Times New Roman" w:eastAsia="宋体" w:cs="Times New Roman"/>
          <w:szCs w:val="21"/>
        </w:rPr>
        <w:t>起草。</w:t>
      </w:r>
    </w:p>
    <w:p w14:paraId="104CBAA2">
      <w:pPr>
        <w:pStyle w:val="47"/>
        <w:rPr>
          <w:rFonts w:hint="default" w:ascii="Times New Roman" w:hAnsi="Times New Roman"/>
        </w:rPr>
      </w:pPr>
      <w:r>
        <w:rPr>
          <w:rFonts w:hint="default"/>
        </w:rPr>
        <w:t>请注意本文件的某些内容可能涉及专利。本文件的发布机构不承担识别专利的责任。</w:t>
      </w:r>
    </w:p>
    <w:p w14:paraId="6AA08F66">
      <w:pPr>
        <w:ind w:firstLine="420" w:firstLineChars="200"/>
        <w:rPr>
          <w:rFonts w:hint="default" w:ascii="Times New Roman" w:hAnsi="Times New Roman" w:eastAsia="宋体" w:cs="Times New Roman"/>
          <w:szCs w:val="21"/>
        </w:rPr>
      </w:pPr>
      <w:r>
        <w:rPr>
          <w:rFonts w:hint="default" w:ascii="Times New Roman" w:hAnsi="Times New Roman" w:eastAsia="宋体" w:cs="Times New Roman"/>
          <w:szCs w:val="21"/>
        </w:rPr>
        <w:t>本文件由中国研究型医院学会</w:t>
      </w:r>
      <w:r>
        <w:rPr>
          <w:rFonts w:hint="default" w:ascii="Times New Roman" w:hAnsi="Times New Roman" w:eastAsia="宋体" w:cs="Times New Roman"/>
          <w:color w:val="000000" w:themeColor="text1"/>
          <w:szCs w:val="21"/>
          <w14:textFill>
            <w14:solidFill>
              <w14:schemeClr w14:val="tx1"/>
            </w14:solidFill>
          </w14:textFill>
        </w:rPr>
        <w:t>超微与分子病理学专业委员会</w:t>
      </w:r>
      <w:r>
        <w:rPr>
          <w:rFonts w:hint="default" w:ascii="Times New Roman" w:hAnsi="Times New Roman" w:eastAsia="宋体" w:cs="Times New Roman"/>
          <w:szCs w:val="21"/>
        </w:rPr>
        <w:t>提出。</w:t>
      </w:r>
    </w:p>
    <w:p w14:paraId="2CAA1EE3">
      <w:pPr>
        <w:ind w:firstLine="420" w:firstLineChars="200"/>
        <w:rPr>
          <w:rFonts w:hint="default" w:ascii="Times New Roman" w:hAnsi="Times New Roman" w:eastAsia="宋体" w:cs="Times New Roman"/>
          <w:szCs w:val="21"/>
        </w:rPr>
      </w:pPr>
      <w:r>
        <w:rPr>
          <w:rFonts w:hint="default" w:ascii="Times New Roman" w:hAnsi="Times New Roman" w:eastAsia="宋体" w:cs="Times New Roman"/>
          <w:szCs w:val="21"/>
        </w:rPr>
        <w:t>本文件由中国研究型医院学会归口。</w:t>
      </w:r>
    </w:p>
    <w:p w14:paraId="156FB459">
      <w:pPr>
        <w:ind w:firstLine="420" w:firstLineChars="200"/>
        <w:rPr>
          <w:rFonts w:hint="default" w:ascii="Times New Roman" w:hAnsi="Times New Roman" w:eastAsia="宋体" w:cs="Times New Roman"/>
          <w:szCs w:val="21"/>
        </w:rPr>
      </w:pPr>
      <w:r>
        <w:rPr>
          <w:rFonts w:hint="default" w:ascii="Times New Roman" w:hAnsi="Times New Roman" w:eastAsia="宋体" w:cs="Times New Roman"/>
          <w:szCs w:val="21"/>
        </w:rPr>
        <w:t>本文件起草单位：。</w:t>
      </w:r>
    </w:p>
    <w:p w14:paraId="7966718D">
      <w:pPr>
        <w:ind w:firstLine="420" w:firstLineChars="200"/>
        <w:rPr>
          <w:rFonts w:hint="default" w:ascii="Times New Roman" w:hAnsi="Times New Roman" w:eastAsia="宋体" w:cs="Times New Roman"/>
          <w:szCs w:val="21"/>
        </w:rPr>
      </w:pPr>
      <w:r>
        <w:rPr>
          <w:rFonts w:hint="default" w:ascii="Times New Roman" w:hAnsi="Times New Roman" w:eastAsia="宋体" w:cs="Times New Roman"/>
          <w:szCs w:val="21"/>
        </w:rPr>
        <w:t>本文件主要起草人：。</w:t>
      </w:r>
    </w:p>
    <w:p w14:paraId="6A1F2967">
      <w:pPr>
        <w:ind w:firstLine="420" w:firstLineChars="200"/>
        <w:rPr>
          <w:rFonts w:hint="eastAsia" w:ascii="宋体" w:hAnsi="宋体" w:eastAsia="宋体" w:cs="Times New Roman"/>
          <w:szCs w:val="21"/>
        </w:rPr>
        <w:sectPr>
          <w:footerReference r:id="rId12" w:type="first"/>
          <w:footerReference r:id="rId10" w:type="default"/>
          <w:footerReference r:id="rId11" w:type="even"/>
          <w:pgSz w:w="11906" w:h="16838"/>
          <w:pgMar w:top="1440" w:right="1800" w:bottom="1440" w:left="1800" w:header="851" w:footer="992" w:gutter="0"/>
          <w:pgNumType w:fmt="upperRoman"/>
          <w:cols w:space="425" w:num="1"/>
          <w:docGrid w:type="lines" w:linePitch="312" w:charSpace="0"/>
        </w:sectPr>
      </w:pPr>
      <w:r>
        <w:rPr>
          <w:rFonts w:hint="eastAsia" w:ascii="宋体" w:hAnsi="宋体" w:eastAsia="宋体" w:cs="Times New Roman"/>
          <w:szCs w:val="21"/>
        </w:rPr>
        <w:br w:type="page"/>
      </w:r>
      <w:bookmarkStart w:id="25" w:name="_GoBack"/>
      <w:bookmarkEnd w:id="25"/>
    </w:p>
    <w:p w14:paraId="488445EF">
      <w:pPr>
        <w:spacing w:before="0" w:beforeLines="-2147483648" w:after="0" w:afterLines="-2147483648"/>
        <w:jc w:val="center"/>
        <w:rPr>
          <w:rFonts w:hint="eastAsia" w:ascii="黑体" w:hAnsi="黑体" w:eastAsia="黑体" w:cs="黑体"/>
          <w:sz w:val="28"/>
          <w:szCs w:val="28"/>
        </w:rPr>
      </w:pPr>
      <w:r>
        <w:rPr>
          <w:rFonts w:hint="eastAsia" w:ascii="黑体" w:hAnsi="黑体" w:eastAsia="黑体" w:cs="黑体"/>
          <w:sz w:val="32"/>
          <w:szCs w:val="32"/>
        </w:rPr>
        <w:t>人源化肠癌类器官病理质量评价规范</w:t>
      </w:r>
    </w:p>
    <w:p w14:paraId="157BC2C9">
      <w:pPr>
        <w:pStyle w:val="18"/>
        <w:numPr>
          <w:ilvl w:val="0"/>
          <w:numId w:val="1"/>
        </w:numPr>
        <w:spacing w:before="312" w:beforeLines="100" w:after="312" w:afterLines="100"/>
        <w:ind w:firstLine="0" w:firstLineChars="0"/>
        <w:jc w:val="left"/>
        <w:outlineLvl w:val="0"/>
        <w:rPr>
          <w:rFonts w:hint="eastAsia" w:ascii="黑体" w:hAnsi="黑体" w:eastAsia="黑体" w:cs="黑体"/>
          <w:bCs/>
          <w:szCs w:val="21"/>
        </w:rPr>
      </w:pPr>
      <w:bookmarkStart w:id="4" w:name="_Toc225449510"/>
      <w:r>
        <w:rPr>
          <w:rFonts w:hint="eastAsia" w:ascii="黑体" w:hAnsi="黑体" w:eastAsia="黑体" w:cs="黑体"/>
          <w:bCs/>
          <w:szCs w:val="21"/>
        </w:rPr>
        <w:t>范围</w:t>
      </w:r>
      <w:bookmarkEnd w:id="4"/>
    </w:p>
    <w:p w14:paraId="1B3C5FB5">
      <w:pPr>
        <w:ind w:firstLine="420" w:firstLineChars="200"/>
        <w:jc w:val="left"/>
        <w:rPr>
          <w:rFonts w:hint="eastAsia" w:ascii="宋体" w:hAnsi="宋体" w:eastAsia="宋体" w:cs="宋体"/>
          <w:szCs w:val="21"/>
        </w:rPr>
      </w:pPr>
      <w:r>
        <w:rPr>
          <w:rFonts w:hint="eastAsia" w:ascii="宋体" w:hAnsi="宋体" w:eastAsia="宋体" w:cs="宋体"/>
          <w:szCs w:val="21"/>
        </w:rPr>
        <w:t>本文件规定了人源化肠癌类器官的病理质量评价要求，包括伦理要求、技术要求、病理诊断与鉴定方法、病理诊断与鉴定标准及稳定性评价的要求。</w:t>
      </w:r>
    </w:p>
    <w:p w14:paraId="47EC4E25">
      <w:pPr>
        <w:ind w:firstLine="420" w:firstLineChars="200"/>
        <w:jc w:val="left"/>
        <w:rPr>
          <w:rFonts w:hint="eastAsia" w:ascii="宋体" w:hAnsi="宋体" w:eastAsia="宋体" w:cs="宋体"/>
          <w:szCs w:val="21"/>
        </w:rPr>
      </w:pPr>
      <w:r>
        <w:rPr>
          <w:rFonts w:hint="eastAsia" w:ascii="宋体" w:hAnsi="宋体" w:eastAsia="宋体" w:cs="宋体"/>
          <w:szCs w:val="21"/>
        </w:rPr>
        <w:t>本文件适用于对体外构建的人源化肠癌类器官进行病理学层面的质量评价。</w:t>
      </w:r>
    </w:p>
    <w:p w14:paraId="2BC74E5E">
      <w:pPr>
        <w:pStyle w:val="18"/>
        <w:numPr>
          <w:ilvl w:val="0"/>
          <w:numId w:val="1"/>
        </w:numPr>
        <w:spacing w:before="312" w:beforeLines="100" w:after="312" w:afterLines="100"/>
        <w:ind w:firstLine="0" w:firstLineChars="0"/>
        <w:jc w:val="left"/>
        <w:outlineLvl w:val="0"/>
        <w:rPr>
          <w:rFonts w:hint="eastAsia" w:ascii="黑体" w:hAnsi="黑体" w:eastAsia="黑体" w:cs="黑体"/>
          <w:bCs/>
          <w:szCs w:val="21"/>
        </w:rPr>
      </w:pPr>
      <w:bookmarkStart w:id="5" w:name="_Toc225449511"/>
      <w:r>
        <w:rPr>
          <w:rFonts w:hint="eastAsia" w:ascii="黑体" w:hAnsi="黑体" w:eastAsia="黑体" w:cs="黑体"/>
          <w:bCs/>
          <w:szCs w:val="21"/>
        </w:rPr>
        <w:t>规范性引用文件</w:t>
      </w:r>
      <w:bookmarkEnd w:id="5"/>
      <w:bookmarkStart w:id="6" w:name="OLE_LINK10"/>
      <w:bookmarkStart w:id="7" w:name="_Hlk146830852"/>
    </w:p>
    <w:p w14:paraId="22C9D68B">
      <w:pPr>
        <w:pStyle w:val="4"/>
        <w:spacing w:before="0"/>
        <w:ind w:left="0" w:firstLine="404" w:firstLineChars="200"/>
        <w:rPr>
          <w:rFonts w:hint="eastAsia" w:cs="宋体"/>
        </w:rPr>
      </w:pPr>
      <w:r>
        <w:rPr>
          <w:rFonts w:cs="宋体"/>
          <w:color w:val="000000" w:themeColor="text1"/>
          <w:spacing w:val="-4"/>
          <w14:textFill>
            <w14:solidFill>
              <w14:schemeClr w14:val="tx1"/>
            </w14:solidFill>
          </w14:textFill>
        </w:rPr>
        <w:t>下列文件中的内容通过文中的规范性引用而构成本文件必不可少的条款。其中，</w:t>
      </w:r>
      <w:r>
        <w:rPr>
          <w:rFonts w:hint="eastAsia" w:cs="宋体"/>
          <w:color w:val="000000" w:themeColor="text1"/>
          <w:spacing w:val="-4"/>
          <w14:textFill>
            <w14:solidFill>
              <w14:schemeClr w14:val="tx1"/>
            </w14:solidFill>
          </w14:textFill>
        </w:rPr>
        <w:t>标</w:t>
      </w:r>
      <w:r>
        <w:rPr>
          <w:rFonts w:cs="宋体"/>
          <w:color w:val="000000" w:themeColor="text1"/>
          <w:spacing w:val="-4"/>
          <w14:textFill>
            <w14:solidFill>
              <w14:schemeClr w14:val="tx1"/>
            </w14:solidFill>
          </w14:textFill>
        </w:rPr>
        <w:t>注日期的引用文件，仅该日期对应的版本适用于本文件；不注日期的引用文件，其最新版本（包括</w:t>
      </w:r>
      <w:r>
        <w:rPr>
          <w:rFonts w:cs="宋体"/>
          <w:color w:val="000000" w:themeColor="text1"/>
          <w:spacing w:val="-44"/>
          <w14:textFill>
            <w14:solidFill>
              <w14:schemeClr w14:val="tx1"/>
            </w14:solidFill>
          </w14:textFill>
        </w:rPr>
        <w:t xml:space="preserve"> </w:t>
      </w:r>
      <w:r>
        <w:rPr>
          <w:rFonts w:cs="宋体"/>
          <w:color w:val="000000" w:themeColor="text1"/>
          <w14:textFill>
            <w14:solidFill>
              <w14:schemeClr w14:val="tx1"/>
            </w14:solidFill>
          </w14:textFill>
        </w:rPr>
        <w:t>所有的修改单）适用于本文件。</w:t>
      </w:r>
      <w:bookmarkEnd w:id="6"/>
      <w:bookmarkEnd w:id="7"/>
    </w:p>
    <w:p w14:paraId="3D8812ED">
      <w:pPr>
        <w:ind w:firstLine="420" w:firstLineChars="200"/>
        <w:rPr>
          <w:rFonts w:ascii="Times New Roman" w:hAnsi="Times New Roman" w:eastAsia="宋体" w:cs="Times New Roman"/>
          <w:szCs w:val="21"/>
        </w:rPr>
      </w:pPr>
      <w:r>
        <w:rPr>
          <w:rFonts w:ascii="Times New Roman" w:hAnsi="Times New Roman" w:eastAsia="宋体" w:cs="Times New Roman"/>
          <w:szCs w:val="21"/>
        </w:rPr>
        <w:t>GB/T 39768 人类生物样本分类与编码</w:t>
      </w:r>
    </w:p>
    <w:p w14:paraId="4133298B">
      <w:pPr>
        <w:ind w:firstLine="420" w:firstLineChars="200"/>
        <w:rPr>
          <w:rFonts w:ascii="Times New Roman" w:hAnsi="Times New Roman" w:eastAsia="宋体" w:cs="Times New Roman"/>
          <w:szCs w:val="21"/>
        </w:rPr>
      </w:pPr>
      <w:r>
        <w:rPr>
          <w:rFonts w:ascii="Times New Roman" w:hAnsi="Times New Roman" w:eastAsia="宋体" w:cs="Times New Roman"/>
          <w:szCs w:val="21"/>
        </w:rPr>
        <w:t>WS 213 丙型肝炎诊断</w:t>
      </w:r>
    </w:p>
    <w:p w14:paraId="046352DD">
      <w:pPr>
        <w:ind w:firstLine="420" w:firstLineChars="200"/>
        <w:rPr>
          <w:rFonts w:ascii="Times New Roman" w:hAnsi="Times New Roman" w:eastAsia="宋体" w:cs="Times New Roman"/>
          <w:szCs w:val="21"/>
        </w:rPr>
      </w:pPr>
      <w:r>
        <w:rPr>
          <w:rFonts w:ascii="Times New Roman" w:hAnsi="Times New Roman" w:eastAsia="宋体" w:cs="Times New Roman"/>
          <w:szCs w:val="21"/>
        </w:rPr>
        <w:t>WS 293 艾滋病和艾滋病病毒感染诊断标准</w:t>
      </w:r>
    </w:p>
    <w:p w14:paraId="5DF41ED1">
      <w:pPr>
        <w:ind w:firstLine="420" w:firstLineChars="200"/>
        <w:rPr>
          <w:rFonts w:ascii="Times New Roman" w:hAnsi="Times New Roman" w:eastAsia="宋体" w:cs="Times New Roman"/>
          <w:szCs w:val="21"/>
        </w:rPr>
      </w:pPr>
      <w:r>
        <w:rPr>
          <w:rFonts w:ascii="Times New Roman" w:hAnsi="Times New Roman" w:eastAsia="宋体" w:cs="Times New Roman"/>
          <w:szCs w:val="21"/>
        </w:rPr>
        <w:t>WS 299 乙型病毒性肝炎诊断标准</w:t>
      </w:r>
    </w:p>
    <w:p w14:paraId="35D1340C">
      <w:pPr>
        <w:ind w:firstLine="420" w:firstLineChars="200"/>
        <w:rPr>
          <w:rFonts w:ascii="Times New Roman" w:hAnsi="Times New Roman" w:eastAsia="宋体" w:cs="Times New Roman"/>
          <w:szCs w:val="21"/>
        </w:rPr>
      </w:pPr>
      <w:r>
        <w:rPr>
          <w:rFonts w:ascii="Times New Roman" w:hAnsi="Times New Roman" w:eastAsia="宋体" w:cs="Times New Roman"/>
          <w:szCs w:val="21"/>
        </w:rPr>
        <w:t>T/CSCB 0001 干细胞通用要求</w:t>
      </w:r>
    </w:p>
    <w:p w14:paraId="6ACD1822">
      <w:pPr>
        <w:ind w:firstLine="420" w:firstLineChars="200"/>
        <w:rPr>
          <w:rFonts w:ascii="Times New Roman" w:hAnsi="Times New Roman" w:eastAsia="宋体" w:cs="Times New Roman"/>
          <w:szCs w:val="21"/>
        </w:rPr>
      </w:pPr>
      <w:r>
        <w:rPr>
          <w:rFonts w:ascii="Times New Roman" w:hAnsi="Times New Roman" w:eastAsia="宋体" w:cs="Times New Roman"/>
          <w:szCs w:val="21"/>
        </w:rPr>
        <w:t xml:space="preserve">T/CSCB </w:t>
      </w:r>
      <w:r>
        <w:rPr>
          <w:rFonts w:hint="eastAsia" w:ascii="Times New Roman" w:hAnsi="Times New Roman" w:eastAsia="宋体" w:cs="Times New Roman"/>
          <w:szCs w:val="21"/>
        </w:rPr>
        <w:t xml:space="preserve">0006/2022 </w:t>
      </w:r>
      <w:r>
        <w:rPr>
          <w:rFonts w:ascii="Times New Roman" w:hAnsi="Times New Roman" w:eastAsia="宋体" w:cs="Times New Roman"/>
          <w:szCs w:val="21"/>
        </w:rPr>
        <w:t>人肠癌类器官</w:t>
      </w:r>
    </w:p>
    <w:p w14:paraId="0DA15D16">
      <w:pPr>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中华人民共和国药典（</w:t>
      </w:r>
      <w:r>
        <w:rPr>
          <w:rFonts w:ascii="Times New Roman" w:hAnsi="Times New Roman" w:eastAsia="宋体" w:cs="Times New Roman"/>
          <w:szCs w:val="21"/>
        </w:rPr>
        <w:t>2020年版）</w:t>
      </w:r>
    </w:p>
    <w:p w14:paraId="35C68135">
      <w:pPr>
        <w:pStyle w:val="18"/>
        <w:numPr>
          <w:ilvl w:val="0"/>
          <w:numId w:val="1"/>
        </w:numPr>
        <w:spacing w:before="312" w:beforeLines="100" w:after="312" w:afterLines="100"/>
        <w:ind w:firstLine="0" w:firstLineChars="0"/>
        <w:jc w:val="left"/>
        <w:outlineLvl w:val="0"/>
        <w:rPr>
          <w:rFonts w:hint="eastAsia" w:ascii="黑体" w:hAnsi="黑体" w:eastAsia="黑体" w:cs="黑体"/>
          <w:bCs/>
          <w:szCs w:val="21"/>
        </w:rPr>
      </w:pPr>
      <w:bookmarkStart w:id="8" w:name="_Toc225449512"/>
      <w:r>
        <w:rPr>
          <w:rFonts w:hint="eastAsia" w:ascii="黑体" w:hAnsi="黑体" w:eastAsia="黑体" w:cs="黑体"/>
          <w:bCs/>
          <w:szCs w:val="21"/>
        </w:rPr>
        <w:t>术语和定义</w:t>
      </w:r>
      <w:bookmarkEnd w:id="8"/>
    </w:p>
    <w:p w14:paraId="3DA20E5B">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T/CSCB 0006界定的以及下列术语和定义适用于本文件</w:t>
      </w:r>
      <w:r>
        <w:rPr>
          <w:rFonts w:hint="eastAsia" w:ascii="Times New Roman" w:hAnsi="Times New Roman" w:eastAsia="宋体" w:cs="Times New Roman"/>
          <w:szCs w:val="21"/>
        </w:rPr>
        <w:t>。</w:t>
      </w:r>
    </w:p>
    <w:p w14:paraId="0CCA130A">
      <w:pPr>
        <w:pStyle w:val="18"/>
        <w:numPr>
          <w:ilvl w:val="1"/>
          <w:numId w:val="1"/>
        </w:numPr>
        <w:spacing w:before="156" w:beforeLines="50" w:after="156" w:afterLines="50"/>
        <w:ind w:firstLine="0" w:firstLineChars="0"/>
        <w:jc w:val="left"/>
        <w:rPr>
          <w:rFonts w:hint="eastAsia" w:ascii="宋体" w:hAnsi="宋体" w:eastAsia="宋体" w:cs="Times New Roman"/>
          <w:b/>
          <w:szCs w:val="21"/>
        </w:rPr>
      </w:pPr>
    </w:p>
    <w:p w14:paraId="489714BB">
      <w:pPr>
        <w:pStyle w:val="18"/>
        <w:jc w:val="both"/>
        <w:rPr>
          <w:rFonts w:ascii="Times New Roman" w:hAnsi="Times New Roman" w:eastAsia="黑体" w:cs="Times New Roman"/>
          <w:bCs/>
          <w:szCs w:val="21"/>
        </w:rPr>
      </w:pPr>
      <w:r>
        <w:rPr>
          <w:rFonts w:hint="eastAsia" w:ascii="Times New Roman" w:hAnsi="Times New Roman" w:eastAsia="黑体" w:cs="Times New Roman"/>
          <w:bCs/>
          <w:szCs w:val="21"/>
        </w:rPr>
        <w:t>人源化肠癌类器官</w:t>
      </w:r>
      <w:r>
        <w:rPr>
          <w:rFonts w:ascii="Times New Roman" w:hAnsi="Times New Roman" w:eastAsia="黑体" w:cs="Times New Roman"/>
          <w:bCs/>
          <w:szCs w:val="21"/>
        </w:rPr>
        <w:t xml:space="preserve"> patient-derived colorectal cancer organoid</w:t>
      </w:r>
    </w:p>
    <w:p w14:paraId="0099BC6C">
      <w:pPr>
        <w:pStyle w:val="18"/>
        <w:jc w:val="both"/>
        <w:rPr>
          <w:rFonts w:hint="default" w:ascii="Times New Roman" w:hAnsi="Times New Roman" w:eastAsia="宋体" w:cs="Times New Roman"/>
          <w:szCs w:val="21"/>
        </w:rPr>
      </w:pPr>
      <w:r>
        <w:rPr>
          <w:rFonts w:hint="default" w:ascii="Times New Roman" w:hAnsi="Times New Roman" w:eastAsia="宋体" w:cs="Times New Roman"/>
          <w:szCs w:val="21"/>
        </w:rPr>
        <w:t>从结直肠癌患者肿瘤组织中分离的肿瘤上皮细胞，在体外三维（</w:t>
      </w:r>
      <w:r>
        <w:rPr>
          <w:rFonts w:ascii="Times New Roman" w:hAnsi="Times New Roman" w:eastAsia="宋体" w:cs="Times New Roman"/>
          <w:szCs w:val="21"/>
        </w:rPr>
        <w:t>3D）培养体系中形成的、能够部分模拟原始肿瘤组织的结构、细胞组成及分子遗传特征的微型类器官结构。</w:t>
      </w:r>
    </w:p>
    <w:p w14:paraId="2A48C45F">
      <w:pPr>
        <w:pStyle w:val="18"/>
        <w:numPr>
          <w:ilvl w:val="1"/>
          <w:numId w:val="1"/>
        </w:numPr>
        <w:spacing w:before="156" w:beforeLines="50" w:after="156" w:afterLines="50"/>
        <w:ind w:firstLineChars="0"/>
        <w:jc w:val="left"/>
        <w:rPr>
          <w:rFonts w:ascii="Times New Roman" w:hAnsi="Times New Roman" w:eastAsia="黑体" w:cs="Times New Roman"/>
          <w:bCs/>
          <w:szCs w:val="21"/>
        </w:rPr>
      </w:pPr>
    </w:p>
    <w:p w14:paraId="0A6926C3">
      <w:pPr>
        <w:pStyle w:val="18"/>
        <w:jc w:val="both"/>
        <w:rPr>
          <w:rFonts w:ascii="Times New Roman" w:hAnsi="Times New Roman" w:eastAsia="黑体" w:cs="Times New Roman"/>
          <w:bCs/>
          <w:szCs w:val="21"/>
        </w:rPr>
      </w:pPr>
      <w:r>
        <w:rPr>
          <w:rFonts w:hint="eastAsia" w:ascii="Times New Roman" w:hAnsi="Times New Roman" w:eastAsia="黑体" w:cs="Times New Roman"/>
          <w:bCs/>
          <w:szCs w:val="21"/>
        </w:rPr>
        <w:t>病理质量评价</w:t>
      </w:r>
      <w:r>
        <w:rPr>
          <w:rFonts w:ascii="Times New Roman" w:hAnsi="Times New Roman" w:eastAsia="黑体" w:cs="Times New Roman"/>
          <w:bCs/>
          <w:szCs w:val="21"/>
        </w:rPr>
        <w:t xml:space="preserve"> pathological quality evaluation</w:t>
      </w:r>
    </w:p>
    <w:p w14:paraId="4B876C7F">
      <w:pPr>
        <w:pStyle w:val="18"/>
        <w:jc w:val="both"/>
        <w:rPr>
          <w:rFonts w:hint="eastAsia" w:ascii="宋体" w:hAnsi="宋体" w:eastAsia="宋体" w:cs="Times New Roman"/>
          <w:szCs w:val="21"/>
        </w:rPr>
      </w:pPr>
      <w:r>
        <w:rPr>
          <w:rFonts w:hint="eastAsia" w:ascii="宋体" w:hAnsi="宋体" w:eastAsia="宋体" w:cs="Times New Roman"/>
          <w:szCs w:val="21"/>
        </w:rPr>
        <w:t>通过组织病理学、免疫组织化学及分子检测等技术手段，对人源化肠癌类器官的形态结构、标志物表达、遗传特征等方面进行定性或定量评估，以确定其与来源肿瘤组织一致性的过程。</w:t>
      </w:r>
    </w:p>
    <w:p w14:paraId="7B44E4D6">
      <w:pPr>
        <w:pStyle w:val="18"/>
        <w:numPr>
          <w:ilvl w:val="0"/>
          <w:numId w:val="1"/>
        </w:numPr>
        <w:spacing w:before="312" w:beforeLines="100" w:after="312" w:afterLines="100"/>
        <w:ind w:firstLine="0" w:firstLineChars="0"/>
        <w:jc w:val="left"/>
        <w:outlineLvl w:val="0"/>
        <w:rPr>
          <w:rFonts w:hint="eastAsia" w:ascii="黑体" w:hAnsi="黑体" w:eastAsia="黑体" w:cs="黑体"/>
          <w:bCs/>
          <w:szCs w:val="21"/>
        </w:rPr>
      </w:pPr>
      <w:bookmarkStart w:id="9" w:name="_Toc225449513"/>
      <w:r>
        <w:rPr>
          <w:rFonts w:hint="eastAsia" w:ascii="黑体" w:hAnsi="黑体" w:eastAsia="黑体" w:cs="黑体"/>
          <w:bCs/>
          <w:szCs w:val="21"/>
        </w:rPr>
        <w:t>缩略语</w:t>
      </w:r>
      <w:bookmarkEnd w:id="9"/>
    </w:p>
    <w:p w14:paraId="09F84441">
      <w:pPr>
        <w:ind w:firstLine="420" w:firstLineChars="200"/>
        <w:jc w:val="both"/>
        <w:rPr>
          <w:rFonts w:ascii="Times New Roman" w:hAnsi="Times New Roman" w:eastAsia="宋体" w:cs="Times New Roman"/>
          <w:bCs/>
          <w:szCs w:val="21"/>
        </w:rPr>
      </w:pPr>
      <w:r>
        <w:rPr>
          <w:rFonts w:hint="eastAsia" w:ascii="Times New Roman" w:hAnsi="Times New Roman" w:eastAsia="宋体" w:cs="Times New Roman"/>
          <w:bCs/>
          <w:szCs w:val="21"/>
        </w:rPr>
        <w:t>下列缩略语适用于本文件。</w:t>
      </w:r>
    </w:p>
    <w:p w14:paraId="23189E45">
      <w:pPr>
        <w:ind w:firstLine="420" w:firstLineChars="200"/>
        <w:jc w:val="both"/>
        <w:rPr>
          <w:rFonts w:ascii="Times New Roman" w:hAnsi="Times New Roman" w:eastAsia="宋体" w:cs="Times New Roman"/>
          <w:bCs/>
          <w:szCs w:val="21"/>
        </w:rPr>
      </w:pPr>
      <w:r>
        <w:rPr>
          <w:rFonts w:ascii="Times New Roman" w:hAnsi="Times New Roman" w:eastAsia="宋体" w:cs="Times New Roman"/>
          <w:bCs/>
          <w:szCs w:val="21"/>
        </w:rPr>
        <w:t>CK：细胞角蛋白（Cytokeratin）</w:t>
      </w:r>
    </w:p>
    <w:p w14:paraId="7B6F10BC">
      <w:pPr>
        <w:ind w:firstLine="420" w:firstLineChars="200"/>
        <w:jc w:val="both"/>
        <w:rPr>
          <w:rFonts w:ascii="Times New Roman" w:hAnsi="Times New Roman" w:eastAsia="宋体" w:cs="Times New Roman"/>
          <w:bCs/>
          <w:szCs w:val="21"/>
        </w:rPr>
      </w:pPr>
      <w:r>
        <w:rPr>
          <w:rFonts w:ascii="Times New Roman" w:hAnsi="Times New Roman" w:eastAsia="宋体" w:cs="Times New Roman"/>
          <w:bCs/>
          <w:szCs w:val="21"/>
        </w:rPr>
        <w:t>DAB：二氨基联苯胺（Diaminobenzidine）</w:t>
      </w:r>
    </w:p>
    <w:p w14:paraId="6B9E45D5">
      <w:pPr>
        <w:ind w:firstLine="420" w:firstLineChars="200"/>
        <w:jc w:val="both"/>
        <w:rPr>
          <w:rFonts w:ascii="Times New Roman" w:hAnsi="Times New Roman" w:eastAsia="宋体" w:cs="Times New Roman"/>
          <w:bCs/>
          <w:szCs w:val="21"/>
        </w:rPr>
      </w:pPr>
      <w:r>
        <w:rPr>
          <w:rFonts w:ascii="Times New Roman" w:hAnsi="Times New Roman" w:eastAsia="宋体" w:cs="Times New Roman"/>
          <w:bCs/>
          <w:szCs w:val="21"/>
        </w:rPr>
        <w:t>DMSO：二甲基亚砜（Dimethyl Sulfoxide）</w:t>
      </w:r>
    </w:p>
    <w:p w14:paraId="75EB1023">
      <w:pPr>
        <w:ind w:firstLine="420" w:firstLineChars="200"/>
        <w:jc w:val="both"/>
        <w:rPr>
          <w:rFonts w:ascii="Times New Roman" w:hAnsi="Times New Roman" w:eastAsia="宋体" w:cs="Times New Roman"/>
          <w:bCs/>
          <w:szCs w:val="21"/>
        </w:rPr>
      </w:pPr>
      <w:r>
        <w:rPr>
          <w:rFonts w:ascii="Times New Roman" w:hAnsi="Times New Roman" w:eastAsia="宋体" w:cs="Times New Roman"/>
          <w:bCs/>
          <w:szCs w:val="21"/>
        </w:rPr>
        <w:t>H&amp;E：苏木精-伊红染色（Hematoxylin and Eosin Staining）</w:t>
      </w:r>
    </w:p>
    <w:p w14:paraId="3267ACF4">
      <w:pPr>
        <w:ind w:firstLine="420" w:firstLineChars="200"/>
        <w:jc w:val="both"/>
        <w:rPr>
          <w:rFonts w:ascii="Times New Roman" w:hAnsi="Times New Roman" w:eastAsia="宋体" w:cs="Times New Roman"/>
          <w:bCs/>
          <w:szCs w:val="21"/>
        </w:rPr>
      </w:pPr>
      <w:r>
        <w:rPr>
          <w:rFonts w:ascii="Times New Roman" w:hAnsi="Times New Roman" w:eastAsia="宋体" w:cs="Times New Roman"/>
          <w:bCs/>
          <w:szCs w:val="21"/>
        </w:rPr>
        <w:t>HBV：乙型肝炎病毒（Hepatitis B Virus）</w:t>
      </w:r>
    </w:p>
    <w:p w14:paraId="43E5E635">
      <w:pPr>
        <w:ind w:firstLine="420" w:firstLineChars="200"/>
        <w:jc w:val="both"/>
        <w:rPr>
          <w:rFonts w:ascii="Times New Roman" w:hAnsi="Times New Roman" w:eastAsia="宋体" w:cs="Times New Roman"/>
          <w:bCs/>
          <w:szCs w:val="21"/>
        </w:rPr>
      </w:pPr>
      <w:r>
        <w:rPr>
          <w:rFonts w:ascii="Times New Roman" w:hAnsi="Times New Roman" w:eastAsia="宋体" w:cs="Times New Roman"/>
          <w:bCs/>
          <w:szCs w:val="21"/>
        </w:rPr>
        <w:t>HCV：丙型肝炎病毒（Hepatitis C Virus）</w:t>
      </w:r>
    </w:p>
    <w:p w14:paraId="2D5490C7">
      <w:pPr>
        <w:ind w:firstLine="420" w:firstLineChars="200"/>
        <w:jc w:val="both"/>
        <w:rPr>
          <w:rFonts w:ascii="Times New Roman" w:hAnsi="Times New Roman" w:eastAsia="宋体" w:cs="Times New Roman"/>
          <w:bCs/>
          <w:szCs w:val="21"/>
        </w:rPr>
      </w:pPr>
      <w:r>
        <w:rPr>
          <w:rFonts w:ascii="Times New Roman" w:hAnsi="Times New Roman" w:eastAsia="宋体" w:cs="Times New Roman"/>
          <w:bCs/>
          <w:szCs w:val="21"/>
        </w:rPr>
        <w:t>HIV：人免疫缺陷病毒（Human Immunodeficiency Virus）</w:t>
      </w:r>
    </w:p>
    <w:p w14:paraId="43F21FFB">
      <w:pPr>
        <w:ind w:firstLine="420" w:firstLineChars="200"/>
        <w:jc w:val="both"/>
        <w:rPr>
          <w:rFonts w:ascii="Times New Roman" w:hAnsi="Times New Roman" w:eastAsia="宋体" w:cs="Times New Roman"/>
          <w:bCs/>
          <w:szCs w:val="21"/>
        </w:rPr>
      </w:pPr>
      <w:r>
        <w:rPr>
          <w:rFonts w:ascii="Times New Roman" w:hAnsi="Times New Roman" w:eastAsia="宋体" w:cs="Times New Roman"/>
          <w:bCs/>
          <w:szCs w:val="21"/>
        </w:rPr>
        <w:t>IHC：免疫组织化学（Immunohistochemistry）</w:t>
      </w:r>
    </w:p>
    <w:p w14:paraId="368898A7">
      <w:pPr>
        <w:ind w:firstLine="420" w:firstLineChars="200"/>
        <w:jc w:val="both"/>
        <w:rPr>
          <w:rFonts w:ascii="Times New Roman" w:hAnsi="Times New Roman" w:eastAsia="宋体" w:cs="Times New Roman"/>
          <w:bCs/>
          <w:szCs w:val="21"/>
        </w:rPr>
      </w:pPr>
      <w:r>
        <w:rPr>
          <w:rFonts w:ascii="Times New Roman" w:hAnsi="Times New Roman" w:eastAsia="宋体" w:cs="Times New Roman"/>
          <w:bCs/>
          <w:szCs w:val="21"/>
        </w:rPr>
        <w:t>PBS：磷酸盐缓冲液（Phosphate Buffer Saline）</w:t>
      </w:r>
    </w:p>
    <w:p w14:paraId="6CA8E3DB">
      <w:pPr>
        <w:ind w:firstLine="420" w:firstLineChars="200"/>
        <w:jc w:val="both"/>
        <w:rPr>
          <w:rFonts w:ascii="Times New Roman" w:hAnsi="Times New Roman" w:eastAsia="宋体" w:cs="Times New Roman"/>
          <w:bCs/>
          <w:szCs w:val="21"/>
        </w:rPr>
      </w:pPr>
      <w:r>
        <w:rPr>
          <w:rFonts w:ascii="Times New Roman" w:hAnsi="Times New Roman" w:eastAsia="宋体" w:cs="Times New Roman"/>
          <w:bCs/>
          <w:szCs w:val="21"/>
        </w:rPr>
        <w:t>STR：短串联重复序列（Short Tandem Repeat）</w:t>
      </w:r>
    </w:p>
    <w:p w14:paraId="31A42A78">
      <w:pPr>
        <w:pStyle w:val="18"/>
        <w:numPr>
          <w:ilvl w:val="0"/>
          <w:numId w:val="1"/>
        </w:numPr>
        <w:spacing w:before="312" w:beforeLines="100" w:after="312" w:afterLines="100"/>
        <w:ind w:firstLine="0" w:firstLineChars="0"/>
        <w:jc w:val="left"/>
        <w:outlineLvl w:val="0"/>
        <w:rPr>
          <w:rFonts w:hint="eastAsia" w:ascii="黑体" w:hAnsi="黑体" w:eastAsia="黑体" w:cs="黑体"/>
          <w:bCs/>
          <w:szCs w:val="21"/>
        </w:rPr>
      </w:pPr>
      <w:bookmarkStart w:id="10" w:name="_Toc225449514"/>
      <w:r>
        <w:rPr>
          <w:rFonts w:hint="eastAsia" w:ascii="黑体" w:hAnsi="黑体" w:eastAsia="黑体" w:cs="黑体"/>
          <w:bCs/>
          <w:szCs w:val="21"/>
        </w:rPr>
        <w:t>伦理要求</w:t>
      </w:r>
      <w:bookmarkEnd w:id="10"/>
    </w:p>
    <w:p w14:paraId="0396A332">
      <w:pPr>
        <w:pStyle w:val="18"/>
        <w:numPr>
          <w:ilvl w:val="1"/>
          <w:numId w:val="1"/>
        </w:numPr>
        <w:spacing w:before="0" w:beforeLines="-2147483648" w:after="0" w:afterLines="-2147483648"/>
        <w:ind w:firstLine="0" w:firstLineChars="0"/>
        <w:jc w:val="both"/>
        <w:rPr>
          <w:rFonts w:ascii="Times New Roman" w:hAnsi="Times New Roman" w:eastAsia="宋体" w:cs="Times New Roman"/>
          <w:bCs/>
          <w:szCs w:val="21"/>
        </w:rPr>
      </w:pPr>
      <w:r>
        <w:rPr>
          <w:rFonts w:ascii="宋体" w:hAnsi="宋体" w:eastAsia="宋体" w:cs="Times New Roman"/>
          <w:bCs/>
          <w:szCs w:val="21"/>
        </w:rPr>
        <w:t>人源化肠癌类器官的建立与使用，应符合国家有关涉及人的生物医学研究伦理审查办法和相关法律法规的要求。</w:t>
      </w:r>
    </w:p>
    <w:p w14:paraId="0DA6CB07">
      <w:pPr>
        <w:pStyle w:val="18"/>
        <w:numPr>
          <w:ilvl w:val="1"/>
          <w:numId w:val="1"/>
        </w:numPr>
        <w:spacing w:before="0" w:beforeLines="-2147483648" w:after="0" w:afterLines="-2147483648"/>
        <w:ind w:firstLine="0" w:firstLineChars="0"/>
        <w:jc w:val="both"/>
        <w:rPr>
          <w:rFonts w:hint="eastAsia" w:ascii="宋体" w:hAnsi="宋体" w:eastAsia="宋体" w:cs="Times New Roman"/>
          <w:bCs/>
          <w:szCs w:val="21"/>
        </w:rPr>
      </w:pPr>
      <w:r>
        <w:rPr>
          <w:rFonts w:ascii="宋体" w:hAnsi="宋体" w:eastAsia="宋体" w:cs="Times New Roman"/>
          <w:bCs/>
          <w:szCs w:val="21"/>
        </w:rPr>
        <w:t>来源组织的采集应获得患者或其法定监护人签署的知情同意书，内容应涵盖研究目的、潜在风险、隐私保护及成果的商业化应用可能。</w:t>
      </w:r>
    </w:p>
    <w:p w14:paraId="68EC54E1">
      <w:pPr>
        <w:pStyle w:val="18"/>
        <w:numPr>
          <w:ilvl w:val="1"/>
          <w:numId w:val="1"/>
        </w:numPr>
        <w:spacing w:before="0" w:beforeLines="-2147483648" w:after="0" w:afterLines="-2147483648"/>
        <w:ind w:firstLine="0" w:firstLineChars="0"/>
        <w:jc w:val="both"/>
        <w:rPr>
          <w:rFonts w:hint="eastAsia" w:ascii="宋体" w:hAnsi="宋体" w:eastAsia="宋体" w:cs="Times New Roman"/>
          <w:bCs/>
          <w:szCs w:val="21"/>
        </w:rPr>
      </w:pPr>
      <w:r>
        <w:rPr>
          <w:rFonts w:ascii="宋体" w:hAnsi="宋体" w:eastAsia="宋体" w:cs="Times New Roman"/>
          <w:bCs/>
          <w:szCs w:val="21"/>
        </w:rPr>
        <w:t>类器官的生产和研究方案应由所在单位的伦理审查委员会审查通过并获得批准。</w:t>
      </w:r>
    </w:p>
    <w:p w14:paraId="0B8F87AB">
      <w:pPr>
        <w:pStyle w:val="18"/>
        <w:numPr>
          <w:ilvl w:val="1"/>
          <w:numId w:val="1"/>
        </w:numPr>
        <w:spacing w:before="0" w:beforeLines="-2147483648" w:after="0" w:afterLines="-2147483648"/>
        <w:ind w:firstLine="0" w:firstLineChars="0"/>
        <w:jc w:val="both"/>
        <w:rPr>
          <w:rFonts w:hint="eastAsia" w:ascii="宋体" w:hAnsi="宋体" w:eastAsia="宋体" w:cs="Times New Roman"/>
          <w:bCs/>
          <w:szCs w:val="21"/>
        </w:rPr>
      </w:pPr>
      <w:r>
        <w:rPr>
          <w:rFonts w:hint="eastAsia" w:ascii="宋体" w:hAnsi="宋体" w:eastAsia="宋体" w:cs="Times New Roman"/>
          <w:bCs/>
          <w:szCs w:val="21"/>
        </w:rPr>
        <w:t>应对患者个人信息进行脱敏处理，保护患者隐私。</w:t>
      </w:r>
    </w:p>
    <w:p w14:paraId="06C9E4CE">
      <w:pPr>
        <w:pStyle w:val="18"/>
        <w:numPr>
          <w:ilvl w:val="0"/>
          <w:numId w:val="1"/>
        </w:numPr>
        <w:spacing w:before="312" w:beforeLines="100" w:after="312" w:afterLines="100"/>
        <w:ind w:firstLine="0" w:firstLineChars="0"/>
        <w:jc w:val="left"/>
        <w:outlineLvl w:val="0"/>
        <w:rPr>
          <w:rFonts w:hint="eastAsia" w:ascii="黑体" w:hAnsi="黑体" w:eastAsia="黑体" w:cs="黑体"/>
          <w:bCs/>
          <w:szCs w:val="21"/>
        </w:rPr>
      </w:pPr>
      <w:bookmarkStart w:id="11" w:name="_Toc225449515"/>
      <w:r>
        <w:rPr>
          <w:rFonts w:hint="eastAsia" w:ascii="黑体" w:hAnsi="黑体" w:eastAsia="黑体" w:cs="黑体"/>
          <w:bCs/>
          <w:szCs w:val="21"/>
        </w:rPr>
        <w:t>技术要求</w:t>
      </w:r>
      <w:bookmarkEnd w:id="11"/>
    </w:p>
    <w:p w14:paraId="6C9538D9">
      <w:pPr>
        <w:pStyle w:val="18"/>
        <w:numPr>
          <w:ilvl w:val="1"/>
          <w:numId w:val="1"/>
        </w:numPr>
        <w:spacing w:before="156" w:beforeLines="50" w:after="156" w:afterLines="50"/>
        <w:ind w:firstLineChars="0"/>
        <w:jc w:val="left"/>
        <w:rPr>
          <w:rFonts w:hint="eastAsia" w:ascii="Times New Roman" w:hAnsi="Times New Roman" w:eastAsia="黑体" w:cs="Times New Roman"/>
          <w:bCs/>
          <w:szCs w:val="21"/>
        </w:rPr>
      </w:pPr>
      <w:r>
        <w:rPr>
          <w:rFonts w:ascii="Times New Roman" w:hAnsi="Times New Roman" w:eastAsia="黑体" w:cs="Times New Roman"/>
          <w:bCs/>
          <w:szCs w:val="21"/>
        </w:rPr>
        <w:t>基本要求</w:t>
      </w:r>
    </w:p>
    <w:p w14:paraId="78616871">
      <w:pPr>
        <w:pStyle w:val="18"/>
        <w:numPr>
          <w:ilvl w:val="2"/>
          <w:numId w:val="1"/>
        </w:numPr>
        <w:ind w:firstLineChars="0"/>
        <w:jc w:val="left"/>
        <w:rPr>
          <w:rFonts w:ascii="黑体" w:hAnsi="黑体" w:eastAsia="黑体" w:cs="Times New Roman"/>
          <w:bCs/>
          <w:szCs w:val="21"/>
        </w:rPr>
      </w:pPr>
      <w:r>
        <w:rPr>
          <w:rFonts w:ascii="黑体" w:hAnsi="黑体" w:eastAsia="黑体" w:cs="Times New Roman"/>
          <w:bCs/>
          <w:szCs w:val="21"/>
        </w:rPr>
        <w:t>形态：</w:t>
      </w:r>
    </w:p>
    <w:p w14:paraId="6BFF603E">
      <w:pPr>
        <w:pStyle w:val="18"/>
        <w:numPr>
          <w:ilvl w:val="0"/>
          <w:numId w:val="0"/>
        </w:numPr>
        <w:ind w:firstLine="420" w:firstLineChars="200"/>
        <w:jc w:val="both"/>
        <w:rPr>
          <w:rFonts w:hint="eastAsia" w:ascii="宋体" w:hAnsi="宋体" w:eastAsia="宋体" w:cs="Times New Roman"/>
          <w:bCs/>
          <w:szCs w:val="21"/>
        </w:rPr>
      </w:pPr>
      <w:r>
        <w:rPr>
          <w:rFonts w:ascii="宋体" w:hAnsi="宋体" w:eastAsia="宋体" w:cs="Times New Roman"/>
          <w:bCs/>
          <w:szCs w:val="21"/>
        </w:rPr>
        <w:t>在倒置相差显微镜下，人源化肠癌类器官应呈现典型的三维结构，边缘清晰、透亮，可呈现致密型、囊泡型或混合型等形态特征。</w:t>
      </w:r>
    </w:p>
    <w:p w14:paraId="3F1C2734">
      <w:pPr>
        <w:pStyle w:val="18"/>
        <w:numPr>
          <w:ilvl w:val="2"/>
          <w:numId w:val="1"/>
        </w:numPr>
        <w:ind w:firstLineChars="0"/>
        <w:jc w:val="left"/>
        <w:rPr>
          <w:rFonts w:hint="eastAsia" w:ascii="黑体" w:hAnsi="黑体" w:eastAsia="黑体" w:cs="Times New Roman"/>
          <w:bCs/>
          <w:szCs w:val="21"/>
        </w:rPr>
      </w:pPr>
      <w:r>
        <w:rPr>
          <w:rFonts w:ascii="黑体" w:hAnsi="黑体" w:eastAsia="黑体" w:cs="Times New Roman"/>
          <w:bCs/>
          <w:szCs w:val="21"/>
        </w:rPr>
        <w:t>病理形态：</w:t>
      </w:r>
    </w:p>
    <w:p w14:paraId="3618D952">
      <w:pPr>
        <w:pStyle w:val="18"/>
        <w:spacing w:before="0" w:beforeLines="-2147483648" w:after="0" w:afterLines="-2147483648"/>
        <w:jc w:val="both"/>
        <w:rPr>
          <w:rFonts w:hint="eastAsia" w:ascii="Times New Roman" w:hAnsi="Times New Roman" w:eastAsia="宋体" w:cs="Times New Roman"/>
          <w:bCs/>
          <w:szCs w:val="21"/>
        </w:rPr>
      </w:pPr>
      <w:r>
        <w:rPr>
          <w:rFonts w:ascii="Times New Roman" w:hAnsi="Times New Roman" w:eastAsia="宋体" w:cs="Times New Roman"/>
          <w:bCs/>
          <w:szCs w:val="21"/>
        </w:rPr>
        <w:t>a) 类器官经石蜡包埋、H&amp;E染色后，其组成细胞应具有肿瘤细胞的异型性特征，如细胞核大、深染、核质比失调、可见异常核分裂象。</w:t>
      </w:r>
    </w:p>
    <w:p w14:paraId="6766A7B3">
      <w:pPr>
        <w:pStyle w:val="18"/>
        <w:spacing w:before="0" w:beforeLines="-2147483648" w:after="0" w:afterLines="-2147483648"/>
        <w:jc w:val="both"/>
        <w:rPr>
          <w:rFonts w:hint="eastAsia" w:ascii="Times New Roman" w:hAnsi="Times New Roman" w:eastAsia="宋体" w:cs="Times New Roman"/>
          <w:bCs/>
          <w:szCs w:val="21"/>
        </w:rPr>
      </w:pPr>
      <w:r>
        <w:rPr>
          <w:rFonts w:ascii="Times New Roman" w:hAnsi="Times New Roman" w:eastAsia="宋体" w:cs="Times New Roman"/>
          <w:bCs/>
          <w:szCs w:val="21"/>
        </w:rPr>
        <w:t>b) 类器官的组织结构（如腺管样结构、筛状结构）应与来源肿瘤组织的病理分型和分级基本一致。</w:t>
      </w:r>
    </w:p>
    <w:p w14:paraId="683C7C48">
      <w:pPr>
        <w:pStyle w:val="18"/>
        <w:numPr>
          <w:ilvl w:val="2"/>
          <w:numId w:val="1"/>
        </w:numPr>
        <w:ind w:firstLineChars="0"/>
        <w:jc w:val="left"/>
        <w:rPr>
          <w:rFonts w:hint="eastAsia" w:ascii="黑体" w:hAnsi="黑体" w:eastAsia="黑体" w:cs="Times New Roman"/>
          <w:bCs/>
          <w:szCs w:val="21"/>
        </w:rPr>
      </w:pPr>
      <w:r>
        <w:rPr>
          <w:rFonts w:ascii="黑体" w:hAnsi="黑体" w:eastAsia="黑体" w:cs="Times New Roman"/>
          <w:bCs/>
          <w:szCs w:val="21"/>
        </w:rPr>
        <w:t>标志物表达：</w:t>
      </w:r>
    </w:p>
    <w:p w14:paraId="7378B277">
      <w:pPr>
        <w:pStyle w:val="18"/>
        <w:spacing w:before="0" w:beforeLines="-2147483648" w:after="0" w:afterLines="-2147483648"/>
        <w:jc w:val="both"/>
        <w:rPr>
          <w:rFonts w:hint="eastAsia" w:ascii="Times New Roman" w:hAnsi="Times New Roman" w:eastAsia="宋体" w:cs="Times New Roman"/>
          <w:bCs/>
          <w:szCs w:val="21"/>
        </w:rPr>
      </w:pPr>
      <w:r>
        <w:rPr>
          <w:rFonts w:ascii="Times New Roman" w:hAnsi="Times New Roman" w:eastAsia="宋体" w:cs="Times New Roman"/>
          <w:bCs/>
          <w:szCs w:val="21"/>
        </w:rPr>
        <w:t>a) 肠癌相关标志物如CDX2、CK20、CK7、CEA等的表达模式应与来源肿瘤组织基本一致。</w:t>
      </w:r>
    </w:p>
    <w:p w14:paraId="7863770A">
      <w:pPr>
        <w:pStyle w:val="18"/>
        <w:spacing w:before="0" w:beforeLines="-2147483648" w:after="0" w:afterLines="-2147483648"/>
        <w:jc w:val="both"/>
        <w:rPr>
          <w:rFonts w:hint="eastAsia" w:ascii="Times New Roman" w:hAnsi="Times New Roman" w:eastAsia="宋体" w:cs="Times New Roman"/>
          <w:bCs/>
          <w:szCs w:val="21"/>
        </w:rPr>
      </w:pPr>
      <w:r>
        <w:rPr>
          <w:rFonts w:ascii="Times New Roman" w:hAnsi="Times New Roman" w:eastAsia="宋体" w:cs="Times New Roman"/>
          <w:bCs/>
          <w:szCs w:val="21"/>
        </w:rPr>
        <w:t>b) 增殖指数（Ki-67阳性率）应与来源肿瘤组织的增殖水平大致相当。</w:t>
      </w:r>
    </w:p>
    <w:p w14:paraId="510E1A37">
      <w:pPr>
        <w:pStyle w:val="18"/>
        <w:spacing w:before="0" w:beforeLines="-2147483648" w:after="0" w:afterLines="-2147483648"/>
        <w:jc w:val="both"/>
        <w:rPr>
          <w:rFonts w:hint="eastAsia" w:ascii="Times New Roman" w:hAnsi="Times New Roman" w:eastAsia="宋体" w:cs="Times New Roman"/>
          <w:bCs/>
          <w:szCs w:val="21"/>
        </w:rPr>
      </w:pPr>
      <w:r>
        <w:rPr>
          <w:rFonts w:ascii="Times New Roman" w:hAnsi="Times New Roman" w:eastAsia="宋体" w:cs="Times New Roman"/>
          <w:bCs/>
          <w:szCs w:val="21"/>
        </w:rPr>
        <w:t>c) 关键信号通路蛋白（如p53、β-catenin）的表达定位（如核阳性、浆阳性、膜表达缺失）应与来源肿瘤组织一致。</w:t>
      </w:r>
    </w:p>
    <w:p w14:paraId="2510A3D2">
      <w:pPr>
        <w:pStyle w:val="18"/>
        <w:numPr>
          <w:ilvl w:val="2"/>
          <w:numId w:val="1"/>
        </w:numPr>
        <w:ind w:firstLineChars="0"/>
        <w:jc w:val="left"/>
        <w:rPr>
          <w:rFonts w:hint="eastAsia" w:ascii="黑体" w:hAnsi="黑体" w:eastAsia="黑体" w:cs="Times New Roman"/>
          <w:bCs/>
          <w:szCs w:val="21"/>
        </w:rPr>
      </w:pPr>
      <w:r>
        <w:rPr>
          <w:rFonts w:ascii="黑体" w:hAnsi="黑体" w:eastAsia="黑体" w:cs="Times New Roman"/>
          <w:bCs/>
          <w:szCs w:val="21"/>
        </w:rPr>
        <w:t>遗传特征：</w:t>
      </w:r>
    </w:p>
    <w:p w14:paraId="0A698217">
      <w:pPr>
        <w:pStyle w:val="18"/>
        <w:spacing w:before="0" w:beforeLines="-2147483648" w:after="0" w:afterLines="-2147483648"/>
        <w:jc w:val="both"/>
        <w:rPr>
          <w:rFonts w:hint="eastAsia" w:ascii="Times New Roman" w:hAnsi="Times New Roman" w:eastAsia="宋体" w:cs="Times New Roman"/>
          <w:bCs/>
          <w:szCs w:val="21"/>
        </w:rPr>
      </w:pPr>
      <w:r>
        <w:rPr>
          <w:rFonts w:ascii="Times New Roman" w:hAnsi="Times New Roman" w:eastAsia="宋体" w:cs="Times New Roman"/>
          <w:bCs/>
          <w:szCs w:val="21"/>
        </w:rPr>
        <w:t>a) 类器官应保留来源肿瘤组织中的关键驱动基因突变，检测的基因应包括但不局限于APC、KRAS、NRAS、BRAF、TP53、PIK3CA、SMAD4。</w:t>
      </w:r>
    </w:p>
    <w:p w14:paraId="63B2B30F">
      <w:pPr>
        <w:pStyle w:val="18"/>
        <w:spacing w:before="0" w:beforeLines="-2147483648" w:after="0" w:afterLines="-2147483648"/>
        <w:jc w:val="both"/>
        <w:rPr>
          <w:rFonts w:hint="eastAsia" w:ascii="Times New Roman" w:hAnsi="Times New Roman" w:eastAsia="宋体" w:cs="Times New Roman"/>
          <w:bCs/>
          <w:szCs w:val="21"/>
        </w:rPr>
      </w:pPr>
      <w:r>
        <w:rPr>
          <w:rFonts w:ascii="Times New Roman" w:hAnsi="Times New Roman" w:eastAsia="宋体" w:cs="Times New Roman"/>
          <w:bCs/>
          <w:szCs w:val="21"/>
        </w:rPr>
        <w:t>b) 检测结果应与来源肿瘤组织的基因变异结果具有一致性。</w:t>
      </w:r>
    </w:p>
    <w:p w14:paraId="364D21C4">
      <w:pPr>
        <w:pStyle w:val="18"/>
        <w:numPr>
          <w:ilvl w:val="2"/>
          <w:numId w:val="1"/>
        </w:numPr>
        <w:ind w:firstLineChars="0"/>
        <w:jc w:val="left"/>
        <w:rPr>
          <w:rFonts w:hint="eastAsia" w:ascii="黑体" w:hAnsi="黑体" w:eastAsia="黑体" w:cs="Times New Roman"/>
          <w:bCs/>
          <w:szCs w:val="21"/>
        </w:rPr>
      </w:pPr>
      <w:r>
        <w:rPr>
          <w:rFonts w:ascii="黑体" w:hAnsi="黑体" w:eastAsia="黑体" w:cs="Times New Roman"/>
          <w:bCs/>
          <w:szCs w:val="21"/>
        </w:rPr>
        <w:t>细胞身份：</w:t>
      </w:r>
    </w:p>
    <w:p w14:paraId="743A74F3">
      <w:pPr>
        <w:pStyle w:val="18"/>
        <w:jc w:val="both"/>
        <w:rPr>
          <w:rFonts w:hint="eastAsia" w:ascii="Times New Roman" w:hAnsi="Times New Roman" w:eastAsia="宋体" w:cs="Times New Roman"/>
          <w:bCs/>
          <w:szCs w:val="21"/>
        </w:rPr>
      </w:pPr>
      <w:r>
        <w:rPr>
          <w:rFonts w:ascii="Times New Roman" w:hAnsi="Times New Roman" w:eastAsia="宋体" w:cs="Times New Roman"/>
          <w:bCs/>
          <w:szCs w:val="21"/>
        </w:rPr>
        <w:t>应通过STR检测及分型鉴定，证实类器官与来源肿瘤组织（或患者血液/正常组织）的STR分型一致，排除交叉污染或错位。</w:t>
      </w:r>
    </w:p>
    <w:p w14:paraId="01A5935B">
      <w:pPr>
        <w:pStyle w:val="18"/>
        <w:numPr>
          <w:ilvl w:val="1"/>
          <w:numId w:val="1"/>
        </w:numPr>
        <w:spacing w:before="156" w:beforeLines="50" w:after="156" w:afterLines="50"/>
        <w:ind w:firstLineChars="0"/>
        <w:jc w:val="left"/>
        <w:rPr>
          <w:rFonts w:hint="eastAsia" w:ascii="Times New Roman" w:hAnsi="Times New Roman" w:eastAsia="黑体" w:cs="Times New Roman"/>
          <w:bCs/>
          <w:szCs w:val="21"/>
        </w:rPr>
      </w:pPr>
      <w:r>
        <w:rPr>
          <w:rFonts w:ascii="Times New Roman" w:hAnsi="Times New Roman" w:eastAsia="黑体" w:cs="Times New Roman"/>
          <w:bCs/>
          <w:szCs w:val="21"/>
        </w:rPr>
        <w:t>微生物检测</w:t>
      </w:r>
    </w:p>
    <w:p w14:paraId="3F7A84A6">
      <w:pPr>
        <w:pStyle w:val="18"/>
        <w:spacing w:before="0" w:beforeLines="-2147483648" w:after="0" w:afterLines="-2147483648"/>
        <w:jc w:val="both"/>
        <w:rPr>
          <w:rFonts w:hint="default" w:ascii="Times New Roman" w:hAnsi="Times New Roman" w:eastAsia="宋体" w:cs="Times New Roman"/>
          <w:bCs/>
          <w:szCs w:val="21"/>
        </w:rPr>
      </w:pPr>
      <w:r>
        <w:rPr>
          <w:rFonts w:hint="default" w:ascii="Times New Roman" w:hAnsi="Times New Roman" w:eastAsia="宋体" w:cs="Times New Roman"/>
          <w:bCs/>
          <w:szCs w:val="21"/>
        </w:rPr>
        <w:t>真菌、细菌、支原体、</w:t>
      </w:r>
      <w:r>
        <w:rPr>
          <w:rFonts w:ascii="Times New Roman" w:hAnsi="Times New Roman" w:eastAsia="宋体" w:cs="Times New Roman"/>
          <w:bCs/>
          <w:szCs w:val="21"/>
        </w:rPr>
        <w:t>HBV、HCV、HIV、外源病毒因子等检测结果应为阴性。</w:t>
      </w:r>
    </w:p>
    <w:p w14:paraId="54E97711">
      <w:pPr>
        <w:pStyle w:val="18"/>
        <w:numPr>
          <w:ilvl w:val="1"/>
          <w:numId w:val="1"/>
        </w:numPr>
        <w:spacing w:before="156" w:beforeLines="50" w:after="156" w:afterLines="50"/>
        <w:ind w:firstLineChars="0"/>
        <w:jc w:val="left"/>
        <w:rPr>
          <w:rFonts w:hint="eastAsia" w:ascii="Times New Roman" w:hAnsi="Times New Roman" w:eastAsia="黑体" w:cs="Times New Roman"/>
          <w:bCs/>
          <w:szCs w:val="21"/>
        </w:rPr>
      </w:pPr>
      <w:r>
        <w:rPr>
          <w:rFonts w:ascii="Times New Roman" w:hAnsi="Times New Roman" w:eastAsia="黑体" w:cs="Times New Roman"/>
          <w:bCs/>
          <w:szCs w:val="21"/>
        </w:rPr>
        <w:t>生长与稳定性</w:t>
      </w:r>
    </w:p>
    <w:p w14:paraId="54DD30BA">
      <w:pPr>
        <w:pStyle w:val="18"/>
        <w:numPr>
          <w:ilvl w:val="2"/>
          <w:numId w:val="1"/>
        </w:numPr>
        <w:ind w:firstLine="0" w:firstLineChars="0"/>
        <w:jc w:val="left"/>
        <w:rPr>
          <w:rFonts w:ascii="黑体" w:hAnsi="黑体" w:eastAsia="黑体" w:cs="Times New Roman"/>
          <w:bCs/>
          <w:szCs w:val="21"/>
        </w:rPr>
      </w:pPr>
      <w:r>
        <w:rPr>
          <w:rFonts w:ascii="黑体" w:hAnsi="黑体" w:eastAsia="黑体" w:cs="Times New Roman"/>
          <w:bCs/>
          <w:szCs w:val="21"/>
        </w:rPr>
        <w:t>传代稳定性</w:t>
      </w:r>
    </w:p>
    <w:p w14:paraId="091871F5">
      <w:pPr>
        <w:pStyle w:val="18"/>
        <w:numPr>
          <w:ilvl w:val="0"/>
          <w:numId w:val="0"/>
        </w:numPr>
        <w:ind w:firstLine="420" w:firstLineChars="200"/>
        <w:jc w:val="both"/>
        <w:rPr>
          <w:rFonts w:hint="default" w:ascii="Times New Roman" w:hAnsi="Times New Roman" w:eastAsia="宋体" w:cs="Times New Roman"/>
          <w:bCs/>
          <w:szCs w:val="21"/>
        </w:rPr>
      </w:pPr>
      <w:r>
        <w:rPr>
          <w:rFonts w:ascii="Times New Roman" w:hAnsi="Times New Roman" w:eastAsia="宋体" w:cs="Times New Roman"/>
          <w:bCs/>
          <w:szCs w:val="21"/>
        </w:rPr>
        <w:t>类器官在连续传代（至少至第3代）过程中，应能保持其关键形态、标志物表达和遗传特征的稳定性。</w:t>
      </w:r>
    </w:p>
    <w:p w14:paraId="0922B92C">
      <w:pPr>
        <w:pStyle w:val="18"/>
        <w:numPr>
          <w:ilvl w:val="2"/>
          <w:numId w:val="1"/>
        </w:numPr>
        <w:ind w:firstLine="0" w:firstLineChars="0"/>
        <w:jc w:val="left"/>
        <w:rPr>
          <w:rFonts w:ascii="黑体" w:hAnsi="黑体" w:eastAsia="黑体" w:cs="Times New Roman"/>
          <w:bCs/>
          <w:szCs w:val="21"/>
        </w:rPr>
      </w:pPr>
      <w:r>
        <w:rPr>
          <w:rFonts w:ascii="黑体" w:hAnsi="黑体" w:eastAsia="黑体" w:cs="Times New Roman"/>
          <w:bCs/>
          <w:szCs w:val="21"/>
        </w:rPr>
        <w:t>冻存复苏稳定性</w:t>
      </w:r>
    </w:p>
    <w:p w14:paraId="1E54358A">
      <w:pPr>
        <w:pStyle w:val="18"/>
        <w:numPr>
          <w:ilvl w:val="0"/>
          <w:numId w:val="0"/>
        </w:numPr>
        <w:ind w:firstLine="420" w:firstLineChars="200"/>
        <w:jc w:val="both"/>
        <w:rPr>
          <w:rFonts w:hint="default" w:ascii="Times New Roman" w:hAnsi="Times New Roman" w:eastAsia="宋体" w:cs="Times New Roman"/>
          <w:bCs/>
          <w:szCs w:val="21"/>
        </w:rPr>
      </w:pPr>
      <w:r>
        <w:rPr>
          <w:rFonts w:ascii="Times New Roman" w:hAnsi="Times New Roman" w:eastAsia="宋体" w:cs="Times New Roman"/>
          <w:bCs/>
          <w:szCs w:val="21"/>
        </w:rPr>
        <w:t>类器官经冻存复苏后，存活率应不低于50%，且存活类器官在体外培养后能重建其原有形态和关键特征。</w:t>
      </w:r>
    </w:p>
    <w:p w14:paraId="5CB48710">
      <w:pPr>
        <w:pStyle w:val="18"/>
        <w:numPr>
          <w:ilvl w:val="0"/>
          <w:numId w:val="1"/>
        </w:numPr>
        <w:spacing w:before="312" w:beforeLines="100" w:after="312" w:afterLines="100"/>
        <w:ind w:firstLine="0" w:firstLineChars="0"/>
        <w:jc w:val="left"/>
        <w:outlineLvl w:val="0"/>
        <w:rPr>
          <w:rFonts w:hint="eastAsia" w:ascii="黑体" w:hAnsi="黑体" w:eastAsia="黑体" w:cs="黑体"/>
          <w:bCs/>
          <w:szCs w:val="21"/>
        </w:rPr>
      </w:pPr>
      <w:bookmarkStart w:id="12" w:name="_Toc225449516"/>
      <w:r>
        <w:rPr>
          <w:rFonts w:hint="eastAsia" w:ascii="黑体" w:hAnsi="黑体" w:eastAsia="黑体" w:cs="黑体"/>
          <w:bCs/>
          <w:szCs w:val="21"/>
        </w:rPr>
        <w:t>检测方法</w:t>
      </w:r>
      <w:bookmarkEnd w:id="12"/>
    </w:p>
    <w:p w14:paraId="7E642F79">
      <w:pPr>
        <w:pStyle w:val="18"/>
        <w:numPr>
          <w:ilvl w:val="1"/>
          <w:numId w:val="1"/>
        </w:numPr>
        <w:spacing w:before="156" w:beforeLines="50" w:after="156" w:afterLines="50"/>
        <w:ind w:firstLineChars="0"/>
        <w:jc w:val="left"/>
        <w:rPr>
          <w:rFonts w:hint="eastAsia" w:ascii="Times New Roman" w:hAnsi="Times New Roman" w:eastAsia="黑体" w:cs="Times New Roman"/>
          <w:bCs/>
          <w:szCs w:val="21"/>
        </w:rPr>
      </w:pPr>
      <w:r>
        <w:rPr>
          <w:rFonts w:ascii="Times New Roman" w:hAnsi="Times New Roman" w:eastAsia="黑体" w:cs="Times New Roman"/>
          <w:bCs/>
          <w:szCs w:val="21"/>
        </w:rPr>
        <w:t>形态观察</w:t>
      </w:r>
    </w:p>
    <w:p w14:paraId="589679F8">
      <w:pPr>
        <w:pStyle w:val="18"/>
        <w:jc w:val="both"/>
        <w:rPr>
          <w:rFonts w:hint="eastAsia" w:ascii="Times New Roman" w:hAnsi="Times New Roman" w:eastAsia="宋体" w:cs="Times New Roman"/>
          <w:bCs/>
          <w:szCs w:val="21"/>
        </w:rPr>
      </w:pPr>
      <w:r>
        <w:rPr>
          <w:rFonts w:hint="eastAsia" w:ascii="Times New Roman" w:hAnsi="Times New Roman" w:eastAsia="宋体" w:cs="Times New Roman"/>
          <w:bCs/>
          <w:szCs w:val="21"/>
        </w:rPr>
        <w:t>使用倒置相差显微镜直接观察体外培养的类器官，评估其三维结构、边缘清晰度、透亮度和生长形态。</w:t>
      </w:r>
    </w:p>
    <w:p w14:paraId="55E013A4">
      <w:pPr>
        <w:pStyle w:val="18"/>
        <w:numPr>
          <w:ilvl w:val="1"/>
          <w:numId w:val="1"/>
        </w:numPr>
        <w:spacing w:before="156" w:beforeLines="50" w:after="156" w:afterLines="50"/>
        <w:ind w:firstLineChars="0"/>
        <w:jc w:val="left"/>
        <w:rPr>
          <w:rFonts w:hint="eastAsia" w:ascii="Times New Roman" w:hAnsi="Times New Roman" w:eastAsia="黑体" w:cs="Times New Roman"/>
          <w:bCs/>
          <w:szCs w:val="21"/>
        </w:rPr>
      </w:pPr>
      <w:r>
        <w:rPr>
          <w:rFonts w:ascii="Times New Roman" w:hAnsi="Times New Roman" w:eastAsia="黑体" w:cs="Times New Roman"/>
          <w:bCs/>
          <w:szCs w:val="21"/>
        </w:rPr>
        <w:t>病理形态检测</w:t>
      </w:r>
    </w:p>
    <w:p w14:paraId="0F8B6B05">
      <w:pPr>
        <w:pStyle w:val="18"/>
        <w:jc w:val="both"/>
        <w:rPr>
          <w:rFonts w:hint="eastAsia" w:ascii="Times New Roman" w:hAnsi="Times New Roman" w:eastAsia="宋体" w:cs="Times New Roman"/>
          <w:bCs/>
          <w:szCs w:val="21"/>
        </w:rPr>
      </w:pPr>
      <w:r>
        <w:rPr>
          <w:rFonts w:hint="eastAsia" w:ascii="Times New Roman" w:hAnsi="Times New Roman" w:eastAsia="宋体" w:cs="Times New Roman"/>
          <w:bCs/>
          <w:szCs w:val="21"/>
        </w:rPr>
        <w:t>按照附录</w:t>
      </w:r>
      <w:r>
        <w:rPr>
          <w:rFonts w:ascii="Times New Roman" w:hAnsi="Times New Roman" w:eastAsia="宋体" w:cs="Times New Roman"/>
          <w:bCs/>
          <w:szCs w:val="21"/>
        </w:rPr>
        <w:t>A的规定执行。对类器官石蜡切片进行H&amp;E染色和IHC染色，由具备病理诊断资质的专业人员进行分析和判定，并与来源肿瘤组织的病理切片进行比对。</w:t>
      </w:r>
    </w:p>
    <w:p w14:paraId="642CC84E">
      <w:pPr>
        <w:pStyle w:val="18"/>
        <w:numPr>
          <w:ilvl w:val="1"/>
          <w:numId w:val="1"/>
        </w:numPr>
        <w:spacing w:before="156" w:beforeLines="50" w:after="156" w:afterLines="50"/>
        <w:ind w:firstLineChars="0"/>
        <w:jc w:val="left"/>
        <w:rPr>
          <w:rFonts w:hint="eastAsia" w:ascii="Times New Roman" w:hAnsi="Times New Roman" w:eastAsia="黑体" w:cs="Times New Roman"/>
          <w:bCs/>
          <w:szCs w:val="21"/>
        </w:rPr>
      </w:pPr>
      <w:r>
        <w:rPr>
          <w:rFonts w:ascii="Times New Roman" w:hAnsi="Times New Roman" w:eastAsia="黑体" w:cs="Times New Roman"/>
          <w:bCs/>
          <w:szCs w:val="21"/>
        </w:rPr>
        <w:t>STR鉴定</w:t>
      </w:r>
    </w:p>
    <w:p w14:paraId="0ABD06CF">
      <w:pPr>
        <w:pStyle w:val="18"/>
        <w:jc w:val="both"/>
        <w:rPr>
          <w:rFonts w:hint="eastAsia" w:ascii="Times New Roman" w:hAnsi="Times New Roman" w:eastAsia="宋体" w:cs="Times New Roman"/>
          <w:bCs/>
          <w:szCs w:val="21"/>
        </w:rPr>
      </w:pPr>
      <w:r>
        <w:rPr>
          <w:rFonts w:hint="eastAsia" w:ascii="Times New Roman" w:hAnsi="Times New Roman" w:eastAsia="宋体" w:cs="Times New Roman"/>
          <w:bCs/>
          <w:szCs w:val="21"/>
        </w:rPr>
        <w:t>按照附录</w:t>
      </w:r>
      <w:r>
        <w:rPr>
          <w:rFonts w:ascii="Times New Roman" w:hAnsi="Times New Roman" w:eastAsia="宋体" w:cs="Times New Roman"/>
          <w:bCs/>
          <w:szCs w:val="21"/>
        </w:rPr>
        <w:t>B的规定执行。提取类器官及其来源组织（或患者血液/正常组织）的基因组DNA，进行STR位点扩增和毛细管电泳检测，比对两者STR分型的一致性。</w:t>
      </w:r>
    </w:p>
    <w:p w14:paraId="6FC56EC6">
      <w:pPr>
        <w:pStyle w:val="18"/>
        <w:numPr>
          <w:ilvl w:val="1"/>
          <w:numId w:val="1"/>
        </w:numPr>
        <w:spacing w:before="156" w:beforeLines="50" w:after="156" w:afterLines="50"/>
        <w:ind w:firstLineChars="0"/>
        <w:jc w:val="left"/>
        <w:rPr>
          <w:rFonts w:hint="eastAsia" w:ascii="Times New Roman" w:hAnsi="Times New Roman" w:eastAsia="黑体" w:cs="Times New Roman"/>
          <w:bCs/>
          <w:szCs w:val="21"/>
        </w:rPr>
      </w:pPr>
      <w:r>
        <w:rPr>
          <w:rFonts w:ascii="Times New Roman" w:hAnsi="Times New Roman" w:eastAsia="黑体" w:cs="Times New Roman"/>
          <w:bCs/>
          <w:szCs w:val="21"/>
        </w:rPr>
        <w:t>基因突变检测</w:t>
      </w:r>
    </w:p>
    <w:p w14:paraId="6131F3B0">
      <w:pPr>
        <w:pStyle w:val="18"/>
        <w:jc w:val="both"/>
        <w:rPr>
          <w:rFonts w:hint="default" w:ascii="Times New Roman" w:hAnsi="Times New Roman" w:eastAsia="宋体" w:cs="Times New Roman"/>
          <w:bCs/>
          <w:szCs w:val="21"/>
        </w:rPr>
      </w:pPr>
      <w:r>
        <w:rPr>
          <w:rFonts w:hint="default" w:ascii="Times New Roman" w:hAnsi="Times New Roman" w:eastAsia="宋体" w:cs="Times New Roman"/>
          <w:bCs/>
          <w:szCs w:val="21"/>
        </w:rPr>
        <w:t>按照附录</w:t>
      </w:r>
      <w:r>
        <w:rPr>
          <w:rFonts w:ascii="Times New Roman" w:hAnsi="Times New Roman" w:eastAsia="宋体" w:cs="Times New Roman"/>
          <w:bCs/>
          <w:szCs w:val="21"/>
        </w:rPr>
        <w:t>C的规定执行。提取类器官及其来源肿瘤组织的基因组DNA，采用Sanger测序、二代测序或经认证的商品化检测试剂盒（如ARMS法、ddPCR法）对目标基因突变位点进行检测，并比对两者结果的一致性。</w:t>
      </w:r>
    </w:p>
    <w:p w14:paraId="4C871589">
      <w:pPr>
        <w:pStyle w:val="18"/>
        <w:numPr>
          <w:ilvl w:val="1"/>
          <w:numId w:val="1"/>
        </w:numPr>
        <w:spacing w:before="156" w:beforeLines="50" w:after="156" w:afterLines="50"/>
        <w:ind w:firstLineChars="0"/>
        <w:jc w:val="left"/>
        <w:rPr>
          <w:rFonts w:hint="eastAsia" w:ascii="Times New Roman" w:hAnsi="Times New Roman" w:eastAsia="黑体" w:cs="Times New Roman"/>
          <w:bCs/>
          <w:szCs w:val="21"/>
        </w:rPr>
      </w:pPr>
      <w:r>
        <w:rPr>
          <w:rFonts w:ascii="Times New Roman" w:hAnsi="Times New Roman" w:eastAsia="黑体" w:cs="Times New Roman"/>
          <w:bCs/>
          <w:szCs w:val="21"/>
        </w:rPr>
        <w:t>微生物检测</w:t>
      </w:r>
    </w:p>
    <w:p w14:paraId="68AAB047">
      <w:pPr>
        <w:pStyle w:val="18"/>
        <w:numPr>
          <w:ilvl w:val="2"/>
          <w:numId w:val="1"/>
        </w:numPr>
        <w:ind w:firstLine="0" w:firstLineChars="0"/>
        <w:jc w:val="both"/>
        <w:rPr>
          <w:rFonts w:hint="default" w:ascii="Times New Roman" w:hAnsi="Times New Roman" w:eastAsia="宋体" w:cs="Times New Roman"/>
          <w:bCs/>
          <w:szCs w:val="21"/>
        </w:rPr>
      </w:pPr>
      <w:r>
        <w:rPr>
          <w:rFonts w:ascii="Times New Roman" w:hAnsi="Times New Roman" w:eastAsia="宋体" w:cs="Times New Roman"/>
          <w:bCs/>
          <w:szCs w:val="21"/>
        </w:rPr>
        <w:t>细菌及真菌：按照《中华人民共和国药典（2020年版）》中“1101无菌检查法”检测。</w:t>
      </w:r>
    </w:p>
    <w:p w14:paraId="75180484">
      <w:pPr>
        <w:pStyle w:val="18"/>
        <w:numPr>
          <w:ilvl w:val="2"/>
          <w:numId w:val="1"/>
        </w:numPr>
        <w:ind w:firstLine="0" w:firstLineChars="0"/>
        <w:jc w:val="both"/>
        <w:rPr>
          <w:rFonts w:hint="default" w:ascii="Times New Roman" w:hAnsi="Times New Roman" w:eastAsia="宋体" w:cs="Times New Roman"/>
          <w:bCs/>
          <w:szCs w:val="21"/>
        </w:rPr>
      </w:pPr>
      <w:r>
        <w:rPr>
          <w:rFonts w:ascii="Times New Roman" w:hAnsi="Times New Roman" w:eastAsia="宋体" w:cs="Times New Roman"/>
          <w:bCs/>
          <w:szCs w:val="21"/>
        </w:rPr>
        <w:t>支原体：按照《中华人民共和国药典（2020年版）》中“3301支原体检查法”检测。</w:t>
      </w:r>
    </w:p>
    <w:p w14:paraId="783BB624">
      <w:pPr>
        <w:pStyle w:val="18"/>
        <w:numPr>
          <w:ilvl w:val="2"/>
          <w:numId w:val="1"/>
        </w:numPr>
        <w:ind w:firstLine="0" w:firstLineChars="0"/>
        <w:jc w:val="both"/>
        <w:rPr>
          <w:rFonts w:hint="default" w:ascii="Times New Roman" w:hAnsi="Times New Roman" w:eastAsia="宋体" w:cs="Times New Roman"/>
          <w:bCs/>
          <w:szCs w:val="21"/>
        </w:rPr>
      </w:pPr>
      <w:r>
        <w:rPr>
          <w:rFonts w:ascii="Times New Roman" w:hAnsi="Times New Roman" w:eastAsia="宋体" w:cs="Times New Roman"/>
          <w:bCs/>
          <w:szCs w:val="21"/>
        </w:rPr>
        <w:t>HIV：按照WS 293中规定的核酸法检测。</w:t>
      </w:r>
    </w:p>
    <w:p w14:paraId="700769DE">
      <w:pPr>
        <w:pStyle w:val="18"/>
        <w:numPr>
          <w:ilvl w:val="2"/>
          <w:numId w:val="1"/>
        </w:numPr>
        <w:ind w:firstLine="0" w:firstLineChars="0"/>
        <w:jc w:val="both"/>
        <w:rPr>
          <w:rFonts w:hint="default" w:ascii="Times New Roman" w:hAnsi="Times New Roman" w:eastAsia="宋体" w:cs="Times New Roman"/>
          <w:bCs/>
          <w:szCs w:val="21"/>
        </w:rPr>
      </w:pPr>
      <w:r>
        <w:rPr>
          <w:rFonts w:ascii="Times New Roman" w:hAnsi="Times New Roman" w:eastAsia="宋体" w:cs="Times New Roman"/>
          <w:bCs/>
          <w:szCs w:val="21"/>
        </w:rPr>
        <w:t>HBV：按照WS 299中规定的核酸法检测。</w:t>
      </w:r>
    </w:p>
    <w:p w14:paraId="1AC46C0D">
      <w:pPr>
        <w:pStyle w:val="18"/>
        <w:numPr>
          <w:ilvl w:val="2"/>
          <w:numId w:val="1"/>
        </w:numPr>
        <w:ind w:firstLine="0" w:firstLineChars="0"/>
        <w:jc w:val="both"/>
        <w:rPr>
          <w:rFonts w:hint="default" w:ascii="Times New Roman" w:hAnsi="Times New Roman" w:eastAsia="宋体" w:cs="Times New Roman"/>
          <w:bCs/>
          <w:szCs w:val="21"/>
        </w:rPr>
      </w:pPr>
      <w:r>
        <w:rPr>
          <w:rFonts w:ascii="Times New Roman" w:hAnsi="Times New Roman" w:eastAsia="宋体" w:cs="Times New Roman"/>
          <w:bCs/>
          <w:szCs w:val="21"/>
        </w:rPr>
        <w:t>HCV：按照WS 213中规定的核酸法检测。</w:t>
      </w:r>
    </w:p>
    <w:p w14:paraId="39839EBE">
      <w:pPr>
        <w:pStyle w:val="18"/>
        <w:numPr>
          <w:ilvl w:val="2"/>
          <w:numId w:val="1"/>
        </w:numPr>
        <w:ind w:firstLine="0" w:firstLineChars="0"/>
        <w:jc w:val="both"/>
        <w:rPr>
          <w:rFonts w:hint="default" w:ascii="Times New Roman" w:hAnsi="Times New Roman" w:eastAsia="宋体" w:cs="Times New Roman"/>
          <w:bCs/>
          <w:szCs w:val="21"/>
        </w:rPr>
      </w:pPr>
      <w:r>
        <w:rPr>
          <w:rFonts w:ascii="Times New Roman" w:hAnsi="Times New Roman" w:eastAsia="宋体" w:cs="Times New Roman"/>
          <w:bCs/>
          <w:szCs w:val="21"/>
        </w:rPr>
        <w:t>外源病毒因子：按照《中华人民共和国药典（2020年版）》中“3302外源病毒因子检查法”检测。</w:t>
      </w:r>
    </w:p>
    <w:p w14:paraId="4E68A9D7">
      <w:pPr>
        <w:pStyle w:val="18"/>
        <w:numPr>
          <w:ilvl w:val="1"/>
          <w:numId w:val="1"/>
        </w:numPr>
        <w:spacing w:before="156" w:beforeLines="50" w:after="156" w:afterLines="50"/>
        <w:ind w:firstLineChars="0"/>
        <w:jc w:val="left"/>
        <w:rPr>
          <w:rFonts w:hint="eastAsia" w:ascii="Times New Roman" w:hAnsi="Times New Roman" w:eastAsia="黑体" w:cs="Times New Roman"/>
          <w:bCs/>
          <w:szCs w:val="21"/>
        </w:rPr>
      </w:pPr>
      <w:r>
        <w:rPr>
          <w:rFonts w:ascii="Times New Roman" w:hAnsi="Times New Roman" w:eastAsia="黑体" w:cs="Times New Roman"/>
          <w:bCs/>
          <w:szCs w:val="21"/>
        </w:rPr>
        <w:t>存活率检测</w:t>
      </w:r>
    </w:p>
    <w:p w14:paraId="381988E2">
      <w:pPr>
        <w:pStyle w:val="18"/>
        <w:ind w:firstLine="420" w:firstLineChars="200"/>
        <w:jc w:val="left"/>
        <w:rPr>
          <w:rFonts w:hint="default" w:ascii="Times New Roman" w:hAnsi="Times New Roman" w:eastAsia="宋体" w:cs="Times New Roman"/>
          <w:bCs/>
          <w:szCs w:val="21"/>
        </w:rPr>
      </w:pPr>
      <w:r>
        <w:rPr>
          <w:rFonts w:hint="default" w:ascii="Times New Roman" w:hAnsi="Times New Roman" w:eastAsia="宋体" w:cs="Times New Roman"/>
          <w:bCs/>
          <w:szCs w:val="21"/>
        </w:rPr>
        <w:t>可参照</w:t>
      </w:r>
      <w:r>
        <w:rPr>
          <w:rFonts w:ascii="Times New Roman" w:hAnsi="Times New Roman" w:eastAsia="宋体" w:cs="Times New Roman"/>
          <w:bCs/>
          <w:szCs w:val="21"/>
        </w:rPr>
        <w:t>T/CSCB 0006</w:t>
      </w:r>
      <w:r>
        <w:rPr>
          <w:rFonts w:hint="eastAsia" w:ascii="Times New Roman" w:hAnsi="Times New Roman" w:eastAsia="宋体" w:cs="Times New Roman"/>
          <w:bCs/>
          <w:szCs w:val="21"/>
        </w:rPr>
        <w:t>-</w:t>
      </w:r>
      <w:r>
        <w:rPr>
          <w:rFonts w:ascii="Times New Roman" w:hAnsi="Times New Roman" w:eastAsia="宋体" w:cs="Times New Roman"/>
          <w:bCs/>
          <w:szCs w:val="21"/>
        </w:rPr>
        <w:t>2022附录A中规定的钙黄绿素染色法进行。</w:t>
      </w:r>
    </w:p>
    <w:p w14:paraId="7577D11F">
      <w:pPr>
        <w:pBdr>
          <w:bottom w:val="single" w:color="auto" w:sz="4" w:space="0"/>
        </w:pBdr>
        <w:spacing w:before="156" w:beforeLines="50" w:after="156" w:afterLines="50"/>
        <w:ind w:firstLine="420" w:firstLineChars="200"/>
        <w:rPr>
          <w:rFonts w:hint="eastAsia" w:ascii="宋体" w:hAnsi="宋体" w:eastAsia="宋体" w:cs="Times New Roman"/>
          <w:bCs/>
          <w:szCs w:val="21"/>
        </w:rPr>
      </w:pPr>
      <w:r>
        <w:rPr>
          <w:rFonts w:hint="eastAsia" w:ascii="宋体" w:hAnsi="宋体" w:eastAsia="宋体" w:cs="Times New Roman"/>
          <w:bCs/>
          <w:szCs w:val="21"/>
        </w:rPr>
        <w:br w:type="page"/>
      </w:r>
    </w:p>
    <w:p w14:paraId="109E7BD7">
      <w:pPr>
        <w:jc w:val="center"/>
        <w:outlineLvl w:val="0"/>
        <w:rPr>
          <w:rFonts w:hint="default" w:ascii="Times New Roman" w:hAnsi="Times New Roman" w:eastAsia="黑体" w:cs="Times New Roman"/>
          <w:bCs/>
          <w:szCs w:val="21"/>
        </w:rPr>
      </w:pPr>
      <w:bookmarkStart w:id="13" w:name="_Toc225449517"/>
      <w:r>
        <w:rPr>
          <w:rFonts w:hint="default" w:ascii="Times New Roman" w:hAnsi="Times New Roman" w:eastAsia="黑体" w:cs="Times New Roman"/>
          <w:bCs/>
          <w:szCs w:val="21"/>
        </w:rPr>
        <w:t xml:space="preserve">附 录 </w:t>
      </w:r>
      <w:r>
        <w:rPr>
          <w:rFonts w:ascii="Times New Roman" w:hAnsi="Times New Roman" w:eastAsia="黑体" w:cs="Times New Roman"/>
          <w:bCs/>
          <w:szCs w:val="21"/>
        </w:rPr>
        <w:t>A</w:t>
      </w:r>
      <w:bookmarkEnd w:id="13"/>
    </w:p>
    <w:p w14:paraId="2B019809">
      <w:pPr>
        <w:jc w:val="center"/>
        <w:outlineLvl w:val="0"/>
        <w:rPr>
          <w:rFonts w:hint="default" w:ascii="Times New Roman" w:hAnsi="Times New Roman" w:eastAsia="黑体" w:cs="Times New Roman"/>
          <w:bCs/>
          <w:szCs w:val="21"/>
        </w:rPr>
      </w:pPr>
      <w:bookmarkStart w:id="14" w:name="_Toc225449518"/>
      <w:r>
        <w:rPr>
          <w:rFonts w:hint="default" w:ascii="Times New Roman" w:hAnsi="Times New Roman" w:eastAsia="黑体" w:cs="Times New Roman"/>
          <w:bCs/>
          <w:szCs w:val="21"/>
        </w:rPr>
        <w:t>（规范性）</w:t>
      </w:r>
      <w:bookmarkEnd w:id="14"/>
    </w:p>
    <w:p w14:paraId="402E9A5F">
      <w:pPr>
        <w:pStyle w:val="18"/>
        <w:ind w:firstLine="0" w:firstLineChars="0"/>
        <w:jc w:val="center"/>
        <w:outlineLvl w:val="0"/>
        <w:rPr>
          <w:rFonts w:hint="default" w:ascii="Times New Roman" w:hAnsi="Times New Roman" w:eastAsia="黑体" w:cs="Times New Roman"/>
          <w:bCs/>
          <w:szCs w:val="21"/>
        </w:rPr>
      </w:pPr>
      <w:bookmarkStart w:id="15" w:name="_Toc225449519"/>
      <w:r>
        <w:rPr>
          <w:rFonts w:hint="default" w:ascii="Times New Roman" w:hAnsi="Times New Roman" w:eastAsia="黑体" w:cs="Times New Roman"/>
          <w:bCs/>
          <w:szCs w:val="21"/>
        </w:rPr>
        <w:t>类器官组织病理检测方法</w:t>
      </w:r>
      <w:r>
        <w:rPr>
          <w:rFonts w:hint="default" w:ascii="Times New Roman" w:hAnsi="Times New Roman" w:eastAsia="黑体" w:cs="Times New Roman"/>
          <w:bCs/>
          <w:szCs w:val="21"/>
        </w:rPr>
        <w:t>-</w:t>
      </w:r>
      <w:bookmarkEnd w:id="15"/>
      <w:bookmarkStart w:id="16" w:name="_Toc225449520"/>
      <w:r>
        <w:rPr>
          <w:rFonts w:hint="default" w:ascii="Times New Roman" w:hAnsi="Times New Roman" w:eastAsia="黑体" w:cs="Times New Roman"/>
          <w:bCs/>
          <w:szCs w:val="21"/>
        </w:rPr>
        <w:t>石蜡包埋法</w:t>
      </w:r>
      <w:bookmarkEnd w:id="16"/>
    </w:p>
    <w:p w14:paraId="74DE70A7">
      <w:pPr>
        <w:rPr>
          <w:rFonts w:hint="eastAsia" w:ascii="宋体" w:hAnsi="宋体" w:eastAsia="宋体" w:cs="Times New Roman"/>
          <w:bCs/>
          <w:szCs w:val="21"/>
        </w:rPr>
      </w:pPr>
    </w:p>
    <w:p w14:paraId="2985CBC2">
      <w:pPr>
        <w:pStyle w:val="18"/>
        <w:spacing w:before="156" w:beforeLines="50" w:after="156" w:afterLines="50"/>
        <w:ind w:firstLine="0" w:firstLineChars="0"/>
        <w:rPr>
          <w:rFonts w:hint="default" w:ascii="Times New Roman" w:hAnsi="Times New Roman" w:eastAsia="黑体" w:cs="Times New Roman"/>
          <w:bCs/>
          <w:szCs w:val="21"/>
        </w:rPr>
      </w:pPr>
      <w:r>
        <w:rPr>
          <w:rFonts w:ascii="Times New Roman" w:hAnsi="Times New Roman" w:eastAsia="黑体" w:cs="Times New Roman"/>
          <w:bCs/>
          <w:szCs w:val="21"/>
        </w:rPr>
        <w:t>A.1 仪器和设备</w:t>
      </w:r>
    </w:p>
    <w:p w14:paraId="0CE6A028">
      <w:pPr>
        <w:ind w:firstLine="0" w:firstLineChars="0"/>
        <w:rPr>
          <w:rFonts w:hint="default" w:ascii="Times New Roman" w:hAnsi="Times New Roman" w:eastAsia="黑体" w:cs="Times New Roman"/>
          <w:bCs/>
          <w:szCs w:val="21"/>
        </w:rPr>
      </w:pPr>
      <w:r>
        <w:rPr>
          <w:rFonts w:ascii="Times New Roman" w:hAnsi="Times New Roman" w:eastAsia="黑体" w:cs="Times New Roman"/>
          <w:b w:val="0"/>
          <w:bCs/>
          <w:szCs w:val="21"/>
        </w:rPr>
        <w:t>A.</w:t>
      </w:r>
      <w:r>
        <w:rPr>
          <w:rFonts w:ascii="Times New Roman" w:hAnsi="Times New Roman" w:eastAsia="黑体" w:cs="Times New Roman"/>
          <w:bCs/>
          <w:szCs w:val="21"/>
        </w:rPr>
        <w:t>1.1 石蜡包埋仪。</w:t>
      </w:r>
    </w:p>
    <w:p w14:paraId="069AC75F">
      <w:pPr>
        <w:ind w:firstLine="0" w:firstLineChars="0"/>
        <w:rPr>
          <w:rFonts w:hint="default" w:ascii="Times New Roman" w:hAnsi="Times New Roman" w:eastAsia="黑体" w:cs="Times New Roman"/>
          <w:bCs/>
          <w:szCs w:val="21"/>
        </w:rPr>
      </w:pPr>
      <w:r>
        <w:rPr>
          <w:rFonts w:ascii="Times New Roman" w:hAnsi="Times New Roman" w:eastAsia="黑体" w:cs="Times New Roman"/>
          <w:b w:val="0"/>
          <w:bCs/>
          <w:szCs w:val="21"/>
        </w:rPr>
        <w:t>A.</w:t>
      </w:r>
      <w:r>
        <w:rPr>
          <w:rFonts w:ascii="Times New Roman" w:hAnsi="Times New Roman" w:eastAsia="黑体" w:cs="Times New Roman"/>
          <w:bCs/>
          <w:szCs w:val="21"/>
        </w:rPr>
        <w:t>1.2 石蜡切片机。</w:t>
      </w:r>
    </w:p>
    <w:p w14:paraId="7ADF3AC2">
      <w:pPr>
        <w:ind w:firstLine="0" w:firstLineChars="0"/>
        <w:rPr>
          <w:rFonts w:hint="default" w:ascii="Times New Roman" w:hAnsi="Times New Roman" w:eastAsia="黑体" w:cs="Times New Roman"/>
          <w:bCs/>
          <w:szCs w:val="21"/>
        </w:rPr>
      </w:pPr>
      <w:r>
        <w:rPr>
          <w:rFonts w:ascii="Times New Roman" w:hAnsi="Times New Roman" w:eastAsia="黑体" w:cs="Times New Roman"/>
          <w:b w:val="0"/>
          <w:bCs/>
          <w:szCs w:val="21"/>
        </w:rPr>
        <w:t>A.</w:t>
      </w:r>
      <w:r>
        <w:rPr>
          <w:rFonts w:ascii="Times New Roman" w:hAnsi="Times New Roman" w:eastAsia="黑体" w:cs="Times New Roman"/>
          <w:bCs/>
          <w:szCs w:val="21"/>
        </w:rPr>
        <w:t>1.3 烘片机。</w:t>
      </w:r>
    </w:p>
    <w:p w14:paraId="60DE2DF8">
      <w:pPr>
        <w:ind w:firstLine="0" w:firstLineChars="0"/>
        <w:rPr>
          <w:rFonts w:hint="default" w:ascii="Times New Roman" w:hAnsi="Times New Roman" w:eastAsia="黑体" w:cs="Times New Roman"/>
          <w:bCs/>
          <w:szCs w:val="21"/>
        </w:rPr>
      </w:pPr>
      <w:r>
        <w:rPr>
          <w:rFonts w:ascii="Times New Roman" w:hAnsi="Times New Roman" w:eastAsia="黑体" w:cs="Times New Roman"/>
          <w:b w:val="0"/>
          <w:bCs/>
          <w:szCs w:val="21"/>
        </w:rPr>
        <w:t>A.</w:t>
      </w:r>
      <w:r>
        <w:rPr>
          <w:rFonts w:ascii="Times New Roman" w:hAnsi="Times New Roman" w:eastAsia="黑体" w:cs="Times New Roman"/>
          <w:bCs/>
          <w:szCs w:val="21"/>
        </w:rPr>
        <w:t>1.4 染色缸或自动染色机。</w:t>
      </w:r>
    </w:p>
    <w:p w14:paraId="1343F9CF">
      <w:pPr>
        <w:ind w:firstLine="0" w:firstLineChars="0"/>
        <w:rPr>
          <w:rFonts w:hint="default" w:ascii="Times New Roman" w:hAnsi="Times New Roman" w:eastAsia="黑体" w:cs="Times New Roman"/>
          <w:bCs/>
          <w:szCs w:val="21"/>
        </w:rPr>
      </w:pPr>
      <w:r>
        <w:rPr>
          <w:rFonts w:ascii="Times New Roman" w:hAnsi="Times New Roman" w:eastAsia="黑体" w:cs="Times New Roman"/>
          <w:b w:val="0"/>
          <w:bCs/>
          <w:szCs w:val="21"/>
        </w:rPr>
        <w:t>A.</w:t>
      </w:r>
      <w:r>
        <w:rPr>
          <w:rFonts w:ascii="Times New Roman" w:hAnsi="Times New Roman" w:eastAsia="黑体" w:cs="Times New Roman"/>
          <w:bCs/>
          <w:szCs w:val="21"/>
        </w:rPr>
        <w:t>1.5 光学显微镜。</w:t>
      </w:r>
    </w:p>
    <w:p w14:paraId="0C66E4B7">
      <w:pPr>
        <w:pStyle w:val="18"/>
        <w:spacing w:before="156" w:beforeLines="50" w:after="156" w:afterLines="50"/>
        <w:ind w:firstLine="0" w:firstLineChars="0"/>
        <w:rPr>
          <w:rFonts w:hint="eastAsia" w:ascii="Times New Roman" w:hAnsi="Times New Roman" w:eastAsia="黑体" w:cs="Times New Roman"/>
          <w:bCs/>
          <w:szCs w:val="21"/>
        </w:rPr>
      </w:pPr>
      <w:r>
        <w:rPr>
          <w:rFonts w:ascii="Times New Roman" w:hAnsi="Times New Roman" w:eastAsia="黑体" w:cs="Times New Roman"/>
          <w:bCs/>
          <w:szCs w:val="21"/>
        </w:rPr>
        <w:t>A.2 试剂</w:t>
      </w:r>
    </w:p>
    <w:p w14:paraId="3C2B534C">
      <w:pPr>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除特别说明外，所用试剂均为分析纯，检测用水均为去离子水。</w:t>
      </w:r>
    </w:p>
    <w:p w14:paraId="33DF5E20">
      <w:pPr>
        <w:rPr>
          <w:rFonts w:ascii="Times New Roman" w:hAnsi="Times New Roman" w:eastAsia="黑体" w:cs="Times New Roman"/>
          <w:bCs/>
          <w:szCs w:val="21"/>
        </w:rPr>
      </w:pPr>
      <w:r>
        <w:rPr>
          <w:rFonts w:ascii="Times New Roman" w:hAnsi="Times New Roman" w:eastAsia="黑体" w:cs="Times New Roman"/>
          <w:b w:val="0"/>
          <w:bCs/>
          <w:szCs w:val="21"/>
        </w:rPr>
        <w:t>A.</w:t>
      </w:r>
      <w:r>
        <w:rPr>
          <w:rFonts w:ascii="Times New Roman" w:hAnsi="Times New Roman" w:eastAsia="黑体" w:cs="Times New Roman"/>
          <w:bCs/>
          <w:szCs w:val="21"/>
        </w:rPr>
        <w:t>2.1</w:t>
      </w:r>
      <w:r>
        <w:rPr>
          <w:rFonts w:ascii="Times New Roman" w:hAnsi="Times New Roman" w:eastAsia="黑体" w:cs="Times New Roman"/>
          <w:b w:val="0"/>
          <w:bCs/>
          <w:szCs w:val="21"/>
        </w:rPr>
        <w:t xml:space="preserve"> </w:t>
      </w:r>
      <w:r>
        <w:rPr>
          <w:rFonts w:ascii="Times New Roman" w:hAnsi="Times New Roman" w:eastAsia="黑体" w:cs="Times New Roman"/>
          <w:bCs/>
          <w:szCs w:val="21"/>
        </w:rPr>
        <w:t>固定液：</w:t>
      </w:r>
    </w:p>
    <w:p w14:paraId="6527644C">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4%多聚甲醛溶液或10%中性缓冲福尔马林溶液。</w:t>
      </w:r>
    </w:p>
    <w:p w14:paraId="40334432">
      <w:pPr>
        <w:rPr>
          <w:rFonts w:ascii="Times New Roman" w:hAnsi="Times New Roman" w:eastAsia="黑体" w:cs="Times New Roman"/>
          <w:bCs/>
          <w:szCs w:val="21"/>
        </w:rPr>
      </w:pPr>
      <w:r>
        <w:rPr>
          <w:rFonts w:ascii="Times New Roman" w:hAnsi="Times New Roman" w:eastAsia="黑体" w:cs="Times New Roman"/>
          <w:b w:val="0"/>
          <w:bCs/>
          <w:szCs w:val="21"/>
        </w:rPr>
        <w:t>A.</w:t>
      </w:r>
      <w:r>
        <w:rPr>
          <w:rFonts w:ascii="Times New Roman" w:hAnsi="Times New Roman" w:eastAsia="黑体" w:cs="Times New Roman"/>
          <w:bCs/>
          <w:szCs w:val="21"/>
        </w:rPr>
        <w:t>2.2 脱水液：</w:t>
      </w:r>
    </w:p>
    <w:p w14:paraId="333FA1B5">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梯度乙醇溶液（70%、80%、90%、95%、100%）。</w:t>
      </w:r>
    </w:p>
    <w:p w14:paraId="1649A79E">
      <w:pPr>
        <w:rPr>
          <w:rFonts w:ascii="Times New Roman" w:hAnsi="Times New Roman" w:eastAsia="黑体" w:cs="Times New Roman"/>
          <w:bCs/>
          <w:szCs w:val="21"/>
        </w:rPr>
      </w:pPr>
      <w:r>
        <w:rPr>
          <w:rFonts w:ascii="Times New Roman" w:hAnsi="Times New Roman" w:eastAsia="黑体" w:cs="Times New Roman"/>
          <w:b w:val="0"/>
          <w:bCs/>
          <w:szCs w:val="21"/>
        </w:rPr>
        <w:t>A.</w:t>
      </w:r>
      <w:r>
        <w:rPr>
          <w:rFonts w:ascii="Times New Roman" w:hAnsi="Times New Roman" w:eastAsia="黑体" w:cs="Times New Roman"/>
          <w:bCs/>
          <w:szCs w:val="21"/>
        </w:rPr>
        <w:t>2.3 透明液：</w:t>
      </w:r>
    </w:p>
    <w:p w14:paraId="2B2B7E63">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二甲苯。</w:t>
      </w:r>
    </w:p>
    <w:p w14:paraId="5BFA0445">
      <w:pPr>
        <w:rPr>
          <w:rFonts w:ascii="Times New Roman" w:hAnsi="Times New Roman" w:eastAsia="黑体" w:cs="Times New Roman"/>
          <w:bCs/>
          <w:szCs w:val="21"/>
        </w:rPr>
      </w:pPr>
      <w:r>
        <w:rPr>
          <w:rFonts w:ascii="Times New Roman" w:hAnsi="Times New Roman" w:eastAsia="黑体" w:cs="Times New Roman"/>
          <w:b w:val="0"/>
          <w:bCs/>
          <w:szCs w:val="21"/>
        </w:rPr>
        <w:t>A.</w:t>
      </w:r>
      <w:r>
        <w:rPr>
          <w:rFonts w:ascii="Times New Roman" w:hAnsi="Times New Roman" w:eastAsia="黑体" w:cs="Times New Roman"/>
          <w:bCs/>
          <w:szCs w:val="21"/>
        </w:rPr>
        <w:t>2.4 包埋剂：</w:t>
      </w:r>
    </w:p>
    <w:p w14:paraId="3E9C6971">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石蜡（熔点为56</w:t>
      </w:r>
      <w:r>
        <w:rPr>
          <w:rFonts w:ascii="Times New Roman" w:hAnsi="Times New Roman" w:eastAsia="宋体" w:cs="Times New Roman"/>
          <w:bCs/>
          <w:szCs w:val="21"/>
        </w:rPr>
        <w:t>℃</w:t>
      </w:r>
      <w:r>
        <w:rPr>
          <w:rFonts w:hint="eastAsia" w:ascii="Times New Roman" w:hAnsi="Times New Roman" w:eastAsia="宋体" w:cs="Times New Roman"/>
          <w:bCs/>
          <w:szCs w:val="21"/>
        </w:rPr>
        <w:t>-</w:t>
      </w:r>
      <w:r>
        <w:rPr>
          <w:rFonts w:ascii="Times New Roman" w:hAnsi="Times New Roman" w:eastAsia="宋体" w:cs="Times New Roman"/>
          <w:bCs/>
          <w:szCs w:val="21"/>
        </w:rPr>
        <w:t>58℃）。</w:t>
      </w:r>
    </w:p>
    <w:p w14:paraId="299251C7">
      <w:pPr>
        <w:rPr>
          <w:rFonts w:ascii="Times New Roman" w:hAnsi="Times New Roman" w:eastAsia="黑体" w:cs="Times New Roman"/>
          <w:bCs/>
          <w:szCs w:val="21"/>
        </w:rPr>
      </w:pPr>
      <w:r>
        <w:rPr>
          <w:rFonts w:ascii="Times New Roman" w:hAnsi="Times New Roman" w:eastAsia="黑体" w:cs="Times New Roman"/>
          <w:b w:val="0"/>
          <w:bCs/>
          <w:szCs w:val="21"/>
        </w:rPr>
        <w:t>A.</w:t>
      </w:r>
      <w:r>
        <w:rPr>
          <w:rFonts w:ascii="Times New Roman" w:hAnsi="Times New Roman" w:eastAsia="黑体" w:cs="Times New Roman"/>
          <w:bCs/>
          <w:szCs w:val="21"/>
        </w:rPr>
        <w:t>2.5 H&amp;E染色试剂：</w:t>
      </w:r>
    </w:p>
    <w:p w14:paraId="1185E6DA">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苏木精染液、伊红染液、盐酸酒精分化液、中性树胶。</w:t>
      </w:r>
    </w:p>
    <w:p w14:paraId="02AB761B">
      <w:pPr>
        <w:rPr>
          <w:rFonts w:ascii="Times New Roman" w:hAnsi="Times New Roman" w:eastAsia="黑体" w:cs="Times New Roman"/>
          <w:bCs/>
          <w:szCs w:val="21"/>
        </w:rPr>
      </w:pPr>
      <w:r>
        <w:rPr>
          <w:rFonts w:ascii="Times New Roman" w:hAnsi="Times New Roman" w:eastAsia="黑体" w:cs="Times New Roman"/>
          <w:b w:val="0"/>
          <w:bCs/>
          <w:szCs w:val="21"/>
        </w:rPr>
        <w:t>A.</w:t>
      </w:r>
      <w:r>
        <w:rPr>
          <w:rFonts w:ascii="Times New Roman" w:hAnsi="Times New Roman" w:eastAsia="黑体" w:cs="Times New Roman"/>
          <w:bCs/>
          <w:szCs w:val="21"/>
        </w:rPr>
        <w:t>2.6 免疫组化染色试剂：</w:t>
      </w:r>
    </w:p>
    <w:p w14:paraId="6BDEC72A">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3%过氧化氢溶液、柠檬酸盐缓冲液（pH 6.0）或EDTA抗原修复液（pH 9.0）、正常非免疫动物血清、一抗（如CDX2，CK20，Ki-67，p53等）、酶标或荧光标记二抗、DAB显色试剂盒、PBS缓冲液。</w:t>
      </w:r>
    </w:p>
    <w:p w14:paraId="70D32D4D">
      <w:pPr>
        <w:pStyle w:val="18"/>
        <w:spacing w:before="156" w:beforeLines="50" w:after="156" w:afterLines="50"/>
        <w:ind w:firstLine="0" w:firstLineChars="0"/>
        <w:rPr>
          <w:rFonts w:hint="eastAsia" w:ascii="Times New Roman" w:hAnsi="Times New Roman" w:eastAsia="黑体" w:cs="Times New Roman"/>
          <w:bCs/>
          <w:szCs w:val="21"/>
        </w:rPr>
      </w:pPr>
      <w:r>
        <w:rPr>
          <w:rFonts w:ascii="Times New Roman" w:hAnsi="Times New Roman" w:eastAsia="黑体" w:cs="Times New Roman"/>
          <w:bCs/>
          <w:szCs w:val="21"/>
        </w:rPr>
        <w:t>A.3 检测步骤</w:t>
      </w:r>
    </w:p>
    <w:p w14:paraId="707DCF9E">
      <w:pPr>
        <w:ind w:firstLine="0" w:firstLineChars="0"/>
        <w:rPr>
          <w:rFonts w:hint="eastAsia" w:ascii="Times New Roman" w:hAnsi="Times New Roman" w:eastAsia="黑体" w:cs="Times New Roman"/>
          <w:bCs/>
          <w:szCs w:val="21"/>
        </w:rPr>
      </w:pPr>
      <w:r>
        <w:rPr>
          <w:rFonts w:ascii="Times New Roman" w:hAnsi="Times New Roman" w:eastAsia="黑体" w:cs="Times New Roman"/>
          <w:b w:val="0"/>
          <w:bCs/>
          <w:szCs w:val="21"/>
        </w:rPr>
        <w:t>A.3.1</w:t>
      </w:r>
      <w:r>
        <w:rPr>
          <w:rFonts w:ascii="Times New Roman" w:hAnsi="Times New Roman" w:eastAsia="黑体" w:cs="Times New Roman"/>
          <w:bCs/>
          <w:szCs w:val="21"/>
        </w:rPr>
        <w:t xml:space="preserve"> 样品准备与固定：</w:t>
      </w:r>
    </w:p>
    <w:p w14:paraId="2592C8ED">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a) 收集培养的类器官（可包含基质胶）至离心管，PBS洗涤1次，离心弃上清。</w:t>
      </w:r>
    </w:p>
    <w:p w14:paraId="3BF6C236">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b) 加入4%多聚甲醛或10%中性缓冲福尔马林，室温固定30min</w:t>
      </w:r>
      <w:r>
        <w:rPr>
          <w:rFonts w:hint="eastAsia" w:ascii="Times New Roman" w:hAnsi="Times New Roman" w:eastAsia="宋体" w:cs="Times New Roman"/>
          <w:bCs/>
          <w:szCs w:val="21"/>
        </w:rPr>
        <w:t>-</w:t>
      </w:r>
      <w:r>
        <w:rPr>
          <w:rFonts w:ascii="Times New Roman" w:hAnsi="Times New Roman" w:eastAsia="宋体" w:cs="Times New Roman"/>
          <w:bCs/>
          <w:szCs w:val="21"/>
        </w:rPr>
        <w:t>60min。对于较大的类器官团块，可适当延长固定时间。</w:t>
      </w:r>
    </w:p>
    <w:p w14:paraId="0485586E">
      <w:pPr>
        <w:ind w:firstLine="0" w:firstLineChars="0"/>
        <w:rPr>
          <w:rFonts w:hint="eastAsia" w:ascii="Times New Roman" w:hAnsi="Times New Roman" w:eastAsia="黑体" w:cs="Times New Roman"/>
          <w:bCs/>
          <w:szCs w:val="21"/>
        </w:rPr>
      </w:pPr>
      <w:r>
        <w:rPr>
          <w:rFonts w:ascii="Times New Roman" w:hAnsi="Times New Roman" w:eastAsia="黑体" w:cs="Times New Roman"/>
          <w:b w:val="0"/>
          <w:bCs/>
          <w:szCs w:val="21"/>
        </w:rPr>
        <w:t xml:space="preserve">A.3.2 </w:t>
      </w:r>
      <w:r>
        <w:rPr>
          <w:rFonts w:ascii="Times New Roman" w:hAnsi="Times New Roman" w:eastAsia="黑体" w:cs="Times New Roman"/>
          <w:bCs/>
          <w:szCs w:val="21"/>
        </w:rPr>
        <w:t>石蜡切片制作：</w:t>
      </w:r>
    </w:p>
    <w:p w14:paraId="0A9E1A07">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a) 将固定后的类器官样本进行梯度乙醇脱水、二甲苯透明。</w:t>
      </w:r>
    </w:p>
    <w:p w14:paraId="6E593C82">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b) 浸蜡、石蜡包埋。</w:t>
      </w:r>
    </w:p>
    <w:p w14:paraId="70732961">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c) 使用石蜡切片机切片，厚度为3μm</w:t>
      </w:r>
      <w:r>
        <w:rPr>
          <w:rFonts w:hint="eastAsia" w:ascii="Times New Roman" w:hAnsi="Times New Roman" w:eastAsia="宋体" w:cs="Times New Roman"/>
          <w:bCs/>
          <w:szCs w:val="21"/>
        </w:rPr>
        <w:t>-</w:t>
      </w:r>
      <w:r>
        <w:rPr>
          <w:rFonts w:ascii="Times New Roman" w:hAnsi="Times New Roman" w:eastAsia="宋体" w:cs="Times New Roman"/>
          <w:bCs/>
          <w:szCs w:val="21"/>
        </w:rPr>
        <w:t>5μm。</w:t>
      </w:r>
    </w:p>
    <w:p w14:paraId="70DFB9E6">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d) 将切片在40℃温水展片，贴附于防脱载玻片上，60℃烤片2h或37℃过夜。</w:t>
      </w:r>
    </w:p>
    <w:p w14:paraId="51EBA317">
      <w:pPr>
        <w:ind w:firstLine="0" w:firstLineChars="0"/>
        <w:rPr>
          <w:rFonts w:hint="eastAsia" w:ascii="Times New Roman" w:hAnsi="Times New Roman" w:eastAsia="黑体" w:cs="Times New Roman"/>
          <w:bCs/>
          <w:szCs w:val="21"/>
        </w:rPr>
      </w:pPr>
      <w:r>
        <w:rPr>
          <w:rFonts w:ascii="Times New Roman" w:hAnsi="Times New Roman" w:eastAsia="黑体" w:cs="Times New Roman"/>
          <w:b w:val="0"/>
          <w:bCs/>
          <w:szCs w:val="21"/>
        </w:rPr>
        <w:t xml:space="preserve">A.3.3 </w:t>
      </w:r>
      <w:r>
        <w:rPr>
          <w:rFonts w:ascii="Times New Roman" w:hAnsi="Times New Roman" w:eastAsia="黑体" w:cs="Times New Roman"/>
          <w:bCs/>
          <w:szCs w:val="21"/>
        </w:rPr>
        <w:t>H&amp;E染色：</w:t>
      </w:r>
    </w:p>
    <w:p w14:paraId="57DC90FB">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a) 切片脱蜡至水。</w:t>
      </w:r>
    </w:p>
    <w:p w14:paraId="43B2CF0A">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b) 苏木精染色5min</w:t>
      </w:r>
      <w:r>
        <w:rPr>
          <w:rFonts w:hint="eastAsia" w:ascii="Times New Roman" w:hAnsi="Times New Roman" w:eastAsia="宋体" w:cs="Times New Roman"/>
          <w:bCs/>
          <w:szCs w:val="21"/>
        </w:rPr>
        <w:t>-</w:t>
      </w:r>
      <w:r>
        <w:rPr>
          <w:rFonts w:ascii="Times New Roman" w:hAnsi="Times New Roman" w:eastAsia="宋体" w:cs="Times New Roman"/>
          <w:bCs/>
          <w:szCs w:val="21"/>
        </w:rPr>
        <w:t>10min，流水冲洗。</w:t>
      </w:r>
    </w:p>
    <w:p w14:paraId="3DBD9504">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c) 盐酸酒精分化数秒，流水冲洗返蓝。</w:t>
      </w:r>
    </w:p>
    <w:p w14:paraId="2D0A80E3">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d) 伊红染色1min</w:t>
      </w:r>
      <w:r>
        <w:rPr>
          <w:rFonts w:hint="eastAsia" w:ascii="Times New Roman" w:hAnsi="Times New Roman" w:eastAsia="宋体" w:cs="Times New Roman"/>
          <w:bCs/>
          <w:szCs w:val="21"/>
        </w:rPr>
        <w:t>-</w:t>
      </w:r>
      <w:r>
        <w:rPr>
          <w:rFonts w:ascii="Times New Roman" w:hAnsi="Times New Roman" w:eastAsia="宋体" w:cs="Times New Roman"/>
          <w:bCs/>
          <w:szCs w:val="21"/>
        </w:rPr>
        <w:t>3min。</w:t>
      </w:r>
    </w:p>
    <w:p w14:paraId="06FF546B">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e) 梯度酒精脱水，二甲苯透明。</w:t>
      </w:r>
    </w:p>
    <w:p w14:paraId="62D8948C">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f) 中性树胶封片，镜检。</w:t>
      </w:r>
    </w:p>
    <w:p w14:paraId="29C7A85C">
      <w:pPr>
        <w:ind w:firstLine="0" w:firstLineChars="0"/>
        <w:rPr>
          <w:rFonts w:hint="default" w:ascii="Times New Roman" w:hAnsi="Times New Roman" w:eastAsia="黑体" w:cs="Times New Roman"/>
          <w:bCs/>
          <w:szCs w:val="21"/>
        </w:rPr>
      </w:pPr>
      <w:r>
        <w:rPr>
          <w:rFonts w:ascii="Times New Roman" w:hAnsi="Times New Roman" w:eastAsia="黑体" w:cs="Times New Roman"/>
          <w:b w:val="0"/>
          <w:bCs/>
          <w:szCs w:val="21"/>
        </w:rPr>
        <w:t xml:space="preserve">A.3.4 </w:t>
      </w:r>
      <w:r>
        <w:rPr>
          <w:rFonts w:ascii="Times New Roman" w:hAnsi="Times New Roman" w:eastAsia="黑体" w:cs="Times New Roman"/>
          <w:bCs/>
          <w:szCs w:val="21"/>
        </w:rPr>
        <w:t>免疫组化染色：</w:t>
      </w:r>
    </w:p>
    <w:p w14:paraId="6B92A1AB">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a) 切片脱蜡至水。</w:t>
      </w:r>
    </w:p>
    <w:p w14:paraId="73510B90">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b) 抗原修复（高压或微波热修复）。</w:t>
      </w:r>
    </w:p>
    <w:p w14:paraId="073589A1">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c) 3%过氧化氢孵育10min，阻断内源性过氧化物酶。</w:t>
      </w:r>
    </w:p>
    <w:p w14:paraId="2BED91C6">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d) 滴加封闭血清，室温孵育20 min。</w:t>
      </w:r>
    </w:p>
    <w:p w14:paraId="53FE19D1">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e) 倾去血清，滴加适当比例稀释的一抗，4℃孵育过夜或37℃孵育1h</w:t>
      </w:r>
      <w:r>
        <w:rPr>
          <w:rFonts w:hint="eastAsia" w:ascii="Times New Roman" w:hAnsi="Times New Roman" w:eastAsia="宋体" w:cs="Times New Roman"/>
          <w:bCs/>
          <w:szCs w:val="21"/>
        </w:rPr>
        <w:t>-</w:t>
      </w:r>
      <w:r>
        <w:rPr>
          <w:rFonts w:ascii="Times New Roman" w:hAnsi="Times New Roman" w:eastAsia="宋体" w:cs="Times New Roman"/>
          <w:bCs/>
          <w:szCs w:val="21"/>
        </w:rPr>
        <w:t>2h。</w:t>
      </w:r>
    </w:p>
    <w:p w14:paraId="56314C4D">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f) PBS冲洗，滴加二抗，室温孵育20min</w:t>
      </w:r>
      <w:r>
        <w:rPr>
          <w:rFonts w:hint="eastAsia" w:ascii="Times New Roman" w:hAnsi="Times New Roman" w:eastAsia="宋体" w:cs="Times New Roman"/>
          <w:bCs/>
          <w:szCs w:val="21"/>
        </w:rPr>
        <w:t>-</w:t>
      </w:r>
      <w:r>
        <w:rPr>
          <w:rFonts w:ascii="Times New Roman" w:hAnsi="Times New Roman" w:eastAsia="宋体" w:cs="Times New Roman"/>
          <w:bCs/>
          <w:szCs w:val="21"/>
        </w:rPr>
        <w:t>30min。</w:t>
      </w:r>
    </w:p>
    <w:p w14:paraId="3C491CF6">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g) PBS冲洗，DAB显色，显微镜下控制反应时间。</w:t>
      </w:r>
    </w:p>
    <w:p w14:paraId="0D30DEA8">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h) 自来水冲洗终止显色，苏木精复染，脱水、透明、封片。</w:t>
      </w:r>
    </w:p>
    <w:p w14:paraId="2B411A0D">
      <w:pPr>
        <w:pStyle w:val="18"/>
        <w:spacing w:before="156" w:beforeLines="50" w:after="156" w:afterLines="50"/>
        <w:ind w:firstLine="0" w:firstLineChars="0"/>
        <w:rPr>
          <w:rFonts w:hint="eastAsia" w:ascii="Times New Roman" w:hAnsi="Times New Roman" w:eastAsia="黑体" w:cs="Times New Roman"/>
          <w:bCs/>
          <w:szCs w:val="21"/>
        </w:rPr>
      </w:pPr>
      <w:r>
        <w:rPr>
          <w:rFonts w:ascii="Times New Roman" w:hAnsi="Times New Roman" w:eastAsia="黑体" w:cs="Times New Roman"/>
          <w:bCs/>
          <w:szCs w:val="21"/>
        </w:rPr>
        <w:t>A.4 结果分析</w:t>
      </w:r>
    </w:p>
    <w:p w14:paraId="737294B4">
      <w:pPr>
        <w:ind w:firstLine="420" w:firstLineChars="200"/>
        <w:rPr>
          <w:rFonts w:hint="eastAsia" w:ascii="宋体" w:hAnsi="宋体" w:eastAsia="宋体" w:cs="Times New Roman"/>
          <w:bCs/>
          <w:szCs w:val="21"/>
        </w:rPr>
      </w:pPr>
      <w:r>
        <w:rPr>
          <w:rFonts w:hint="default" w:ascii="Times New Roman" w:hAnsi="Times New Roman" w:eastAsia="宋体" w:cs="Times New Roman"/>
          <w:bCs/>
          <w:szCs w:val="21"/>
        </w:rPr>
        <w:t>由具有病理诊断资质的人员对染色切片进行分析。</w:t>
      </w:r>
      <w:r>
        <w:rPr>
          <w:rFonts w:ascii="Times New Roman" w:hAnsi="Times New Roman" w:eastAsia="宋体" w:cs="Times New Roman"/>
          <w:bCs/>
          <w:szCs w:val="21"/>
        </w:rPr>
        <w:t>H&amp;E染色用于评估类器官的形态结构与细胞异型性；IHC染色用于评估特定标志物的表达强度、阳性率和定位。综合评判类器官与来源肿瘤组织的病理学一致性。</w:t>
      </w:r>
    </w:p>
    <w:p w14:paraId="3EC34D84">
      <w:pPr>
        <w:widowControl/>
        <w:jc w:val="left"/>
        <w:rPr>
          <w:rFonts w:hint="eastAsia" w:ascii="宋体" w:hAnsi="宋体" w:eastAsia="宋体" w:cs="Times New Roman"/>
          <w:bCs/>
          <w:szCs w:val="21"/>
        </w:rPr>
      </w:pPr>
      <w:r>
        <w:rPr>
          <w:rFonts w:ascii="宋体" w:hAnsi="宋体" w:eastAsia="宋体" w:cs="Times New Roman"/>
          <w:bCs/>
          <w:szCs w:val="21"/>
        </w:rPr>
        <w:br w:type="page"/>
      </w:r>
    </w:p>
    <w:p w14:paraId="5452BA1D">
      <w:pPr>
        <w:jc w:val="center"/>
        <w:outlineLvl w:val="0"/>
        <w:rPr>
          <w:rFonts w:hint="eastAsia" w:ascii="Times New Roman" w:hAnsi="Times New Roman" w:eastAsia="黑体" w:cs="Times New Roman"/>
          <w:bCs/>
          <w:szCs w:val="21"/>
        </w:rPr>
      </w:pPr>
      <w:bookmarkStart w:id="17" w:name="_Toc225449521"/>
      <w:r>
        <w:rPr>
          <w:rFonts w:hint="eastAsia" w:ascii="Times New Roman" w:hAnsi="Times New Roman" w:eastAsia="黑体" w:cs="Times New Roman"/>
          <w:bCs/>
          <w:szCs w:val="21"/>
        </w:rPr>
        <w:t xml:space="preserve">附 录 </w:t>
      </w:r>
      <w:r>
        <w:rPr>
          <w:rFonts w:ascii="Times New Roman" w:hAnsi="Times New Roman" w:eastAsia="黑体" w:cs="Times New Roman"/>
          <w:bCs/>
          <w:szCs w:val="21"/>
        </w:rPr>
        <w:t>B</w:t>
      </w:r>
      <w:bookmarkEnd w:id="17"/>
    </w:p>
    <w:p w14:paraId="04BAD22A">
      <w:pPr>
        <w:jc w:val="center"/>
        <w:outlineLvl w:val="0"/>
        <w:rPr>
          <w:rFonts w:hint="eastAsia" w:ascii="Times New Roman" w:hAnsi="Times New Roman" w:eastAsia="黑体" w:cs="Times New Roman"/>
          <w:bCs/>
          <w:szCs w:val="21"/>
        </w:rPr>
      </w:pPr>
      <w:bookmarkStart w:id="18" w:name="_Toc225449522"/>
      <w:r>
        <w:rPr>
          <w:rFonts w:hint="eastAsia" w:ascii="Times New Roman" w:hAnsi="Times New Roman" w:eastAsia="黑体" w:cs="Times New Roman"/>
          <w:bCs/>
          <w:szCs w:val="21"/>
        </w:rPr>
        <w:t>（规范性）</w:t>
      </w:r>
      <w:bookmarkEnd w:id="18"/>
    </w:p>
    <w:p w14:paraId="1661F070">
      <w:pPr>
        <w:jc w:val="center"/>
        <w:outlineLvl w:val="0"/>
        <w:rPr>
          <w:rFonts w:hint="eastAsia" w:ascii="Times New Roman" w:hAnsi="Times New Roman" w:eastAsia="黑体" w:cs="Times New Roman"/>
          <w:bCs/>
          <w:szCs w:val="21"/>
        </w:rPr>
      </w:pPr>
      <w:bookmarkStart w:id="19" w:name="_Toc225449523"/>
      <w:r>
        <w:rPr>
          <w:rFonts w:hint="eastAsia" w:ascii="Times New Roman" w:hAnsi="Times New Roman" w:eastAsia="黑体" w:cs="Times New Roman"/>
          <w:bCs/>
          <w:szCs w:val="21"/>
        </w:rPr>
        <w:t>类器官</w:t>
      </w:r>
      <w:r>
        <w:rPr>
          <w:rFonts w:ascii="Times New Roman" w:hAnsi="Times New Roman" w:eastAsia="黑体" w:cs="Times New Roman"/>
          <w:bCs/>
          <w:szCs w:val="21"/>
        </w:rPr>
        <w:t>STR鉴定方法</w:t>
      </w:r>
      <w:bookmarkEnd w:id="19"/>
    </w:p>
    <w:p w14:paraId="2F984189">
      <w:pPr>
        <w:pStyle w:val="18"/>
        <w:spacing w:before="156" w:beforeLines="50" w:after="156" w:afterLines="50"/>
        <w:ind w:firstLine="0" w:firstLineChars="0"/>
        <w:rPr>
          <w:rFonts w:ascii="黑体" w:hAnsi="黑体" w:eastAsia="黑体" w:cs="黑体"/>
          <w:bCs/>
          <w:szCs w:val="21"/>
        </w:rPr>
      </w:pPr>
    </w:p>
    <w:p w14:paraId="03AE5F18">
      <w:pPr>
        <w:pStyle w:val="18"/>
        <w:spacing w:before="156" w:beforeLines="50" w:after="156" w:afterLines="50"/>
        <w:ind w:firstLine="0" w:firstLineChars="0"/>
        <w:rPr>
          <w:rFonts w:hint="default" w:ascii="Times New Roman" w:hAnsi="Times New Roman" w:eastAsia="黑体" w:cs="Times New Roman"/>
          <w:bCs/>
          <w:szCs w:val="21"/>
        </w:rPr>
      </w:pPr>
      <w:r>
        <w:rPr>
          <w:rFonts w:ascii="Times New Roman" w:hAnsi="Times New Roman" w:eastAsia="黑体" w:cs="Times New Roman"/>
          <w:bCs/>
          <w:szCs w:val="21"/>
        </w:rPr>
        <w:t>B.1 仪器和设备</w:t>
      </w:r>
    </w:p>
    <w:p w14:paraId="5382E05A">
      <w:pPr>
        <w:ind w:firstLine="0" w:firstLineChars="0"/>
        <w:rPr>
          <w:rFonts w:hint="default" w:ascii="Times New Roman" w:hAnsi="Times New Roman" w:eastAsia="黑体" w:cs="Times New Roman"/>
          <w:bCs/>
          <w:szCs w:val="21"/>
        </w:rPr>
      </w:pPr>
      <w:r>
        <w:rPr>
          <w:rFonts w:ascii="Times New Roman" w:hAnsi="Times New Roman" w:eastAsia="黑体" w:cs="Times New Roman"/>
          <w:b w:val="0"/>
          <w:bCs/>
          <w:szCs w:val="21"/>
        </w:rPr>
        <w:t>B.1.1</w:t>
      </w:r>
      <w:r>
        <w:rPr>
          <w:rFonts w:ascii="Times New Roman" w:hAnsi="Times New Roman" w:eastAsia="黑体" w:cs="Times New Roman"/>
          <w:bCs/>
          <w:szCs w:val="21"/>
        </w:rPr>
        <w:t xml:space="preserve"> 离心机。</w:t>
      </w:r>
    </w:p>
    <w:p w14:paraId="5EE5C538">
      <w:pPr>
        <w:ind w:firstLine="0" w:firstLineChars="0"/>
        <w:rPr>
          <w:rFonts w:hint="default" w:ascii="Times New Roman" w:hAnsi="Times New Roman" w:eastAsia="黑体" w:cs="Times New Roman"/>
          <w:bCs/>
          <w:szCs w:val="21"/>
        </w:rPr>
      </w:pPr>
      <w:r>
        <w:rPr>
          <w:rFonts w:ascii="Times New Roman" w:hAnsi="Times New Roman" w:eastAsia="黑体" w:cs="Times New Roman"/>
          <w:b w:val="0"/>
          <w:bCs/>
          <w:szCs w:val="21"/>
        </w:rPr>
        <w:t>B.1.2</w:t>
      </w:r>
      <w:r>
        <w:rPr>
          <w:rFonts w:ascii="Times New Roman" w:hAnsi="Times New Roman" w:eastAsia="黑体" w:cs="Times New Roman"/>
          <w:bCs/>
          <w:szCs w:val="21"/>
        </w:rPr>
        <w:t xml:space="preserve"> PCR仪。</w:t>
      </w:r>
    </w:p>
    <w:p w14:paraId="2FCBDE18">
      <w:pPr>
        <w:ind w:firstLine="0" w:firstLineChars="0"/>
        <w:rPr>
          <w:rFonts w:hint="default" w:ascii="Times New Roman" w:hAnsi="Times New Roman" w:eastAsia="黑体" w:cs="Times New Roman"/>
          <w:bCs/>
          <w:szCs w:val="21"/>
        </w:rPr>
      </w:pPr>
      <w:r>
        <w:rPr>
          <w:rFonts w:ascii="Times New Roman" w:hAnsi="Times New Roman" w:eastAsia="黑体" w:cs="Times New Roman"/>
          <w:b w:val="0"/>
          <w:bCs/>
          <w:szCs w:val="21"/>
        </w:rPr>
        <w:t>B.1.3</w:t>
      </w:r>
      <w:r>
        <w:rPr>
          <w:rFonts w:ascii="Times New Roman" w:hAnsi="Times New Roman" w:eastAsia="黑体" w:cs="Times New Roman"/>
          <w:bCs/>
          <w:szCs w:val="21"/>
        </w:rPr>
        <w:t xml:space="preserve"> 毛细管电泳基因分析仪。</w:t>
      </w:r>
    </w:p>
    <w:p w14:paraId="3B141603">
      <w:pPr>
        <w:ind w:firstLine="0" w:firstLineChars="0"/>
        <w:rPr>
          <w:rFonts w:hint="default" w:ascii="Times New Roman" w:hAnsi="Times New Roman" w:eastAsia="黑体" w:cs="Times New Roman"/>
          <w:bCs/>
          <w:szCs w:val="21"/>
        </w:rPr>
      </w:pPr>
      <w:r>
        <w:rPr>
          <w:rFonts w:ascii="Times New Roman" w:hAnsi="Times New Roman" w:eastAsia="黑体" w:cs="Times New Roman"/>
          <w:b w:val="0"/>
          <w:bCs/>
          <w:szCs w:val="21"/>
        </w:rPr>
        <w:t>B.1.4</w:t>
      </w:r>
      <w:r>
        <w:rPr>
          <w:rFonts w:ascii="Times New Roman" w:hAnsi="Times New Roman" w:eastAsia="黑体" w:cs="Times New Roman"/>
          <w:bCs/>
          <w:szCs w:val="21"/>
        </w:rPr>
        <w:t xml:space="preserve"> 微量紫外分光光度计。</w:t>
      </w:r>
    </w:p>
    <w:p w14:paraId="071457DF">
      <w:pPr>
        <w:ind w:firstLine="0" w:firstLineChars="0"/>
        <w:rPr>
          <w:rFonts w:hint="default" w:ascii="Times New Roman" w:hAnsi="Times New Roman" w:eastAsia="黑体" w:cs="Times New Roman"/>
          <w:bCs/>
          <w:szCs w:val="21"/>
        </w:rPr>
      </w:pPr>
      <w:r>
        <w:rPr>
          <w:rFonts w:ascii="Times New Roman" w:hAnsi="Times New Roman" w:eastAsia="黑体" w:cs="Times New Roman"/>
          <w:b w:val="0"/>
          <w:bCs/>
          <w:szCs w:val="21"/>
        </w:rPr>
        <w:t>B.1.5</w:t>
      </w:r>
      <w:r>
        <w:rPr>
          <w:rFonts w:ascii="Times New Roman" w:hAnsi="Times New Roman" w:eastAsia="黑体" w:cs="Times New Roman"/>
          <w:bCs/>
          <w:szCs w:val="21"/>
        </w:rPr>
        <w:t xml:space="preserve"> 生物安全柜。</w:t>
      </w:r>
    </w:p>
    <w:p w14:paraId="51A149E6">
      <w:pPr>
        <w:pStyle w:val="18"/>
        <w:spacing w:before="156" w:beforeLines="50" w:after="156" w:afterLines="50"/>
        <w:ind w:firstLine="0" w:firstLineChars="0"/>
        <w:rPr>
          <w:rFonts w:hint="eastAsia" w:ascii="Times New Roman" w:hAnsi="Times New Roman" w:eastAsia="黑体" w:cs="Times New Roman"/>
          <w:bCs/>
          <w:szCs w:val="21"/>
        </w:rPr>
      </w:pPr>
      <w:r>
        <w:rPr>
          <w:rFonts w:ascii="Times New Roman" w:hAnsi="Times New Roman" w:eastAsia="黑体" w:cs="Times New Roman"/>
          <w:bCs/>
          <w:szCs w:val="21"/>
        </w:rPr>
        <w:t>B.2 试剂</w:t>
      </w:r>
    </w:p>
    <w:p w14:paraId="339CD293">
      <w:pPr>
        <w:ind w:firstLine="0" w:firstLineChars="0"/>
        <w:rPr>
          <w:rFonts w:hint="eastAsia" w:ascii="Times New Roman" w:hAnsi="Times New Roman" w:eastAsia="黑体" w:cs="Times New Roman"/>
          <w:bCs/>
          <w:szCs w:val="21"/>
        </w:rPr>
      </w:pPr>
      <w:r>
        <w:rPr>
          <w:rFonts w:ascii="Times New Roman" w:hAnsi="Times New Roman" w:eastAsia="黑体" w:cs="Times New Roman"/>
          <w:b w:val="0"/>
          <w:bCs/>
          <w:szCs w:val="21"/>
        </w:rPr>
        <w:t>B.2.1</w:t>
      </w:r>
      <w:r>
        <w:rPr>
          <w:rFonts w:ascii="Times New Roman" w:hAnsi="Times New Roman" w:eastAsia="黑体" w:cs="Times New Roman"/>
          <w:bCs/>
          <w:szCs w:val="21"/>
        </w:rPr>
        <w:t xml:space="preserve"> 细胞/组织基因组DNA提取试剂盒。</w:t>
      </w:r>
    </w:p>
    <w:p w14:paraId="224718F6">
      <w:pPr>
        <w:ind w:firstLine="0" w:firstLineChars="0"/>
        <w:rPr>
          <w:rFonts w:hint="eastAsia" w:ascii="Times New Roman" w:hAnsi="Times New Roman" w:eastAsia="黑体" w:cs="Times New Roman"/>
          <w:bCs/>
          <w:szCs w:val="21"/>
        </w:rPr>
      </w:pPr>
      <w:r>
        <w:rPr>
          <w:rFonts w:ascii="Times New Roman" w:hAnsi="Times New Roman" w:eastAsia="黑体" w:cs="Times New Roman"/>
          <w:b w:val="0"/>
          <w:bCs/>
          <w:szCs w:val="21"/>
        </w:rPr>
        <w:t>B.2.2</w:t>
      </w:r>
      <w:r>
        <w:rPr>
          <w:rFonts w:ascii="Times New Roman" w:hAnsi="Times New Roman" w:eastAsia="黑体" w:cs="Times New Roman"/>
          <w:bCs/>
          <w:szCs w:val="21"/>
        </w:rPr>
        <w:t xml:space="preserve"> STR多重荧光扩增试剂盒（商品化试剂盒，应涵盖至少8个以上核心STR位点，如D5S818、D13S317、D7S820、D16S539、CSF1PO、AMEL、TH01、TPOX、vWA等）。</w:t>
      </w:r>
    </w:p>
    <w:p w14:paraId="1C955AC1">
      <w:pPr>
        <w:ind w:firstLine="0" w:firstLineChars="0"/>
        <w:rPr>
          <w:rFonts w:hint="eastAsia" w:ascii="Times New Roman" w:hAnsi="Times New Roman" w:eastAsia="黑体" w:cs="Times New Roman"/>
          <w:bCs/>
          <w:szCs w:val="21"/>
        </w:rPr>
      </w:pPr>
      <w:r>
        <w:rPr>
          <w:rFonts w:ascii="Times New Roman" w:hAnsi="Times New Roman" w:eastAsia="黑体" w:cs="Times New Roman"/>
          <w:b w:val="0"/>
          <w:bCs/>
          <w:szCs w:val="21"/>
        </w:rPr>
        <w:t>B.2.3</w:t>
      </w:r>
      <w:r>
        <w:rPr>
          <w:rFonts w:ascii="Times New Roman" w:hAnsi="Times New Roman" w:eastAsia="黑体" w:cs="Times New Roman"/>
          <w:bCs/>
          <w:szCs w:val="21"/>
        </w:rPr>
        <w:t xml:space="preserve"> 分子级无菌水。</w:t>
      </w:r>
    </w:p>
    <w:p w14:paraId="28C7593C">
      <w:pPr>
        <w:ind w:firstLine="0" w:firstLineChars="0"/>
        <w:rPr>
          <w:rFonts w:hint="eastAsia" w:ascii="Times New Roman" w:hAnsi="Times New Roman" w:eastAsia="黑体" w:cs="Times New Roman"/>
          <w:bCs/>
          <w:szCs w:val="21"/>
        </w:rPr>
      </w:pPr>
      <w:r>
        <w:rPr>
          <w:rFonts w:ascii="Times New Roman" w:hAnsi="Times New Roman" w:eastAsia="黑体" w:cs="Times New Roman"/>
          <w:b w:val="0"/>
          <w:bCs/>
          <w:szCs w:val="21"/>
        </w:rPr>
        <w:t>B.2.4</w:t>
      </w:r>
      <w:r>
        <w:rPr>
          <w:rFonts w:ascii="Times New Roman" w:hAnsi="Times New Roman" w:eastAsia="黑体" w:cs="Times New Roman"/>
          <w:bCs/>
          <w:szCs w:val="21"/>
        </w:rPr>
        <w:t xml:space="preserve"> 去离子甲酰胺。</w:t>
      </w:r>
    </w:p>
    <w:p w14:paraId="44474848">
      <w:pPr>
        <w:ind w:firstLine="0" w:firstLineChars="0"/>
        <w:rPr>
          <w:rFonts w:hint="eastAsia" w:ascii="Times New Roman" w:hAnsi="Times New Roman" w:eastAsia="黑体" w:cs="Times New Roman"/>
          <w:bCs/>
          <w:szCs w:val="21"/>
        </w:rPr>
      </w:pPr>
      <w:r>
        <w:rPr>
          <w:rFonts w:ascii="Times New Roman" w:hAnsi="Times New Roman" w:eastAsia="黑体" w:cs="Times New Roman"/>
          <w:b w:val="0"/>
          <w:bCs/>
          <w:szCs w:val="21"/>
        </w:rPr>
        <w:t xml:space="preserve">B.2.5 </w:t>
      </w:r>
      <w:r>
        <w:rPr>
          <w:rFonts w:ascii="Times New Roman" w:hAnsi="Times New Roman" w:eastAsia="黑体" w:cs="Times New Roman"/>
          <w:bCs/>
          <w:szCs w:val="21"/>
        </w:rPr>
        <w:t>内标（GeneScan™ 500 LIZ® 或同类型产品）。</w:t>
      </w:r>
    </w:p>
    <w:p w14:paraId="6757929D">
      <w:pPr>
        <w:pStyle w:val="18"/>
        <w:spacing w:before="156" w:beforeLines="50" w:after="156" w:afterLines="50"/>
        <w:ind w:firstLine="0" w:firstLineChars="0"/>
        <w:rPr>
          <w:rFonts w:hint="eastAsia" w:ascii="Times New Roman" w:hAnsi="Times New Roman" w:eastAsia="黑体" w:cs="Times New Roman"/>
          <w:bCs/>
          <w:szCs w:val="21"/>
        </w:rPr>
      </w:pPr>
      <w:r>
        <w:rPr>
          <w:rFonts w:ascii="Times New Roman" w:hAnsi="Times New Roman" w:eastAsia="黑体" w:cs="Times New Roman"/>
          <w:bCs/>
          <w:szCs w:val="21"/>
        </w:rPr>
        <w:t>B.3 检测步骤</w:t>
      </w:r>
    </w:p>
    <w:p w14:paraId="25A0828E">
      <w:pPr>
        <w:ind w:firstLine="0" w:firstLineChars="0"/>
        <w:rPr>
          <w:rFonts w:hint="eastAsia" w:ascii="Times New Roman" w:hAnsi="Times New Roman" w:eastAsia="黑体" w:cs="Times New Roman"/>
          <w:bCs/>
          <w:szCs w:val="21"/>
        </w:rPr>
      </w:pPr>
      <w:r>
        <w:rPr>
          <w:rFonts w:ascii="Times New Roman" w:hAnsi="Times New Roman" w:eastAsia="黑体" w:cs="Times New Roman"/>
          <w:b w:val="0"/>
          <w:bCs/>
          <w:szCs w:val="21"/>
        </w:rPr>
        <w:t>B.3.1</w:t>
      </w:r>
      <w:r>
        <w:rPr>
          <w:rFonts w:ascii="Times New Roman" w:hAnsi="Times New Roman" w:eastAsia="黑体" w:cs="Times New Roman"/>
          <w:bCs/>
          <w:szCs w:val="21"/>
        </w:rPr>
        <w:t xml:space="preserve"> 样品制备：</w:t>
      </w:r>
    </w:p>
    <w:p w14:paraId="19BD3C2F">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a) 收集处于对数生长期的类器官（约10^5～10^6个细胞），PBS洗涤2次。</w:t>
      </w:r>
    </w:p>
    <w:p w14:paraId="0EA1520D">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b) 同时准备来源肿瘤组织或患者血液/正常组织作为对照样本。</w:t>
      </w:r>
    </w:p>
    <w:p w14:paraId="5DD5882D">
      <w:pPr>
        <w:ind w:firstLine="0" w:firstLineChars="0"/>
        <w:rPr>
          <w:rFonts w:hint="eastAsia" w:ascii="Times New Roman" w:hAnsi="Times New Roman" w:eastAsia="黑体" w:cs="Times New Roman"/>
          <w:bCs/>
          <w:szCs w:val="21"/>
        </w:rPr>
      </w:pPr>
      <w:r>
        <w:rPr>
          <w:rFonts w:ascii="Times New Roman" w:hAnsi="Times New Roman" w:eastAsia="黑体" w:cs="Times New Roman"/>
          <w:b w:val="0"/>
          <w:bCs/>
          <w:szCs w:val="21"/>
        </w:rPr>
        <w:t xml:space="preserve">B.3.2 </w:t>
      </w:r>
      <w:r>
        <w:rPr>
          <w:rFonts w:ascii="Times New Roman" w:hAnsi="Times New Roman" w:eastAsia="黑体" w:cs="Times New Roman"/>
          <w:bCs/>
          <w:szCs w:val="21"/>
        </w:rPr>
        <w:t>DNA提取：</w:t>
      </w:r>
    </w:p>
    <w:p w14:paraId="63D5FCD0">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a) 按照DNA提取试剂盒说明书操作，分别提取类器官和对照样本的基因组DNA。</w:t>
      </w:r>
    </w:p>
    <w:p w14:paraId="686D857B">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b) 使用微量紫外分光光度计检测DNA纯度和浓度。要求A260/A280比值在1.8～2.0之间，DNA浓度≥20ng/μL。</w:t>
      </w:r>
    </w:p>
    <w:p w14:paraId="4CA6A36A">
      <w:pPr>
        <w:ind w:firstLine="0" w:firstLineChars="0"/>
        <w:rPr>
          <w:rFonts w:hint="eastAsia" w:ascii="Times New Roman" w:hAnsi="Times New Roman" w:eastAsia="黑体" w:cs="Times New Roman"/>
          <w:bCs/>
          <w:szCs w:val="21"/>
        </w:rPr>
      </w:pPr>
      <w:r>
        <w:rPr>
          <w:rFonts w:ascii="Times New Roman" w:hAnsi="Times New Roman" w:eastAsia="黑体" w:cs="Times New Roman"/>
          <w:b w:val="0"/>
          <w:bCs/>
          <w:szCs w:val="21"/>
        </w:rPr>
        <w:t xml:space="preserve">B.3.3 </w:t>
      </w:r>
      <w:r>
        <w:rPr>
          <w:rFonts w:ascii="Times New Roman" w:hAnsi="Times New Roman" w:eastAsia="黑体" w:cs="Times New Roman"/>
          <w:bCs/>
          <w:szCs w:val="21"/>
        </w:rPr>
        <w:t>PCR扩增：</w:t>
      </w:r>
    </w:p>
    <w:p w14:paraId="2FD7EA48">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a) 按照STR扩增试剂盒说明书配制PCR反应体系，加入适量的模板DNA。</w:t>
      </w:r>
    </w:p>
    <w:p w14:paraId="09439EA8">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b) 设置阳性对照（已知STR分型的DNA）和阴性对照（无菌水）。</w:t>
      </w:r>
    </w:p>
    <w:p w14:paraId="2ACB9BCE">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c) 在PCR仪上进行扩增。</w:t>
      </w:r>
    </w:p>
    <w:p w14:paraId="6024FDB6">
      <w:pPr>
        <w:ind w:firstLine="0" w:firstLineChars="0"/>
        <w:rPr>
          <w:rFonts w:hint="eastAsia" w:ascii="Times New Roman" w:hAnsi="Times New Roman" w:eastAsia="黑体" w:cs="Times New Roman"/>
          <w:bCs/>
          <w:szCs w:val="21"/>
        </w:rPr>
      </w:pPr>
      <w:r>
        <w:rPr>
          <w:rFonts w:ascii="Times New Roman" w:hAnsi="Times New Roman" w:eastAsia="黑体" w:cs="Times New Roman"/>
          <w:b w:val="0"/>
          <w:bCs/>
          <w:szCs w:val="21"/>
        </w:rPr>
        <w:t xml:space="preserve">B.3.4 </w:t>
      </w:r>
      <w:r>
        <w:rPr>
          <w:rFonts w:ascii="Times New Roman" w:hAnsi="Times New Roman" w:eastAsia="黑体" w:cs="Times New Roman"/>
          <w:bCs/>
          <w:szCs w:val="21"/>
        </w:rPr>
        <w:t>毛细管电泳检测：</w:t>
      </w:r>
    </w:p>
    <w:p w14:paraId="062611BA">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a) 取1 μL PCR产物，加入8.5 μL去离子甲酰胺和0.5 μL内标，混匀后95℃变性5 min，立即冰浴冷却。</w:t>
      </w:r>
    </w:p>
    <w:p w14:paraId="1C47DB72">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b) 使用毛细管电泳基因分析仪进行片段分离和数据收集。</w:t>
      </w:r>
    </w:p>
    <w:p w14:paraId="0BA45FA2">
      <w:pPr>
        <w:pStyle w:val="18"/>
        <w:spacing w:before="156" w:beforeLines="50" w:after="156" w:afterLines="50"/>
        <w:ind w:firstLine="0" w:firstLineChars="0"/>
        <w:rPr>
          <w:rFonts w:hint="eastAsia" w:ascii="Times New Roman" w:hAnsi="Times New Roman" w:eastAsia="黑体" w:cs="Times New Roman"/>
          <w:bCs/>
          <w:szCs w:val="21"/>
        </w:rPr>
      </w:pPr>
      <w:r>
        <w:rPr>
          <w:rFonts w:ascii="Times New Roman" w:hAnsi="Times New Roman" w:eastAsia="黑体" w:cs="Times New Roman"/>
          <w:bCs/>
          <w:szCs w:val="21"/>
        </w:rPr>
        <w:t>B.4 结果分析</w:t>
      </w:r>
    </w:p>
    <w:p w14:paraId="67248BEA">
      <w:pPr>
        <w:ind w:firstLine="420" w:firstLineChars="200"/>
        <w:rPr>
          <w:rFonts w:hint="eastAsia" w:ascii="宋体" w:hAnsi="宋体" w:eastAsia="宋体" w:cs="Times New Roman"/>
          <w:bCs/>
          <w:szCs w:val="21"/>
        </w:rPr>
      </w:pPr>
      <w:r>
        <w:rPr>
          <w:rFonts w:hint="default" w:ascii="Times New Roman" w:hAnsi="Times New Roman" w:eastAsia="宋体" w:cs="Times New Roman"/>
          <w:bCs/>
          <w:szCs w:val="21"/>
        </w:rPr>
        <w:t>使用相应的基因分析软件分析电泳数据，获得样本的</w:t>
      </w:r>
      <w:r>
        <w:rPr>
          <w:rFonts w:ascii="Times New Roman" w:hAnsi="Times New Roman" w:eastAsia="宋体" w:cs="Times New Roman"/>
          <w:bCs/>
          <w:szCs w:val="21"/>
        </w:rPr>
        <w:t>STR分型图谱。将类器官的STR分型与对照样本的STR分型进行比对。所有检测位点均一致时，方可确认为来源于同一患者。</w:t>
      </w:r>
    </w:p>
    <w:p w14:paraId="4508CB57">
      <w:pPr>
        <w:widowControl/>
        <w:jc w:val="left"/>
        <w:rPr>
          <w:rFonts w:hint="eastAsia" w:ascii="宋体" w:hAnsi="宋体" w:eastAsia="宋体" w:cs="Times New Roman"/>
          <w:bCs/>
          <w:szCs w:val="21"/>
        </w:rPr>
      </w:pPr>
      <w:r>
        <w:rPr>
          <w:rFonts w:ascii="宋体" w:hAnsi="宋体" w:eastAsia="宋体" w:cs="Times New Roman"/>
          <w:bCs/>
          <w:szCs w:val="21"/>
        </w:rPr>
        <w:br w:type="page"/>
      </w:r>
    </w:p>
    <w:p w14:paraId="148C8F3D">
      <w:pPr>
        <w:jc w:val="center"/>
        <w:outlineLvl w:val="0"/>
        <w:rPr>
          <w:rFonts w:ascii="Times New Roman" w:hAnsi="Times New Roman" w:eastAsia="黑体" w:cs="Times New Roman"/>
          <w:bCs/>
          <w:szCs w:val="21"/>
        </w:rPr>
      </w:pPr>
      <w:bookmarkStart w:id="20" w:name="_Toc225449524"/>
      <w:r>
        <w:rPr>
          <w:rFonts w:hint="eastAsia" w:ascii="Times New Roman" w:hAnsi="Times New Roman" w:eastAsia="黑体" w:cs="Times New Roman"/>
          <w:bCs/>
          <w:szCs w:val="21"/>
        </w:rPr>
        <w:t>附</w:t>
      </w:r>
      <w:r>
        <w:rPr>
          <w:rFonts w:ascii="Times New Roman" w:hAnsi="Times New Roman" w:eastAsia="黑体" w:cs="Times New Roman"/>
          <w:bCs/>
          <w:szCs w:val="21"/>
        </w:rPr>
        <w:t xml:space="preserve"> 录 C</w:t>
      </w:r>
      <w:bookmarkEnd w:id="20"/>
    </w:p>
    <w:p w14:paraId="60444A47">
      <w:pPr>
        <w:jc w:val="center"/>
        <w:outlineLvl w:val="0"/>
        <w:rPr>
          <w:rFonts w:hint="eastAsia" w:ascii="Times New Roman" w:hAnsi="Times New Roman" w:eastAsia="黑体" w:cs="Times New Roman"/>
          <w:bCs/>
          <w:szCs w:val="21"/>
        </w:rPr>
      </w:pPr>
      <w:bookmarkStart w:id="21" w:name="_Toc225449525"/>
      <w:r>
        <w:rPr>
          <w:rFonts w:hint="eastAsia" w:ascii="Times New Roman" w:hAnsi="Times New Roman" w:eastAsia="黑体" w:cs="Times New Roman"/>
          <w:bCs/>
          <w:szCs w:val="21"/>
        </w:rPr>
        <w:t>（资料性）</w:t>
      </w:r>
      <w:bookmarkEnd w:id="21"/>
    </w:p>
    <w:p w14:paraId="08F040F9">
      <w:pPr>
        <w:jc w:val="center"/>
        <w:outlineLvl w:val="0"/>
        <w:rPr>
          <w:rFonts w:hint="eastAsia" w:ascii="Times New Roman" w:hAnsi="Times New Roman" w:eastAsia="黑体" w:cs="Times New Roman"/>
          <w:bCs/>
          <w:szCs w:val="21"/>
        </w:rPr>
      </w:pPr>
      <w:bookmarkStart w:id="22" w:name="_Toc225449526"/>
      <w:r>
        <w:rPr>
          <w:rFonts w:hint="eastAsia" w:ascii="Times New Roman" w:hAnsi="Times New Roman" w:eastAsia="黑体" w:cs="Times New Roman"/>
          <w:bCs/>
          <w:szCs w:val="21"/>
        </w:rPr>
        <w:t>类器官基因突变检测方法</w:t>
      </w:r>
      <w:bookmarkEnd w:id="22"/>
    </w:p>
    <w:p w14:paraId="333DA331">
      <w:pPr>
        <w:pStyle w:val="18"/>
        <w:spacing w:before="156" w:beforeLines="50" w:after="156" w:afterLines="50"/>
        <w:ind w:firstLine="0" w:firstLineChars="0"/>
        <w:rPr>
          <w:rFonts w:ascii="黑体" w:hAnsi="黑体" w:eastAsia="黑体" w:cs="黑体"/>
          <w:bCs/>
          <w:szCs w:val="21"/>
        </w:rPr>
      </w:pPr>
    </w:p>
    <w:p w14:paraId="0B514947">
      <w:pPr>
        <w:pStyle w:val="18"/>
        <w:spacing w:before="156" w:beforeLines="50" w:after="156" w:afterLines="50"/>
        <w:ind w:firstLine="0" w:firstLineChars="0"/>
        <w:rPr>
          <w:rFonts w:hint="eastAsia" w:ascii="Times New Roman" w:hAnsi="Times New Roman" w:eastAsia="黑体" w:cs="Times New Roman"/>
          <w:bCs/>
          <w:szCs w:val="21"/>
        </w:rPr>
      </w:pPr>
      <w:r>
        <w:rPr>
          <w:rFonts w:ascii="Times New Roman" w:hAnsi="Times New Roman" w:eastAsia="黑体" w:cs="Times New Roman"/>
          <w:bCs/>
          <w:szCs w:val="21"/>
        </w:rPr>
        <w:t>C.1 仪器和设备</w:t>
      </w:r>
    </w:p>
    <w:p w14:paraId="4874DFDD">
      <w:pPr>
        <w:ind w:firstLine="0" w:firstLineChars="0"/>
        <w:rPr>
          <w:rFonts w:hint="default" w:ascii="Times New Roman" w:hAnsi="Times New Roman" w:eastAsia="黑体" w:cs="Times New Roman"/>
          <w:bCs/>
          <w:szCs w:val="21"/>
        </w:rPr>
      </w:pPr>
      <w:r>
        <w:rPr>
          <w:rFonts w:ascii="Times New Roman" w:hAnsi="Times New Roman" w:eastAsia="黑体" w:cs="Times New Roman"/>
          <w:b w:val="0"/>
          <w:bCs/>
          <w:szCs w:val="21"/>
        </w:rPr>
        <w:t xml:space="preserve">C.1.1 </w:t>
      </w:r>
      <w:r>
        <w:rPr>
          <w:rFonts w:ascii="Times New Roman" w:hAnsi="Times New Roman" w:eastAsia="黑体" w:cs="Times New Roman"/>
          <w:bCs/>
          <w:szCs w:val="21"/>
        </w:rPr>
        <w:t>离心机。</w:t>
      </w:r>
    </w:p>
    <w:p w14:paraId="46BD0E88">
      <w:pPr>
        <w:ind w:firstLine="0" w:firstLineChars="0"/>
        <w:rPr>
          <w:rFonts w:hint="default" w:ascii="Times New Roman" w:hAnsi="Times New Roman" w:eastAsia="黑体" w:cs="Times New Roman"/>
          <w:bCs/>
          <w:szCs w:val="21"/>
        </w:rPr>
      </w:pPr>
      <w:r>
        <w:rPr>
          <w:rFonts w:ascii="Times New Roman" w:hAnsi="Times New Roman" w:eastAsia="黑体" w:cs="Times New Roman"/>
          <w:b w:val="0"/>
          <w:bCs/>
          <w:szCs w:val="21"/>
        </w:rPr>
        <w:t xml:space="preserve">C.1.2 </w:t>
      </w:r>
      <w:r>
        <w:rPr>
          <w:rFonts w:ascii="Times New Roman" w:hAnsi="Times New Roman" w:eastAsia="黑体" w:cs="Times New Roman"/>
          <w:bCs/>
          <w:szCs w:val="21"/>
        </w:rPr>
        <w:t>PCR仪。</w:t>
      </w:r>
    </w:p>
    <w:p w14:paraId="5DE34ACD">
      <w:pPr>
        <w:ind w:firstLine="0" w:firstLineChars="0"/>
        <w:rPr>
          <w:rFonts w:hint="default" w:ascii="Times New Roman" w:hAnsi="Times New Roman" w:eastAsia="黑体" w:cs="Times New Roman"/>
          <w:bCs/>
          <w:szCs w:val="21"/>
        </w:rPr>
      </w:pPr>
      <w:r>
        <w:rPr>
          <w:rFonts w:ascii="Times New Roman" w:hAnsi="Times New Roman" w:eastAsia="黑体" w:cs="Times New Roman"/>
          <w:b w:val="0"/>
          <w:bCs/>
          <w:szCs w:val="21"/>
        </w:rPr>
        <w:t xml:space="preserve">C.1.3 </w:t>
      </w:r>
      <w:r>
        <w:rPr>
          <w:rFonts w:ascii="Times New Roman" w:hAnsi="Times New Roman" w:eastAsia="黑体" w:cs="Times New Roman"/>
          <w:bCs/>
          <w:szCs w:val="21"/>
        </w:rPr>
        <w:t>测序仪（一代或二代）。</w:t>
      </w:r>
    </w:p>
    <w:p w14:paraId="2DA447BE">
      <w:pPr>
        <w:ind w:firstLine="0" w:firstLineChars="0"/>
        <w:rPr>
          <w:rFonts w:hint="default" w:ascii="Times New Roman" w:hAnsi="Times New Roman" w:eastAsia="黑体" w:cs="Times New Roman"/>
          <w:bCs/>
          <w:szCs w:val="21"/>
        </w:rPr>
      </w:pPr>
      <w:r>
        <w:rPr>
          <w:rFonts w:ascii="Times New Roman" w:hAnsi="Times New Roman" w:eastAsia="黑体" w:cs="Times New Roman"/>
          <w:b w:val="0"/>
          <w:bCs/>
          <w:szCs w:val="21"/>
        </w:rPr>
        <w:t xml:space="preserve">C.1.4 </w:t>
      </w:r>
      <w:r>
        <w:rPr>
          <w:rFonts w:ascii="Times New Roman" w:hAnsi="Times New Roman" w:eastAsia="黑体" w:cs="Times New Roman"/>
          <w:bCs/>
          <w:szCs w:val="21"/>
        </w:rPr>
        <w:t>微量紫外分光光度计。</w:t>
      </w:r>
    </w:p>
    <w:p w14:paraId="31F48245">
      <w:pPr>
        <w:pStyle w:val="18"/>
        <w:spacing w:before="156" w:beforeLines="50" w:after="156" w:afterLines="50"/>
        <w:ind w:firstLine="0" w:firstLineChars="0"/>
        <w:rPr>
          <w:rFonts w:hint="eastAsia" w:ascii="Times New Roman" w:hAnsi="Times New Roman" w:eastAsia="黑体" w:cs="Times New Roman"/>
          <w:bCs/>
          <w:szCs w:val="21"/>
        </w:rPr>
      </w:pPr>
      <w:r>
        <w:rPr>
          <w:rFonts w:ascii="Times New Roman" w:hAnsi="Times New Roman" w:eastAsia="黑体" w:cs="Times New Roman"/>
          <w:bCs/>
          <w:szCs w:val="21"/>
        </w:rPr>
        <w:t>C.2 试剂</w:t>
      </w:r>
    </w:p>
    <w:p w14:paraId="0C366045">
      <w:pPr>
        <w:ind w:firstLine="0" w:firstLineChars="0"/>
        <w:rPr>
          <w:rFonts w:hint="eastAsia" w:ascii="Times New Roman" w:hAnsi="Times New Roman" w:eastAsia="黑体" w:cs="Times New Roman"/>
          <w:bCs/>
          <w:szCs w:val="21"/>
        </w:rPr>
      </w:pPr>
      <w:r>
        <w:rPr>
          <w:rFonts w:ascii="Times New Roman" w:hAnsi="Times New Roman" w:eastAsia="黑体" w:cs="Times New Roman"/>
          <w:b w:val="0"/>
          <w:bCs/>
          <w:szCs w:val="21"/>
        </w:rPr>
        <w:t xml:space="preserve">C.2.1 </w:t>
      </w:r>
      <w:r>
        <w:rPr>
          <w:rFonts w:ascii="Times New Roman" w:hAnsi="Times New Roman" w:eastAsia="黑体" w:cs="Times New Roman"/>
          <w:bCs/>
          <w:szCs w:val="21"/>
        </w:rPr>
        <w:t>细胞/组织基因组DNA提取试剂盒。</w:t>
      </w:r>
    </w:p>
    <w:p w14:paraId="1D17EA52">
      <w:pPr>
        <w:ind w:firstLine="0" w:firstLineChars="0"/>
        <w:rPr>
          <w:rFonts w:hint="eastAsia" w:ascii="Times New Roman" w:hAnsi="Times New Roman" w:eastAsia="黑体" w:cs="Times New Roman"/>
          <w:bCs/>
          <w:szCs w:val="21"/>
        </w:rPr>
      </w:pPr>
      <w:r>
        <w:rPr>
          <w:rFonts w:ascii="Times New Roman" w:hAnsi="Times New Roman" w:eastAsia="黑体" w:cs="Times New Roman"/>
          <w:b w:val="0"/>
          <w:bCs/>
          <w:szCs w:val="21"/>
        </w:rPr>
        <w:t xml:space="preserve">C.2.2 </w:t>
      </w:r>
      <w:r>
        <w:rPr>
          <w:rFonts w:ascii="Times New Roman" w:hAnsi="Times New Roman" w:eastAsia="黑体" w:cs="Times New Roman"/>
          <w:bCs/>
          <w:szCs w:val="21"/>
        </w:rPr>
        <w:t>针对目标基因（如APC、KRAS、NRAS、BRAF、TP53、PIK3CA、SMAD4）的特异性引物。</w:t>
      </w:r>
    </w:p>
    <w:p w14:paraId="3985088E">
      <w:pPr>
        <w:ind w:firstLine="0" w:firstLineChars="0"/>
        <w:rPr>
          <w:rFonts w:hint="eastAsia" w:ascii="Times New Roman" w:hAnsi="Times New Roman" w:eastAsia="黑体" w:cs="Times New Roman"/>
          <w:bCs/>
          <w:szCs w:val="21"/>
        </w:rPr>
      </w:pPr>
      <w:r>
        <w:rPr>
          <w:rFonts w:ascii="Times New Roman" w:hAnsi="Times New Roman" w:eastAsia="黑体" w:cs="Times New Roman"/>
          <w:b w:val="0"/>
          <w:bCs/>
          <w:szCs w:val="21"/>
        </w:rPr>
        <w:t xml:space="preserve">C.2.3 </w:t>
      </w:r>
      <w:r>
        <w:rPr>
          <w:rFonts w:ascii="Times New Roman" w:hAnsi="Times New Roman" w:eastAsia="黑体" w:cs="Times New Roman"/>
          <w:bCs/>
          <w:szCs w:val="21"/>
        </w:rPr>
        <w:t>PCR扩增相关试剂（Taq酶、dNTPs、Mg2+等）。</w:t>
      </w:r>
    </w:p>
    <w:p w14:paraId="618D77B4">
      <w:pPr>
        <w:ind w:firstLine="0" w:firstLineChars="0"/>
        <w:rPr>
          <w:rFonts w:hint="eastAsia" w:ascii="Times New Roman" w:hAnsi="Times New Roman" w:eastAsia="黑体" w:cs="Times New Roman"/>
          <w:bCs/>
          <w:szCs w:val="21"/>
        </w:rPr>
      </w:pPr>
      <w:r>
        <w:rPr>
          <w:rFonts w:ascii="Times New Roman" w:hAnsi="Times New Roman" w:eastAsia="黑体" w:cs="Times New Roman"/>
          <w:b w:val="0"/>
          <w:bCs/>
          <w:szCs w:val="21"/>
        </w:rPr>
        <w:t xml:space="preserve">C.2.4 </w:t>
      </w:r>
      <w:r>
        <w:rPr>
          <w:rFonts w:ascii="Times New Roman" w:hAnsi="Times New Roman" w:eastAsia="黑体" w:cs="Times New Roman"/>
          <w:bCs/>
          <w:szCs w:val="21"/>
        </w:rPr>
        <w:t>PCR产物纯化试剂盒。</w:t>
      </w:r>
    </w:p>
    <w:p w14:paraId="390562F8">
      <w:pPr>
        <w:pStyle w:val="18"/>
        <w:spacing w:before="156" w:beforeLines="50" w:after="156" w:afterLines="50"/>
        <w:ind w:firstLine="0" w:firstLineChars="0"/>
        <w:rPr>
          <w:rFonts w:hint="eastAsia" w:ascii="Times New Roman" w:hAnsi="Times New Roman" w:eastAsia="黑体" w:cs="Times New Roman"/>
          <w:bCs/>
          <w:szCs w:val="21"/>
        </w:rPr>
      </w:pPr>
      <w:r>
        <w:rPr>
          <w:rFonts w:ascii="Times New Roman" w:hAnsi="Times New Roman" w:eastAsia="黑体" w:cs="Times New Roman"/>
          <w:bCs/>
          <w:szCs w:val="21"/>
        </w:rPr>
        <w:t>C.3 检测步骤</w:t>
      </w:r>
    </w:p>
    <w:p w14:paraId="58C332F7">
      <w:pPr>
        <w:rPr>
          <w:rFonts w:ascii="Times New Roman" w:hAnsi="Times New Roman" w:eastAsia="黑体" w:cs="Times New Roman"/>
          <w:bCs/>
          <w:szCs w:val="21"/>
        </w:rPr>
      </w:pPr>
      <w:r>
        <w:rPr>
          <w:rFonts w:ascii="Times New Roman" w:hAnsi="Times New Roman" w:eastAsia="黑体" w:cs="Times New Roman"/>
          <w:b w:val="0"/>
          <w:bCs/>
          <w:szCs w:val="21"/>
        </w:rPr>
        <w:t xml:space="preserve">C.3.1 </w:t>
      </w:r>
      <w:r>
        <w:rPr>
          <w:rFonts w:ascii="Times New Roman" w:hAnsi="Times New Roman" w:eastAsia="黑体" w:cs="Times New Roman"/>
          <w:bCs/>
          <w:szCs w:val="21"/>
        </w:rPr>
        <w:t>样品制备：</w:t>
      </w:r>
    </w:p>
    <w:p w14:paraId="4598490A">
      <w:pPr>
        <w:ind w:firstLine="420" w:firstLineChars="200"/>
        <w:rPr>
          <w:rFonts w:hint="default" w:ascii="Times New Roman" w:hAnsi="Times New Roman" w:eastAsia="宋体" w:cs="Times New Roman"/>
          <w:bCs/>
          <w:szCs w:val="21"/>
        </w:rPr>
      </w:pPr>
      <w:r>
        <w:rPr>
          <w:rFonts w:ascii="Times New Roman" w:hAnsi="Times New Roman" w:eastAsia="宋体" w:cs="Times New Roman"/>
          <w:bCs/>
          <w:szCs w:val="21"/>
        </w:rPr>
        <w:t>按照附录B.3.1和B.3.2的方法，分别提取类器官和来源肿瘤组织的基因组DNA。</w:t>
      </w:r>
    </w:p>
    <w:p w14:paraId="7E36DC72">
      <w:pPr>
        <w:ind w:firstLine="0" w:firstLineChars="0"/>
        <w:rPr>
          <w:rFonts w:hint="eastAsia" w:ascii="Times New Roman" w:hAnsi="Times New Roman" w:eastAsia="黑体" w:cs="Times New Roman"/>
          <w:bCs/>
          <w:szCs w:val="21"/>
        </w:rPr>
      </w:pPr>
      <w:r>
        <w:rPr>
          <w:rFonts w:ascii="Times New Roman" w:hAnsi="Times New Roman" w:eastAsia="黑体" w:cs="Times New Roman"/>
          <w:b w:val="0"/>
          <w:bCs/>
          <w:szCs w:val="21"/>
        </w:rPr>
        <w:t xml:space="preserve">C.3.2 </w:t>
      </w:r>
      <w:r>
        <w:rPr>
          <w:rFonts w:ascii="Times New Roman" w:hAnsi="Times New Roman" w:eastAsia="黑体" w:cs="Times New Roman"/>
          <w:bCs/>
          <w:szCs w:val="21"/>
        </w:rPr>
        <w:t>PCR扩增：</w:t>
      </w:r>
    </w:p>
    <w:p w14:paraId="19B3FD20">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a) 设计或合成针对目标基因外显子区域的引物。</w:t>
      </w:r>
    </w:p>
    <w:p w14:paraId="290263E8">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b) 以提取的DNA为模板，进行PCR扩增。</w:t>
      </w:r>
    </w:p>
    <w:p w14:paraId="5D925169">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c) 通过琼脂糖凝胶电泳确认PCR产物的大小和特异性。</w:t>
      </w:r>
    </w:p>
    <w:p w14:paraId="514A08C1">
      <w:pPr>
        <w:ind w:firstLine="0" w:firstLineChars="0"/>
        <w:rPr>
          <w:rFonts w:hint="eastAsia" w:ascii="Times New Roman" w:hAnsi="Times New Roman" w:eastAsia="黑体" w:cs="Times New Roman"/>
          <w:bCs/>
          <w:szCs w:val="21"/>
        </w:rPr>
      </w:pPr>
      <w:r>
        <w:rPr>
          <w:rFonts w:ascii="Times New Roman" w:hAnsi="Times New Roman" w:eastAsia="黑体" w:cs="Times New Roman"/>
          <w:b w:val="0"/>
          <w:bCs/>
          <w:szCs w:val="21"/>
        </w:rPr>
        <w:t xml:space="preserve">C.3.3 </w:t>
      </w:r>
      <w:r>
        <w:rPr>
          <w:rFonts w:ascii="Times New Roman" w:hAnsi="Times New Roman" w:eastAsia="黑体" w:cs="Times New Roman"/>
          <w:bCs/>
          <w:szCs w:val="21"/>
        </w:rPr>
        <w:t>测序与分析：</w:t>
      </w:r>
    </w:p>
    <w:p w14:paraId="203EA543">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a) 纯化PCR产物。</w:t>
      </w:r>
    </w:p>
    <w:p w14:paraId="1E56CA51">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b) Sanger测序：将纯化后的PCR产物送至测序公司，使用上下游引物进行双向测序。将获得的序列与参考序列比对，确定突变位点。</w:t>
      </w:r>
    </w:p>
    <w:p w14:paraId="029C4A24">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c) 二代测序：将类器官和对照样本的DNA进行文库构建，采用靶向测序或全外显子测序，通过生物信息学分析筛选基因突变。</w:t>
      </w:r>
    </w:p>
    <w:p w14:paraId="431BE81A">
      <w:pPr>
        <w:ind w:firstLine="420" w:firstLineChars="200"/>
        <w:rPr>
          <w:rFonts w:hint="eastAsia" w:ascii="Times New Roman" w:hAnsi="Times New Roman" w:eastAsia="宋体" w:cs="Times New Roman"/>
          <w:bCs/>
          <w:szCs w:val="21"/>
        </w:rPr>
      </w:pPr>
      <w:r>
        <w:rPr>
          <w:rFonts w:ascii="Times New Roman" w:hAnsi="Times New Roman" w:eastAsia="宋体" w:cs="Times New Roman"/>
          <w:bCs/>
          <w:szCs w:val="21"/>
        </w:rPr>
        <w:t>d) 也可采用经认证的商品化试剂盒，如ARMS-PCR法或ddPCR法，对特定热点突变进行检测。</w:t>
      </w:r>
    </w:p>
    <w:p w14:paraId="4D17AB74">
      <w:pPr>
        <w:pStyle w:val="18"/>
        <w:spacing w:before="156" w:beforeLines="50" w:after="156" w:afterLines="50"/>
        <w:ind w:firstLine="0" w:firstLineChars="0"/>
        <w:rPr>
          <w:rFonts w:hint="eastAsia" w:ascii="Times New Roman" w:hAnsi="Times New Roman" w:eastAsia="黑体" w:cs="Times New Roman"/>
          <w:bCs/>
          <w:szCs w:val="21"/>
        </w:rPr>
      </w:pPr>
      <w:r>
        <w:rPr>
          <w:rFonts w:ascii="Times New Roman" w:hAnsi="Times New Roman" w:eastAsia="黑体" w:cs="Times New Roman"/>
          <w:b/>
          <w:bCs/>
          <w:szCs w:val="21"/>
        </w:rPr>
        <w:t xml:space="preserve">C.4 </w:t>
      </w:r>
      <w:r>
        <w:rPr>
          <w:rFonts w:ascii="Times New Roman" w:hAnsi="Times New Roman" w:eastAsia="黑体" w:cs="Times New Roman"/>
          <w:bCs/>
          <w:szCs w:val="21"/>
        </w:rPr>
        <w:t>结果分析</w:t>
      </w:r>
    </w:p>
    <w:p w14:paraId="15D1B69D">
      <w:pPr>
        <w:widowControl w:val="0"/>
        <w:ind w:firstLine="420" w:firstLineChars="200"/>
        <w:jc w:val="both"/>
        <w:rPr>
          <w:rFonts w:hint="eastAsia" w:ascii="宋体" w:hAnsi="宋体" w:eastAsia="宋体" w:cs="Times New Roman"/>
          <w:bCs/>
          <w:szCs w:val="21"/>
        </w:rPr>
      </w:pPr>
      <w:r>
        <w:rPr>
          <w:rFonts w:hint="eastAsia" w:ascii="Times New Roman" w:hAnsi="Times New Roman" w:eastAsia="宋体" w:cs="Times New Roman"/>
          <w:bCs/>
          <w:szCs w:val="21"/>
        </w:rPr>
        <w:t>将类器官的基因突变检测结果与来源肿瘤组织的检测结果进行比对。主要驱动基因突变的位点与类型应保持一致。</w:t>
      </w:r>
    </w:p>
    <w:p w14:paraId="295771EA">
      <w:pPr>
        <w:widowControl/>
        <w:jc w:val="both"/>
        <w:rPr>
          <w:rFonts w:hint="eastAsia" w:ascii="宋体" w:hAnsi="宋体" w:eastAsia="宋体" w:cs="Times New Roman"/>
          <w:bCs/>
          <w:szCs w:val="21"/>
        </w:rPr>
      </w:pPr>
      <w:r>
        <w:rPr>
          <w:rFonts w:ascii="宋体" w:hAnsi="宋体" w:eastAsia="宋体" w:cs="Times New Roman"/>
          <w:bCs/>
          <w:szCs w:val="21"/>
        </w:rPr>
        <w:br w:type="page"/>
      </w:r>
    </w:p>
    <w:p w14:paraId="67BCFBA9">
      <w:pPr>
        <w:widowControl w:val="0"/>
        <w:spacing w:before="312" w:beforeLines="100" w:after="156" w:afterLines="50"/>
        <w:jc w:val="center"/>
        <w:outlineLvl w:val="0"/>
        <w:rPr>
          <w:rFonts w:hint="eastAsia" w:ascii="Times New Roman" w:hAnsi="Times New Roman" w:eastAsia="黑体" w:cs="Times New Roman"/>
          <w:bCs/>
          <w:szCs w:val="21"/>
        </w:rPr>
      </w:pPr>
      <w:bookmarkStart w:id="23" w:name="_Toc225449527"/>
      <w:bookmarkStart w:id="24" w:name="_Hlk224840313"/>
      <w:r>
        <w:rPr>
          <w:rFonts w:hint="eastAsia" w:ascii="Times New Roman" w:hAnsi="Times New Roman" w:eastAsia="黑体" w:cs="Times New Roman"/>
          <w:bCs/>
          <w:szCs w:val="21"/>
        </w:rPr>
        <w:t>参  考  文  献</w:t>
      </w:r>
      <w:bookmarkEnd w:id="23"/>
    </w:p>
    <w:p w14:paraId="7BBE9B80">
      <w:pPr>
        <w:spacing w:line="240" w:lineRule="auto"/>
        <w:rPr>
          <w:rFonts w:ascii="Times New Roman" w:hAnsi="Times New Roman" w:eastAsia="宋体" w:cs="Times New Roman"/>
          <w:bCs/>
          <w:sz w:val="21"/>
          <w:szCs w:val="21"/>
        </w:rPr>
      </w:pPr>
      <w:r>
        <w:rPr>
          <w:rFonts w:ascii="Times New Roman" w:hAnsi="Times New Roman" w:eastAsia="宋体" w:cs="Times New Roman"/>
          <w:bCs/>
          <w:sz w:val="21"/>
          <w:szCs w:val="21"/>
        </w:rPr>
        <w:t>[1] 国家卫生计生委. 涉及人的生物医学研究伦理审查办法. 2016.</w:t>
      </w:r>
    </w:p>
    <w:p w14:paraId="5A606A12">
      <w:pPr>
        <w:spacing w:line="240" w:lineRule="auto"/>
        <w:rPr>
          <w:rFonts w:ascii="Times New Roman" w:hAnsi="Times New Roman" w:eastAsia="宋体" w:cs="Times New Roman"/>
          <w:bCs/>
          <w:sz w:val="21"/>
          <w:szCs w:val="21"/>
        </w:rPr>
      </w:pPr>
      <w:r>
        <w:rPr>
          <w:rFonts w:ascii="Times New Roman" w:hAnsi="Times New Roman" w:eastAsia="宋体" w:cs="Times New Roman"/>
          <w:bCs/>
          <w:sz w:val="21"/>
          <w:szCs w:val="21"/>
        </w:rPr>
        <w:t>[2] 中国抗癌协会肿瘤多学科诊疗专业委员会, 中国抗癌协会肿瘤内分泌专业委员会. 肿瘤类器官诊治平台的质量控制指南(2025年版). 中国肿瘤临床.</w:t>
      </w:r>
    </w:p>
    <w:p w14:paraId="3FD21605">
      <w:pPr>
        <w:spacing w:line="240" w:lineRule="auto"/>
        <w:rPr>
          <w:rFonts w:ascii="Times New Roman" w:hAnsi="Times New Roman" w:eastAsia="宋体" w:cs="Times New Roman"/>
          <w:bCs/>
          <w:sz w:val="21"/>
          <w:szCs w:val="21"/>
        </w:rPr>
      </w:pPr>
      <w:r>
        <w:rPr>
          <w:rFonts w:ascii="Times New Roman" w:hAnsi="Times New Roman" w:eastAsia="宋体" w:cs="Times New Roman"/>
          <w:bCs/>
          <w:sz w:val="21"/>
          <w:szCs w:val="21"/>
        </w:rPr>
        <w:t>[3] 中华医学会病理学分会, 国家病理质控中心. 肿瘤类器官病理质量控制专家共识(2024版). 中华病理学杂志.</w:t>
      </w:r>
    </w:p>
    <w:p w14:paraId="79A3A3B7">
      <w:pPr>
        <w:spacing w:line="240" w:lineRule="auto"/>
        <w:rPr>
          <w:rFonts w:ascii="Times New Roman" w:hAnsi="Times New Roman" w:eastAsia="宋体" w:cs="Times New Roman"/>
          <w:bCs/>
          <w:sz w:val="21"/>
          <w:szCs w:val="21"/>
        </w:rPr>
      </w:pPr>
      <w:r>
        <w:rPr>
          <w:rFonts w:ascii="Times New Roman" w:hAnsi="Times New Roman" w:eastAsia="宋体" w:cs="Times New Roman"/>
          <w:bCs/>
          <w:sz w:val="21"/>
          <w:szCs w:val="21"/>
        </w:rPr>
        <w:t>[4] 国家卫生健康委. 中国结直肠癌诊疗规范(2020年版). 中国实用外科杂志, 2020, 40(6): 600-630.</w:t>
      </w:r>
    </w:p>
    <w:p w14:paraId="15CCA4E2">
      <w:pPr>
        <w:spacing w:line="240" w:lineRule="auto"/>
        <w:rPr>
          <w:rFonts w:ascii="Times New Roman" w:hAnsi="Times New Roman" w:eastAsia="宋体" w:cs="Times New Roman"/>
          <w:bCs/>
          <w:sz w:val="21"/>
          <w:szCs w:val="21"/>
        </w:rPr>
      </w:pPr>
      <w:r>
        <w:rPr>
          <w:rFonts w:ascii="Times New Roman" w:hAnsi="Times New Roman" w:eastAsia="宋体" w:cs="Times New Roman"/>
          <w:bCs/>
          <w:sz w:val="21"/>
          <w:szCs w:val="21"/>
        </w:rPr>
        <w:t>[5] Van de Wetering, M., et al. Prospective derivation of a living organoid biobank of colorectal cancer patients. Cell, 2015, 161(4): 933-945.</w:t>
      </w:r>
    </w:p>
    <w:p w14:paraId="66DE4040">
      <w:pPr>
        <w:spacing w:line="240" w:lineRule="auto"/>
        <w:rPr>
          <w:rFonts w:ascii="Times New Roman" w:hAnsi="Times New Roman" w:eastAsia="宋体" w:cs="Times New Roman"/>
          <w:bCs/>
          <w:sz w:val="21"/>
          <w:szCs w:val="21"/>
        </w:rPr>
      </w:pPr>
      <w:r>
        <w:rPr>
          <w:rFonts w:ascii="Times New Roman" w:hAnsi="Times New Roman" w:eastAsia="宋体" w:cs="Times New Roman"/>
          <w:bCs/>
          <w:sz w:val="21"/>
          <w:szCs w:val="21"/>
        </w:rPr>
        <w:t>[6] Driehuis, E., et al. Establishment of patient-derived cancer organoids for drug-screening applications. Nature Protocols, 2020, 15(10): 3380-3409.</w:t>
      </w:r>
    </w:p>
    <w:p w14:paraId="13ADB392">
      <w:pPr>
        <w:spacing w:line="240" w:lineRule="auto"/>
        <w:rPr>
          <w:rFonts w:hint="eastAsia" w:ascii="宋体" w:hAnsi="宋体" w:eastAsia="宋体" w:cs="Times New Roman"/>
          <w:bCs/>
          <w:sz w:val="24"/>
          <w:szCs w:val="24"/>
        </w:rPr>
      </w:pPr>
      <w:r>
        <w:rPr>
          <w:rFonts w:ascii="Times New Roman" w:hAnsi="Times New Roman" w:eastAsia="宋体" w:cs="Times New Roman"/>
          <w:bCs/>
          <w:sz w:val="21"/>
          <w:szCs w:val="21"/>
        </w:rPr>
        <w:t>[7] Yao, Y., et al. Patient-derived organoids predict chemoradiation responses of locally advanced rectal cancer. Cell Stem Cell, 2020, 26(1): 17-26.</w:t>
      </w:r>
      <w:bookmarkEnd w:id="24"/>
      <w:r>
        <w:rPr>
          <w:rFonts w:hint="eastAsia" w:ascii="宋体" w:hAnsi="宋体"/>
          <w:bCs/>
          <w:sz w:val="24"/>
        </w:rPr>
        <mc:AlternateContent>
          <mc:Choice Requires="wps">
            <w:drawing>
              <wp:anchor distT="0" distB="0" distL="114300" distR="114300" simplePos="0" relativeHeight="251665408" behindDoc="0" locked="0" layoutInCell="1" allowOverlap="1">
                <wp:simplePos x="0" y="0"/>
                <wp:positionH relativeFrom="column">
                  <wp:posOffset>1884680</wp:posOffset>
                </wp:positionH>
                <wp:positionV relativeFrom="page">
                  <wp:posOffset>4681855</wp:posOffset>
                </wp:positionV>
                <wp:extent cx="1371600" cy="2540"/>
                <wp:effectExtent l="0" t="0" r="0" b="0"/>
                <wp:wrapNone/>
                <wp:docPr id="20" name="直接连接符 20"/>
                <wp:cNvGraphicFramePr/>
                <a:graphic xmlns:a="http://schemas.openxmlformats.org/drawingml/2006/main">
                  <a:graphicData uri="http://schemas.microsoft.com/office/word/2010/wordprocessingShape">
                    <wps:wsp>
                      <wps:cNvCnPr/>
                      <wps:spPr>
                        <a:xfrm>
                          <a:off x="0" y="0"/>
                          <a:ext cx="1371600" cy="254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148.4pt;margin-top:368.65pt;height:0.2pt;width:108pt;mso-position-vertical-relative:page;z-index:251665408;mso-width-relative:page;mso-height-relative:page;" filled="f" stroked="t" coordsize="21600,21600" o:gfxdata="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eGyfKNgA&#10;AAALAQAADwAAAAAAAAABACAAAAAiAAAAZHJzL2Rvd25yZXYueG1sUEsBAhQAFAAAAAgAh07iQIOG&#10;8jHmAQAAtgMAAA4AAAAAAAAAAQAgAAAAJwEAAGRycy9lMm9Eb2MueG1sUEsFBgAAAAAGAAYAWQEA&#10;AH8FAAAAAA==&#10;">
                <v:fill on="f" focussize="0,0"/>
                <v:stroke weight="0.5pt" color="#000000 [3200]" miterlimit="8" joinstyle="miter"/>
                <v:imagedata o:title=""/>
                <o:lock v:ext="edit" aspectratio="f"/>
              </v:line>
            </w:pict>
          </mc:Fallback>
        </mc:AlternateContent>
      </w:r>
    </w:p>
    <w:sectPr>
      <w:footerReference r:id="rId14" w:type="default"/>
      <w:headerReference r:id="rId13" w:type="even"/>
      <w:footerReference r:id="rId15" w:type="even"/>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Heiti SC Medium">
    <w:altName w:val="宋体"/>
    <w:panose1 w:val="00000000000000000000"/>
    <w:charset w:val="86"/>
    <w:family w:val="auto"/>
    <w:pitch w:val="default"/>
    <w:sig w:usb0="00000000" w:usb1="00000000" w:usb2="00000000" w:usb3="00000000" w:csb0="203E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133809">
    <w:pPr>
      <w:pStyle w:val="6"/>
      <w:jc w:val="right"/>
      <w:rPr>
        <w:rFonts w:hint="eastAsia"/>
      </w:rPr>
    </w:pPr>
    <w: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741628442"/>
                          </w:sdtPr>
                          <w:sdtContent>
                            <w:p w14:paraId="0F785E0F">
                              <w:pPr>
                                <w:pStyle w:val="6"/>
                                <w:jc w:val="right"/>
                                <w:rPr>
                                  <w:rFonts w:hint="eastAsia"/>
                                </w:rPr>
                              </w:pPr>
                              <w:r>
                                <w:fldChar w:fldCharType="begin"/>
                              </w:r>
                              <w:r>
                                <w:instrText xml:space="preserve">PAGE   \* MERGEFORMAT</w:instrText>
                              </w:r>
                              <w:r>
                                <w:fldChar w:fldCharType="separate"/>
                              </w:r>
                              <w:r>
                                <w:rPr>
                                  <w:lang w:val="zh-CN"/>
                                </w:rPr>
                                <w:t>15</w:t>
                              </w:r>
                              <w:r>
                                <w:fldChar w:fldCharType="end"/>
                              </w:r>
                            </w:p>
                          </w:sdtContent>
                        </w:sdt>
                        <w:p w14:paraId="17BD13D5">
                          <w:pPr>
                            <w:rPr>
                              <w:rFonts w:hint="eastAsia"/>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sdt>
                    <w:sdtPr>
                      <w:id w:val="-1741628442"/>
                    </w:sdtPr>
                    <w:sdtContent>
                      <w:p w14:paraId="0F785E0F">
                        <w:pPr>
                          <w:pStyle w:val="6"/>
                          <w:jc w:val="right"/>
                          <w:rPr>
                            <w:rFonts w:hint="eastAsia"/>
                          </w:rPr>
                        </w:pPr>
                        <w:r>
                          <w:fldChar w:fldCharType="begin"/>
                        </w:r>
                        <w:r>
                          <w:instrText xml:space="preserve">PAGE   \* MERGEFORMAT</w:instrText>
                        </w:r>
                        <w:r>
                          <w:fldChar w:fldCharType="separate"/>
                        </w:r>
                        <w:r>
                          <w:rPr>
                            <w:lang w:val="zh-CN"/>
                          </w:rPr>
                          <w:t>15</w:t>
                        </w:r>
                        <w:r>
                          <w:fldChar w:fldCharType="end"/>
                        </w:r>
                      </w:p>
                    </w:sdtContent>
                  </w:sdt>
                  <w:p w14:paraId="17BD13D5">
                    <w:pPr>
                      <w:rPr>
                        <w:rFonts w:hint="eastAsia"/>
                      </w:rPr>
                    </w:pPr>
                  </w:p>
                </w:txbxContent>
              </v:textbox>
            </v:shape>
          </w:pict>
        </mc:Fallback>
      </mc:AlternateContent>
    </w:r>
  </w:p>
  <w:p w14:paraId="415961F9">
    <w:pPr>
      <w:pStyle w:val="6"/>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F946FA">
    <w:pPr>
      <w:pStyle w:val="6"/>
      <w:rPr>
        <w:rFonts w:hint="eastAsia"/>
      </w:rPr>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023CE19">
                          <w:pPr>
                            <w:pStyle w:val="6"/>
                            <w:rPr>
                              <w:rFonts w:hint="eastAsia"/>
                            </w:rPr>
                          </w:pPr>
                          <w:r>
                            <w:fldChar w:fldCharType="begin"/>
                          </w:r>
                          <w:r>
                            <w:instrText xml:space="preserve"> PAGE  \* MERGEFORMAT </w:instrText>
                          </w:r>
                          <w:r>
                            <w:fldChar w:fldCharType="separate"/>
                          </w:r>
                          <w:r>
                            <w:t>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2023CE19">
                    <w:pPr>
                      <w:pStyle w:val="6"/>
                      <w:rPr>
                        <w:rFonts w:hint="eastAsia"/>
                      </w:rPr>
                    </w:pPr>
                    <w:r>
                      <w:fldChar w:fldCharType="begin"/>
                    </w:r>
                    <w:r>
                      <w:instrText xml:space="preserve"> PAGE  \* MERGEFORMAT </w:instrText>
                    </w:r>
                    <w:r>
                      <w:fldChar w:fldCharType="separate"/>
                    </w:r>
                    <w:r>
                      <w:t>0</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B95BE3">
    <w:pPr>
      <w:pStyle w:val="6"/>
      <w:rPr>
        <w:rFonts w:hint="eastAsia"/>
      </w:rPr>
    </w:pPr>
    <w: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F28FCE3">
                          <w:pPr>
                            <w:pStyle w:val="6"/>
                            <w:rPr>
                              <w:rFonts w:hint="eastAsia"/>
                            </w:rPr>
                          </w:pPr>
                          <w:r>
                            <w:fldChar w:fldCharType="begin"/>
                          </w:r>
                          <w:r>
                            <w:instrText xml:space="preserve"> PAGE  \* MERGEFORMAT </w:instrText>
                          </w:r>
                          <w:r>
                            <w:fldChar w:fldCharType="separate"/>
                          </w:r>
                          <w:r>
                            <w:t>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3F28FCE3">
                    <w:pPr>
                      <w:pStyle w:val="6"/>
                      <w:rPr>
                        <w:rFonts w:hint="eastAsia"/>
                      </w:rPr>
                    </w:pPr>
                    <w:r>
                      <w:fldChar w:fldCharType="begin"/>
                    </w:r>
                    <w:r>
                      <w:instrText xml:space="preserve"> PAGE  \* MERGEFORMAT </w:instrText>
                    </w:r>
                    <w:r>
                      <w:fldChar w:fldCharType="separate"/>
                    </w:r>
                    <w:r>
                      <w:t>0</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8AEEF4">
    <w:pPr>
      <w:pStyle w:val="6"/>
      <w:rPr>
        <w:rFonts w:hint="eastAsia"/>
      </w:rPr>
    </w:pPr>
    <w: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3D2F765">
                          <w:pPr>
                            <w:pStyle w:val="6"/>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03D2F765">
                    <w:pPr>
                      <w:pStyle w:val="6"/>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3FEC22">
    <w:pPr>
      <w:pStyle w:val="6"/>
      <w:jc w:val="right"/>
      <w:rPr>
        <w:rFonts w:hint="eastAsia"/>
      </w:rPr>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B75F39">
                          <w:pPr>
                            <w:pStyle w:val="6"/>
                            <w:rPr>
                              <w:rFonts w:ascii="Times New Roman" w:hAnsi="Times New Roman" w:eastAsia="宋体" w:cs="Times New Roman"/>
                            </w:rPr>
                          </w:pPr>
                          <w:r>
                            <w:rPr>
                              <w:rFonts w:ascii="Times New Roman" w:hAnsi="Times New Roman" w:eastAsia="宋体" w:cs="Times New Roman"/>
                            </w:rPr>
                            <w:fldChar w:fldCharType="begin"/>
                          </w:r>
                          <w:r>
                            <w:rPr>
                              <w:rFonts w:ascii="Times New Roman" w:hAnsi="Times New Roman" w:eastAsia="宋体" w:cs="Times New Roman"/>
                            </w:rPr>
                            <w:instrText xml:space="preserve"> PAGE  \* MERGEFORMAT </w:instrText>
                          </w:r>
                          <w:r>
                            <w:rPr>
                              <w:rFonts w:ascii="Times New Roman" w:hAnsi="Times New Roman" w:eastAsia="宋体" w:cs="Times New Roman"/>
                            </w:rPr>
                            <w:fldChar w:fldCharType="separate"/>
                          </w:r>
                          <w:r>
                            <w:rPr>
                              <w:rFonts w:ascii="Times New Roman" w:hAnsi="Times New Roman" w:eastAsia="宋体" w:cs="Times New Roman"/>
                            </w:rPr>
                            <w:t>I</w:t>
                          </w:r>
                          <w:r>
                            <w:rPr>
                              <w:rFonts w:ascii="Times New Roman" w:hAnsi="Times New Roman" w:eastAsia="宋体" w:cs="Times New Roma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4DB75F39">
                    <w:pPr>
                      <w:pStyle w:val="6"/>
                      <w:rPr>
                        <w:rFonts w:ascii="Times New Roman" w:hAnsi="Times New Roman" w:eastAsia="宋体" w:cs="Times New Roman"/>
                      </w:rPr>
                    </w:pPr>
                    <w:r>
                      <w:rPr>
                        <w:rFonts w:ascii="Times New Roman" w:hAnsi="Times New Roman" w:eastAsia="宋体" w:cs="Times New Roman"/>
                      </w:rPr>
                      <w:fldChar w:fldCharType="begin"/>
                    </w:r>
                    <w:r>
                      <w:rPr>
                        <w:rFonts w:ascii="Times New Roman" w:hAnsi="Times New Roman" w:eastAsia="宋体" w:cs="Times New Roman"/>
                      </w:rPr>
                      <w:instrText xml:space="preserve"> PAGE  \* MERGEFORMAT </w:instrText>
                    </w:r>
                    <w:r>
                      <w:rPr>
                        <w:rFonts w:ascii="Times New Roman" w:hAnsi="Times New Roman" w:eastAsia="宋体" w:cs="Times New Roman"/>
                      </w:rPr>
                      <w:fldChar w:fldCharType="separate"/>
                    </w:r>
                    <w:r>
                      <w:rPr>
                        <w:rFonts w:ascii="Times New Roman" w:hAnsi="Times New Roman" w:eastAsia="宋体" w:cs="Times New Roman"/>
                      </w:rPr>
                      <w:t>I</w:t>
                    </w:r>
                    <w:r>
                      <w:rPr>
                        <w:rFonts w:ascii="Times New Roman" w:hAnsi="Times New Roman" w:eastAsia="宋体" w:cs="Times New Roman"/>
                      </w:rPr>
                      <w:fldChar w:fldCharType="end"/>
                    </w:r>
                  </w:p>
                </w:txbxContent>
              </v:textbox>
            </v:shape>
          </w:pict>
        </mc:Fallback>
      </mc:AlternateContent>
    </w:r>
  </w:p>
  <w:p w14:paraId="4C52B323">
    <w:pPr>
      <w:pStyle w:val="6"/>
      <w:rPr>
        <w:rFonts w:hint="eastAsia"/>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D26FCE">
    <w:pPr>
      <w:pStyle w:val="6"/>
      <w:rPr>
        <w:rFonts w:hint="eastAsia"/>
      </w:rPr>
    </w:pPr>
    <w: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EFD6A0">
                          <w:pPr>
                            <w:pStyle w:val="6"/>
                            <w:rPr>
                              <w:rFonts w:hint="eastAsia"/>
                            </w:rPr>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65EFD6A0">
                    <w:pPr>
                      <w:pStyle w:val="6"/>
                      <w:rPr>
                        <w:rFonts w:hint="eastAsia"/>
                      </w:rPr>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0FCB22">
    <w:pPr>
      <w:pStyle w:val="6"/>
      <w:rPr>
        <w:rFonts w:hint="eastAsia"/>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70320E">
    <w:pPr>
      <w:pStyle w:val="6"/>
      <w:jc w:val="right"/>
      <w:rPr>
        <w:rFonts w:hint="eastAsia"/>
      </w:rPr>
    </w:pPr>
    <w:r>
      <mc:AlternateContent>
        <mc:Choice Requires="wps">
          <w:drawing>
            <wp:anchor distT="0" distB="0" distL="114300" distR="114300" simplePos="0" relativeHeight="251666432"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48D52C1">
                          <w:pPr>
                            <w:pStyle w:val="6"/>
                            <w:rPr>
                              <w:rFonts w:hint="eastAsia"/>
                            </w:rPr>
                          </w:pPr>
                          <w:r>
                            <w:fldChar w:fldCharType="begin"/>
                          </w:r>
                          <w:r>
                            <w:instrText xml:space="preserve"> PAGE  \* MERGEFORMAT </w:instrText>
                          </w:r>
                          <w:r>
                            <w:fldChar w:fldCharType="separate"/>
                          </w:r>
                          <w:r>
                            <w:t>III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348D52C1">
                    <w:pPr>
                      <w:pStyle w:val="6"/>
                      <w:rPr>
                        <w:rFonts w:hint="eastAsia"/>
                      </w:rPr>
                    </w:pPr>
                    <w:r>
                      <w:fldChar w:fldCharType="begin"/>
                    </w:r>
                    <w:r>
                      <w:instrText xml:space="preserve"> PAGE  \* MERGEFORMAT </w:instrText>
                    </w:r>
                    <w:r>
                      <w:fldChar w:fldCharType="separate"/>
                    </w:r>
                    <w:r>
                      <w:t>III</w:t>
                    </w:r>
                    <w:r>
                      <w:fldChar w:fldCharType="end"/>
                    </w:r>
                  </w:p>
                </w:txbxContent>
              </v:textbox>
            </v:shape>
          </w:pict>
        </mc:Fallback>
      </mc:AlternateContent>
    </w:r>
    <w:r>
      <mc:AlternateContent>
        <mc:Choice Requires="wps">
          <w:drawing>
            <wp:anchor distT="0" distB="0" distL="114300" distR="114300" simplePos="0" relativeHeight="251664384" behindDoc="0" locked="0" layoutInCell="1" allowOverlap="1">
              <wp:simplePos x="0" y="0"/>
              <wp:positionH relativeFrom="margin">
                <wp:align>inside</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0CF5F5">
                          <w:pPr>
                            <w:rPr>
                              <w:rFonts w:hint="eastAsia"/>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730CF5F5">
                    <w:pPr>
                      <w:rPr>
                        <w:rFonts w:hint="eastAsia"/>
                      </w:rPr>
                    </w:pP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042B59">
    <w:pPr>
      <w:pStyle w:val="6"/>
      <w:tabs>
        <w:tab w:val="clear" w:pos="4153"/>
      </w:tabs>
      <w:rPr>
        <w:rFonts w:hint="eastAsia"/>
      </w:rPr>
    </w:pPr>
    <w:r>
      <mc:AlternateContent>
        <mc:Choice Requires="wps">
          <w:drawing>
            <wp:anchor distT="0" distB="0" distL="114300" distR="114300" simplePos="0" relativeHeight="251667456" behindDoc="0" locked="0" layoutInCell="1" allowOverlap="1">
              <wp:simplePos x="0" y="0"/>
              <wp:positionH relativeFrom="margin">
                <wp:align>outside</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A11A5B">
                          <w:pPr>
                            <w:pStyle w:val="6"/>
                            <w:rPr>
                              <w:rFonts w:hint="eastAsia"/>
                            </w:rPr>
                          </w:pPr>
                          <w:r>
                            <w:fldChar w:fldCharType="begin"/>
                          </w:r>
                          <w:r>
                            <w:instrText xml:space="preserve"> PAGE  \* MERGEFORMAT </w:instrText>
                          </w:r>
                          <w:r>
                            <w:fldChar w:fldCharType="separate"/>
                          </w:r>
                          <w:r>
                            <w:t>II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0BA11A5B">
                    <w:pPr>
                      <w:pStyle w:val="6"/>
                      <w:rPr>
                        <w:rFonts w:hint="eastAsia"/>
                      </w:rPr>
                    </w:pPr>
                    <w:r>
                      <w:fldChar w:fldCharType="begin"/>
                    </w:r>
                    <w:r>
                      <w:instrText xml:space="preserve"> PAGE  \* MERGEFORMAT </w:instrText>
                    </w:r>
                    <w:r>
                      <w:fldChar w:fldCharType="separate"/>
                    </w:r>
                    <w:r>
                      <w:t>II</w:t>
                    </w:r>
                    <w:r>
                      <w:fldChar w:fldCharType="end"/>
                    </w:r>
                  </w:p>
                </w:txbxContent>
              </v:textbox>
            </v:shape>
          </w:pict>
        </mc:Fallback>
      </mc:AlternateContent>
    </w:r>
    <w:r>
      <w:rPr>
        <w:rFonts w:hint="eastAsia" w:eastAsia="宋体"/>
      </w:rPr>
      <w:tab/>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5AFA68">
    <w:pPr>
      <w:pStyle w:val="7"/>
      <w:pBdr>
        <w:bottom w:val="none" w:color="auto" w:sz="0" w:space="1"/>
      </w:pBdr>
      <w:jc w:val="right"/>
      <w:rPr>
        <w:rFonts w:ascii="Times New Roman" w:hAnsi="Times New Roman" w:eastAsia="宋体" w:cs="Times New Roman"/>
      </w:rPr>
    </w:pPr>
    <w:r>
      <w:rPr>
        <w:rFonts w:ascii="Times New Roman" w:hAnsi="Times New Roman" w:eastAsia="宋体" w:cs="Times New Roman"/>
      </w:rPr>
      <w:t xml:space="preserve">T/CRHA </w:t>
    </w:r>
    <w:r>
      <w:rPr>
        <w:rFonts w:hint="eastAsia" w:ascii="Times New Roman" w:hAnsi="Times New Roman" w:eastAsia="宋体" w:cs="Times New Roman"/>
      </w:rPr>
      <w:t>142—</w:t>
    </w:r>
    <w:r>
      <w:rPr>
        <w:rFonts w:ascii="Times New Roman" w:hAnsi="Times New Roman" w:eastAsia="宋体" w:cs="Times New Roman"/>
      </w:rPr>
      <w:t>202</w:t>
    </w:r>
    <w:r>
      <w:rPr>
        <w:rFonts w:hint="eastAsia" w:ascii="Times New Roman" w:hAnsi="Times New Roman" w:eastAsia="宋体" w:cs="Times New Roman"/>
      </w:rPr>
      <w:t>5</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C80348">
    <w:pPr>
      <w:pStyle w:val="7"/>
      <w:pBdr>
        <w:bottom w:val="none" w:color="auto" w:sz="0" w:space="1"/>
      </w:pBdr>
      <w:jc w:val="left"/>
      <w:rPr>
        <w:rFonts w:ascii="Times New Roman" w:hAnsi="Times New Roman" w:eastAsia="宋体" w:cs="Times New Roman"/>
      </w:rPr>
    </w:pPr>
    <w:r>
      <w:rPr>
        <w:rFonts w:ascii="Times New Roman" w:hAnsi="Times New Roman" w:eastAsia="宋体" w:cs="Times New Roman"/>
        <w:b/>
        <w:bCs/>
        <w:sz w:val="21"/>
        <w:szCs w:val="21"/>
      </w:rPr>
      <w:t>T/CRHA</w:t>
    </w:r>
    <w:r>
      <w:rPr>
        <w:rFonts w:ascii="Times New Roman" w:hAnsi="Times New Roman" w:eastAsia="宋体" w:cs="Times New Roman"/>
      </w:rPr>
      <w:t xml:space="preserve"> </w:t>
    </w:r>
    <w:r>
      <w:rPr>
        <w:rFonts w:hint="eastAsia" w:ascii="黑体" w:hAnsi="黑体" w:eastAsia="黑体" w:cs="黑体"/>
        <w:sz w:val="21"/>
        <w:szCs w:val="21"/>
      </w:rPr>
      <w:t>142—2025</w:t>
    </w:r>
  </w:p>
  <w:p w14:paraId="7132A437">
    <w:pPr>
      <w:pStyle w:val="7"/>
      <w:pBdr>
        <w:bottom w:val="none" w:color="auto" w:sz="0" w:space="1"/>
      </w:pBdr>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AA08EC">
    <w:pPr>
      <w:pStyle w:val="7"/>
      <w:pBdr>
        <w:bottom w:val="none" w:color="auto" w:sz="0" w:space="1"/>
      </w:pBdr>
      <w:jc w:val="right"/>
      <w:rPr>
        <w:rFonts w:ascii="Times New Roman" w:hAnsi="Times New Roman" w:eastAsia="宋体" w:cs="Times New Roman"/>
      </w:rPr>
    </w:pPr>
    <w:r>
      <w:rPr>
        <w:rFonts w:ascii="Times New Roman" w:hAnsi="Times New Roman" w:eastAsia="宋体" w:cs="Times New Roman"/>
        <w:b/>
        <w:bCs/>
        <w:sz w:val="21"/>
        <w:szCs w:val="21"/>
      </w:rPr>
      <w:t>T/CRHA</w:t>
    </w:r>
    <w:r>
      <w:rPr>
        <w:rFonts w:ascii="Times New Roman" w:hAnsi="Times New Roman" w:eastAsia="宋体" w:cs="Times New Roman"/>
      </w:rPr>
      <w:t xml:space="preserve"> </w:t>
    </w:r>
    <w:r>
      <w:rPr>
        <w:rFonts w:hint="eastAsia" w:ascii="黑体" w:hAnsi="黑体" w:eastAsia="黑体" w:cs="黑体"/>
        <w:sz w:val="21"/>
        <w:szCs w:val="21"/>
      </w:rPr>
      <w:t>142—2025</w:t>
    </w:r>
  </w:p>
  <w:p w14:paraId="462537B3">
    <w:pPr>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01C20E">
    <w:pPr>
      <w:pStyle w:val="7"/>
      <w:pBdr>
        <w:bottom w:val="none" w:color="auto" w:sz="0" w:space="1"/>
      </w:pBdr>
      <w:jc w:val="left"/>
      <w:rPr>
        <w:rFonts w:ascii="Times New Roman" w:hAnsi="Times New Roman" w:eastAsia="宋体" w:cs="Times New Roman"/>
      </w:rPr>
    </w:pPr>
    <w:r>
      <w:rPr>
        <w:rFonts w:ascii="Times New Roman" w:hAnsi="Times New Roman" w:eastAsia="宋体" w:cs="Times New Roman"/>
      </w:rPr>
      <w:t>T/CRHA 142</w:t>
    </w:r>
    <w:r>
      <w:rPr>
        <w:rFonts w:hint="eastAsia" w:ascii="Times New Roman" w:hAnsi="Times New Roman" w:eastAsia="宋体" w:cs="Times New Roman"/>
      </w:rPr>
      <w:t>—</w:t>
    </w:r>
    <w:r>
      <w:rPr>
        <w:rFonts w:ascii="Times New Roman" w:hAnsi="Times New Roman" w:eastAsia="宋体" w:cs="Times New Roman"/>
      </w:rPr>
      <w:t>2025</w:t>
    </w:r>
  </w:p>
  <w:p w14:paraId="3E7E7432">
    <w:pPr>
      <w:pStyle w:val="7"/>
      <w:pBdr>
        <w:bottom w:val="none" w:color="auto" w:sz="0" w:space="1"/>
      </w:pBdr>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EFAAF5E"/>
    <w:multiLevelType w:val="multilevel"/>
    <w:tmpl w:val="FEFAAF5E"/>
    <w:lvl w:ilvl="0" w:tentative="0">
      <w:start w:val="1"/>
      <w:numFmt w:val="decimal"/>
      <w:lvlText w:val="%1"/>
      <w:lvlJc w:val="left"/>
      <w:pPr>
        <w:ind w:left="0" w:firstLine="0"/>
      </w:pPr>
      <w:rPr>
        <w:rFonts w:hint="default" w:ascii="黑体" w:hAnsi="黑体" w:eastAsia="黑体" w:cs="Heiti SC Medium"/>
        <w:i w:val="0"/>
        <w:szCs w:val="21"/>
      </w:rPr>
    </w:lvl>
    <w:lvl w:ilvl="1" w:tentative="0">
      <w:start w:val="1"/>
      <w:numFmt w:val="decimal"/>
      <w:lvlText w:val="%1.%2"/>
      <w:lvlJc w:val="left"/>
      <w:pPr>
        <w:ind w:left="0" w:firstLine="0"/>
      </w:pPr>
      <w:rPr>
        <w:rFonts w:hint="default" w:ascii="黑体" w:hAnsi="黑体" w:eastAsia="黑体" w:cs="黑体"/>
        <w:b w:val="0"/>
        <w:bCs w:val="0"/>
        <w:szCs w:val="21"/>
      </w:rPr>
    </w:lvl>
    <w:lvl w:ilvl="2" w:tentative="0">
      <w:start w:val="1"/>
      <w:numFmt w:val="decimal"/>
      <w:lvlText w:val="%1.%2.%3"/>
      <w:lvlJc w:val="left"/>
      <w:pPr>
        <w:ind w:left="0" w:firstLine="0"/>
      </w:pPr>
      <w:rPr>
        <w:rFonts w:hint="default" w:ascii="黑体" w:hAnsi="黑体" w:eastAsia="黑体" w:cs="黑体"/>
        <w:b w:val="0"/>
        <w:bCs w:val="0"/>
      </w:rPr>
    </w:lvl>
    <w:lvl w:ilvl="3" w:tentative="0">
      <w:start w:val="1"/>
      <w:numFmt w:val="decimal"/>
      <w:lvlText w:val="%1.%2.%3.%4"/>
      <w:lvlJc w:val="left"/>
      <w:pPr>
        <w:ind w:left="284" w:hanging="284"/>
      </w:pPr>
      <w:rPr>
        <w:rFonts w:hint="default" w:ascii="黑体" w:hAnsi="黑体" w:eastAsia="黑体" w:cs="黑体"/>
      </w:rPr>
    </w:lvl>
    <w:lvl w:ilvl="4" w:tentative="0">
      <w:start w:val="1"/>
      <w:numFmt w:val="decimal"/>
      <w:lvlText w:val="%1.%2.%3.%4.%5."/>
      <w:lvlJc w:val="left"/>
      <w:pPr>
        <w:ind w:left="0" w:firstLine="0"/>
      </w:pPr>
      <w:rPr>
        <w:rFonts w:hint="eastAsia"/>
      </w:rPr>
    </w:lvl>
    <w:lvl w:ilvl="5" w:tentative="0">
      <w:start w:val="1"/>
      <w:numFmt w:val="decimal"/>
      <w:lvlText w:val="%1.%2.%3.%4.%5.%6."/>
      <w:lvlJc w:val="left"/>
      <w:pPr>
        <w:ind w:left="0" w:firstLine="0"/>
      </w:pPr>
      <w:rPr>
        <w:rFonts w:hint="eastAsia"/>
      </w:rPr>
    </w:lvl>
    <w:lvl w:ilvl="6" w:tentative="0">
      <w:start w:val="1"/>
      <w:numFmt w:val="decimal"/>
      <w:lvlText w:val="%1.%2.%3.%4.%5.%6.%7."/>
      <w:lvlJc w:val="left"/>
      <w:pPr>
        <w:ind w:left="284" w:hanging="284"/>
      </w:pPr>
      <w:rPr>
        <w:rFonts w:hint="eastAsia"/>
      </w:rPr>
    </w:lvl>
    <w:lvl w:ilvl="7" w:tentative="0">
      <w:start w:val="1"/>
      <w:numFmt w:val="decimal"/>
      <w:lvlText w:val="%1.%2.%3.%4.%5.%6.%7.%8."/>
      <w:lvlJc w:val="left"/>
      <w:pPr>
        <w:ind w:left="284" w:hanging="284"/>
      </w:pPr>
      <w:rPr>
        <w:rFonts w:hint="eastAsia"/>
      </w:rPr>
    </w:lvl>
    <w:lvl w:ilvl="8" w:tentative="0">
      <w:start w:val="1"/>
      <w:numFmt w:val="decimal"/>
      <w:lvlText w:val="%1.%2.%3.%4.%5.%6.%7.%8.%9."/>
      <w:lvlJc w:val="left"/>
      <w:pPr>
        <w:ind w:left="284" w:hanging="284"/>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c5ZDM0NmQwNjA1OTNjYTgxMWU3ZThlM2E4YzM2ZjQifQ=="/>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等线&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z55zesf5zzvs0eave8vaf9nvrdsvdwa5zpa&quot;&gt;Lib-2021-CZS&lt;record-ids&gt;&lt;item&gt;365&lt;/item&gt;&lt;item&gt;367&lt;/item&gt;&lt;item&gt;372&lt;/item&gt;&lt;item&gt;379&lt;/item&gt;&lt;item&gt;385&lt;/item&gt;&lt;item&gt;395&lt;/item&gt;&lt;item&gt;410&lt;/item&gt;&lt;item&gt;414&lt;/item&gt;&lt;item&gt;437&lt;/item&gt;&lt;item&gt;439&lt;/item&gt;&lt;item&gt;440&lt;/item&gt;&lt;item&gt;442&lt;/item&gt;&lt;item&gt;444&lt;/item&gt;&lt;item&gt;445&lt;/item&gt;&lt;item&gt;446&lt;/item&gt;&lt;item&gt;447&lt;/item&gt;&lt;item&gt;448&lt;/item&gt;&lt;item&gt;449&lt;/item&gt;&lt;item&gt;450&lt;/item&gt;&lt;item&gt;451&lt;/item&gt;&lt;item&gt;452&lt;/item&gt;&lt;item&gt;453&lt;/item&gt;&lt;item&gt;454&lt;/item&gt;&lt;/record-ids&gt;&lt;/item&gt;&lt;/Libraries&gt;"/>
  </w:docVars>
  <w:rsids>
    <w:rsidRoot w:val="004833E2"/>
    <w:rsid w:val="00005D15"/>
    <w:rsid w:val="00006072"/>
    <w:rsid w:val="00007D44"/>
    <w:rsid w:val="00010792"/>
    <w:rsid w:val="000126AC"/>
    <w:rsid w:val="00013176"/>
    <w:rsid w:val="00021587"/>
    <w:rsid w:val="0002453B"/>
    <w:rsid w:val="00024581"/>
    <w:rsid w:val="0002547B"/>
    <w:rsid w:val="0002663B"/>
    <w:rsid w:val="00027EDC"/>
    <w:rsid w:val="000304DE"/>
    <w:rsid w:val="00033458"/>
    <w:rsid w:val="000377DA"/>
    <w:rsid w:val="00041138"/>
    <w:rsid w:val="00041949"/>
    <w:rsid w:val="00052316"/>
    <w:rsid w:val="0005409C"/>
    <w:rsid w:val="000548DC"/>
    <w:rsid w:val="00056A60"/>
    <w:rsid w:val="0005763E"/>
    <w:rsid w:val="00057B09"/>
    <w:rsid w:val="0006275C"/>
    <w:rsid w:val="00066840"/>
    <w:rsid w:val="00072491"/>
    <w:rsid w:val="00072815"/>
    <w:rsid w:val="00073AC5"/>
    <w:rsid w:val="000771FC"/>
    <w:rsid w:val="00081E09"/>
    <w:rsid w:val="000830A8"/>
    <w:rsid w:val="0008659B"/>
    <w:rsid w:val="000870BE"/>
    <w:rsid w:val="00095271"/>
    <w:rsid w:val="000A10B7"/>
    <w:rsid w:val="000A144A"/>
    <w:rsid w:val="000A2D37"/>
    <w:rsid w:val="000A3E0D"/>
    <w:rsid w:val="000A3FAE"/>
    <w:rsid w:val="000B12BE"/>
    <w:rsid w:val="000B54AC"/>
    <w:rsid w:val="000B5A07"/>
    <w:rsid w:val="000C032C"/>
    <w:rsid w:val="000C2E88"/>
    <w:rsid w:val="000C73CA"/>
    <w:rsid w:val="000D38BE"/>
    <w:rsid w:val="000D3B34"/>
    <w:rsid w:val="000D4494"/>
    <w:rsid w:val="000D74F8"/>
    <w:rsid w:val="000E1B7B"/>
    <w:rsid w:val="000E24EC"/>
    <w:rsid w:val="000E2CC9"/>
    <w:rsid w:val="000E3A43"/>
    <w:rsid w:val="000E4609"/>
    <w:rsid w:val="000E506C"/>
    <w:rsid w:val="000E5DF9"/>
    <w:rsid w:val="000E674A"/>
    <w:rsid w:val="000F0451"/>
    <w:rsid w:val="000F2F90"/>
    <w:rsid w:val="00104AB0"/>
    <w:rsid w:val="00105858"/>
    <w:rsid w:val="00110C41"/>
    <w:rsid w:val="00113BFA"/>
    <w:rsid w:val="00114735"/>
    <w:rsid w:val="0011477A"/>
    <w:rsid w:val="00116438"/>
    <w:rsid w:val="0011708B"/>
    <w:rsid w:val="00121EE3"/>
    <w:rsid w:val="001248BA"/>
    <w:rsid w:val="001270E5"/>
    <w:rsid w:val="0012776E"/>
    <w:rsid w:val="001302FE"/>
    <w:rsid w:val="001354DB"/>
    <w:rsid w:val="00135D3F"/>
    <w:rsid w:val="00136B06"/>
    <w:rsid w:val="0014135F"/>
    <w:rsid w:val="0015254C"/>
    <w:rsid w:val="00153874"/>
    <w:rsid w:val="001545CB"/>
    <w:rsid w:val="001571DB"/>
    <w:rsid w:val="00160029"/>
    <w:rsid w:val="001653A0"/>
    <w:rsid w:val="00165CBA"/>
    <w:rsid w:val="00172DF1"/>
    <w:rsid w:val="00173FC5"/>
    <w:rsid w:val="00177C9E"/>
    <w:rsid w:val="0018623D"/>
    <w:rsid w:val="00191DFD"/>
    <w:rsid w:val="00192EBC"/>
    <w:rsid w:val="00193CC8"/>
    <w:rsid w:val="00193D37"/>
    <w:rsid w:val="00193DB4"/>
    <w:rsid w:val="001A0393"/>
    <w:rsid w:val="001A22EE"/>
    <w:rsid w:val="001A3586"/>
    <w:rsid w:val="001A5115"/>
    <w:rsid w:val="001A56CB"/>
    <w:rsid w:val="001A7742"/>
    <w:rsid w:val="001B2C09"/>
    <w:rsid w:val="001B6FBB"/>
    <w:rsid w:val="001E186D"/>
    <w:rsid w:val="001E637A"/>
    <w:rsid w:val="001E64A9"/>
    <w:rsid w:val="001E6E82"/>
    <w:rsid w:val="001E74EF"/>
    <w:rsid w:val="001E781A"/>
    <w:rsid w:val="001F3A00"/>
    <w:rsid w:val="00201D5E"/>
    <w:rsid w:val="00206199"/>
    <w:rsid w:val="002100B3"/>
    <w:rsid w:val="00211CEC"/>
    <w:rsid w:val="002120B7"/>
    <w:rsid w:val="00214163"/>
    <w:rsid w:val="00214910"/>
    <w:rsid w:val="0021602E"/>
    <w:rsid w:val="00217F4A"/>
    <w:rsid w:val="0022139D"/>
    <w:rsid w:val="00222A03"/>
    <w:rsid w:val="002257B9"/>
    <w:rsid w:val="002262E4"/>
    <w:rsid w:val="0022631D"/>
    <w:rsid w:val="00231B51"/>
    <w:rsid w:val="0024007A"/>
    <w:rsid w:val="00243155"/>
    <w:rsid w:val="00244993"/>
    <w:rsid w:val="00244CDC"/>
    <w:rsid w:val="00245436"/>
    <w:rsid w:val="00247092"/>
    <w:rsid w:val="0025110E"/>
    <w:rsid w:val="00251F14"/>
    <w:rsid w:val="00252505"/>
    <w:rsid w:val="00252F69"/>
    <w:rsid w:val="00257E6E"/>
    <w:rsid w:val="00260405"/>
    <w:rsid w:val="00264453"/>
    <w:rsid w:val="002664EC"/>
    <w:rsid w:val="002754A5"/>
    <w:rsid w:val="002774C4"/>
    <w:rsid w:val="00277C76"/>
    <w:rsid w:val="002820EE"/>
    <w:rsid w:val="00284BE6"/>
    <w:rsid w:val="00285401"/>
    <w:rsid w:val="00287B4E"/>
    <w:rsid w:val="0029058B"/>
    <w:rsid w:val="002A747A"/>
    <w:rsid w:val="002B2A24"/>
    <w:rsid w:val="002B3A01"/>
    <w:rsid w:val="002B4433"/>
    <w:rsid w:val="002B7DDF"/>
    <w:rsid w:val="002C5170"/>
    <w:rsid w:val="002D4EE4"/>
    <w:rsid w:val="002D7DD8"/>
    <w:rsid w:val="002E3D25"/>
    <w:rsid w:val="002E64C1"/>
    <w:rsid w:val="002E754E"/>
    <w:rsid w:val="002F2B77"/>
    <w:rsid w:val="002F34DA"/>
    <w:rsid w:val="002F7767"/>
    <w:rsid w:val="003029FB"/>
    <w:rsid w:val="00311695"/>
    <w:rsid w:val="0031175E"/>
    <w:rsid w:val="00315F43"/>
    <w:rsid w:val="003256F7"/>
    <w:rsid w:val="00327512"/>
    <w:rsid w:val="00327862"/>
    <w:rsid w:val="00331CC2"/>
    <w:rsid w:val="0033219D"/>
    <w:rsid w:val="0033587F"/>
    <w:rsid w:val="003400F5"/>
    <w:rsid w:val="00343D89"/>
    <w:rsid w:val="00345620"/>
    <w:rsid w:val="00347CB2"/>
    <w:rsid w:val="00351591"/>
    <w:rsid w:val="00352252"/>
    <w:rsid w:val="003523E1"/>
    <w:rsid w:val="0035267F"/>
    <w:rsid w:val="003527C8"/>
    <w:rsid w:val="00356C7D"/>
    <w:rsid w:val="00360423"/>
    <w:rsid w:val="00361449"/>
    <w:rsid w:val="003639D4"/>
    <w:rsid w:val="003668B4"/>
    <w:rsid w:val="00370221"/>
    <w:rsid w:val="003703BE"/>
    <w:rsid w:val="00373ED5"/>
    <w:rsid w:val="00387294"/>
    <w:rsid w:val="00390258"/>
    <w:rsid w:val="003906E6"/>
    <w:rsid w:val="00390962"/>
    <w:rsid w:val="00392044"/>
    <w:rsid w:val="00393573"/>
    <w:rsid w:val="00393AE0"/>
    <w:rsid w:val="003979DD"/>
    <w:rsid w:val="003A04FB"/>
    <w:rsid w:val="003A3B44"/>
    <w:rsid w:val="003A4197"/>
    <w:rsid w:val="003A4C7C"/>
    <w:rsid w:val="003A4FB7"/>
    <w:rsid w:val="003B055C"/>
    <w:rsid w:val="003B7750"/>
    <w:rsid w:val="003C036C"/>
    <w:rsid w:val="003C0938"/>
    <w:rsid w:val="003C1481"/>
    <w:rsid w:val="003C5E4C"/>
    <w:rsid w:val="003C76BA"/>
    <w:rsid w:val="003C7AE8"/>
    <w:rsid w:val="003D05AD"/>
    <w:rsid w:val="003D3BDD"/>
    <w:rsid w:val="003D5F18"/>
    <w:rsid w:val="003D705C"/>
    <w:rsid w:val="003D7F21"/>
    <w:rsid w:val="003E37B5"/>
    <w:rsid w:val="003E61AA"/>
    <w:rsid w:val="003E71CC"/>
    <w:rsid w:val="003F1381"/>
    <w:rsid w:val="003F2AD8"/>
    <w:rsid w:val="003F4AB2"/>
    <w:rsid w:val="003F52A5"/>
    <w:rsid w:val="004065F6"/>
    <w:rsid w:val="0040710E"/>
    <w:rsid w:val="0041083D"/>
    <w:rsid w:val="004165A5"/>
    <w:rsid w:val="00417131"/>
    <w:rsid w:val="0042069E"/>
    <w:rsid w:val="004218BD"/>
    <w:rsid w:val="00422DA8"/>
    <w:rsid w:val="00425509"/>
    <w:rsid w:val="0043034C"/>
    <w:rsid w:val="00433002"/>
    <w:rsid w:val="00434575"/>
    <w:rsid w:val="00436831"/>
    <w:rsid w:val="00441673"/>
    <w:rsid w:val="0044366C"/>
    <w:rsid w:val="004447DF"/>
    <w:rsid w:val="0045238F"/>
    <w:rsid w:val="00453FDA"/>
    <w:rsid w:val="004552E8"/>
    <w:rsid w:val="004564E4"/>
    <w:rsid w:val="00461773"/>
    <w:rsid w:val="00463CEE"/>
    <w:rsid w:val="004678FD"/>
    <w:rsid w:val="00472C4F"/>
    <w:rsid w:val="00474290"/>
    <w:rsid w:val="00475E70"/>
    <w:rsid w:val="004805D8"/>
    <w:rsid w:val="0048130D"/>
    <w:rsid w:val="004827C7"/>
    <w:rsid w:val="004833E2"/>
    <w:rsid w:val="00485F28"/>
    <w:rsid w:val="0049165F"/>
    <w:rsid w:val="00493599"/>
    <w:rsid w:val="004A2B45"/>
    <w:rsid w:val="004A48C8"/>
    <w:rsid w:val="004A5FED"/>
    <w:rsid w:val="004A6F6F"/>
    <w:rsid w:val="004B3892"/>
    <w:rsid w:val="004C2AB2"/>
    <w:rsid w:val="004C52AF"/>
    <w:rsid w:val="004C57D2"/>
    <w:rsid w:val="004C7695"/>
    <w:rsid w:val="004D1A69"/>
    <w:rsid w:val="004D3B8F"/>
    <w:rsid w:val="004E1256"/>
    <w:rsid w:val="004E2E38"/>
    <w:rsid w:val="004E4111"/>
    <w:rsid w:val="004F2091"/>
    <w:rsid w:val="004F2362"/>
    <w:rsid w:val="004F5102"/>
    <w:rsid w:val="004F78EB"/>
    <w:rsid w:val="005002C5"/>
    <w:rsid w:val="0050659A"/>
    <w:rsid w:val="00506993"/>
    <w:rsid w:val="00506E46"/>
    <w:rsid w:val="00512B61"/>
    <w:rsid w:val="00516FA2"/>
    <w:rsid w:val="00524D29"/>
    <w:rsid w:val="00525095"/>
    <w:rsid w:val="00525AD4"/>
    <w:rsid w:val="0053058A"/>
    <w:rsid w:val="00536034"/>
    <w:rsid w:val="00537219"/>
    <w:rsid w:val="005400EA"/>
    <w:rsid w:val="005419C0"/>
    <w:rsid w:val="0054235F"/>
    <w:rsid w:val="00546117"/>
    <w:rsid w:val="00546C16"/>
    <w:rsid w:val="00562781"/>
    <w:rsid w:val="005641B7"/>
    <w:rsid w:val="00564487"/>
    <w:rsid w:val="005702B0"/>
    <w:rsid w:val="0057249C"/>
    <w:rsid w:val="0057395C"/>
    <w:rsid w:val="00573B86"/>
    <w:rsid w:val="00573D3C"/>
    <w:rsid w:val="005752EC"/>
    <w:rsid w:val="00575A68"/>
    <w:rsid w:val="005824EC"/>
    <w:rsid w:val="0058363A"/>
    <w:rsid w:val="0058407E"/>
    <w:rsid w:val="00585107"/>
    <w:rsid w:val="0059091B"/>
    <w:rsid w:val="00592122"/>
    <w:rsid w:val="0059283F"/>
    <w:rsid w:val="005943A5"/>
    <w:rsid w:val="00597064"/>
    <w:rsid w:val="00597654"/>
    <w:rsid w:val="005B0F1D"/>
    <w:rsid w:val="005B12AD"/>
    <w:rsid w:val="005B1835"/>
    <w:rsid w:val="005B1D57"/>
    <w:rsid w:val="005B49DF"/>
    <w:rsid w:val="005B604B"/>
    <w:rsid w:val="005C0011"/>
    <w:rsid w:val="005C04C3"/>
    <w:rsid w:val="005C197C"/>
    <w:rsid w:val="005C2876"/>
    <w:rsid w:val="005C32E8"/>
    <w:rsid w:val="005C5F34"/>
    <w:rsid w:val="005C6025"/>
    <w:rsid w:val="005C7387"/>
    <w:rsid w:val="005D131B"/>
    <w:rsid w:val="005D63D2"/>
    <w:rsid w:val="005D653B"/>
    <w:rsid w:val="005D7B2D"/>
    <w:rsid w:val="005D7CF6"/>
    <w:rsid w:val="005E3C6E"/>
    <w:rsid w:val="005E515E"/>
    <w:rsid w:val="005E5E1C"/>
    <w:rsid w:val="005E5F98"/>
    <w:rsid w:val="005E6163"/>
    <w:rsid w:val="005F0F3A"/>
    <w:rsid w:val="005F43C8"/>
    <w:rsid w:val="005F46DC"/>
    <w:rsid w:val="005F7559"/>
    <w:rsid w:val="00606253"/>
    <w:rsid w:val="00611C44"/>
    <w:rsid w:val="00615DB0"/>
    <w:rsid w:val="00617CBE"/>
    <w:rsid w:val="00620574"/>
    <w:rsid w:val="00632C53"/>
    <w:rsid w:val="006333F0"/>
    <w:rsid w:val="0063386D"/>
    <w:rsid w:val="00633AF5"/>
    <w:rsid w:val="00633B40"/>
    <w:rsid w:val="0063405C"/>
    <w:rsid w:val="006367B9"/>
    <w:rsid w:val="006376F3"/>
    <w:rsid w:val="006421D1"/>
    <w:rsid w:val="00645A51"/>
    <w:rsid w:val="00647139"/>
    <w:rsid w:val="00647B91"/>
    <w:rsid w:val="00652BCD"/>
    <w:rsid w:val="0065301E"/>
    <w:rsid w:val="00656AE6"/>
    <w:rsid w:val="006620AD"/>
    <w:rsid w:val="00671068"/>
    <w:rsid w:val="00677299"/>
    <w:rsid w:val="00680A19"/>
    <w:rsid w:val="00681BC9"/>
    <w:rsid w:val="00682CE5"/>
    <w:rsid w:val="006849DC"/>
    <w:rsid w:val="006862D2"/>
    <w:rsid w:val="00687E06"/>
    <w:rsid w:val="00691370"/>
    <w:rsid w:val="00692694"/>
    <w:rsid w:val="00693BC4"/>
    <w:rsid w:val="006945F7"/>
    <w:rsid w:val="006963AC"/>
    <w:rsid w:val="006972E5"/>
    <w:rsid w:val="006A6223"/>
    <w:rsid w:val="006A68DF"/>
    <w:rsid w:val="006A6C6C"/>
    <w:rsid w:val="006B03C3"/>
    <w:rsid w:val="006B1439"/>
    <w:rsid w:val="006B1F0E"/>
    <w:rsid w:val="006B2AEB"/>
    <w:rsid w:val="006B70E2"/>
    <w:rsid w:val="006B7B8E"/>
    <w:rsid w:val="006C1353"/>
    <w:rsid w:val="006C496E"/>
    <w:rsid w:val="006C5897"/>
    <w:rsid w:val="006C60F7"/>
    <w:rsid w:val="006C77DE"/>
    <w:rsid w:val="006D034C"/>
    <w:rsid w:val="006E02A6"/>
    <w:rsid w:val="006E0380"/>
    <w:rsid w:val="006E40C6"/>
    <w:rsid w:val="006E44D1"/>
    <w:rsid w:val="006E6A7A"/>
    <w:rsid w:val="006E7CFD"/>
    <w:rsid w:val="006F3111"/>
    <w:rsid w:val="006F41C4"/>
    <w:rsid w:val="006F6546"/>
    <w:rsid w:val="006F6C5D"/>
    <w:rsid w:val="0070163A"/>
    <w:rsid w:val="007070BE"/>
    <w:rsid w:val="00711FCA"/>
    <w:rsid w:val="0071225A"/>
    <w:rsid w:val="007176F3"/>
    <w:rsid w:val="0072244C"/>
    <w:rsid w:val="00725D22"/>
    <w:rsid w:val="00730FDB"/>
    <w:rsid w:val="00731871"/>
    <w:rsid w:val="00732AEA"/>
    <w:rsid w:val="00732D89"/>
    <w:rsid w:val="0073579A"/>
    <w:rsid w:val="00742B1E"/>
    <w:rsid w:val="007535CD"/>
    <w:rsid w:val="00754C92"/>
    <w:rsid w:val="0075609C"/>
    <w:rsid w:val="00756885"/>
    <w:rsid w:val="00760557"/>
    <w:rsid w:val="0076787C"/>
    <w:rsid w:val="00770073"/>
    <w:rsid w:val="00773291"/>
    <w:rsid w:val="00774E1D"/>
    <w:rsid w:val="00786659"/>
    <w:rsid w:val="00786BDC"/>
    <w:rsid w:val="00787609"/>
    <w:rsid w:val="00792A02"/>
    <w:rsid w:val="007964BB"/>
    <w:rsid w:val="00797BF9"/>
    <w:rsid w:val="007A4113"/>
    <w:rsid w:val="007A6239"/>
    <w:rsid w:val="007A7289"/>
    <w:rsid w:val="007B236A"/>
    <w:rsid w:val="007B238D"/>
    <w:rsid w:val="007B582A"/>
    <w:rsid w:val="007C112A"/>
    <w:rsid w:val="007C29C5"/>
    <w:rsid w:val="007C2EA9"/>
    <w:rsid w:val="007D0F89"/>
    <w:rsid w:val="007D4F08"/>
    <w:rsid w:val="007D792F"/>
    <w:rsid w:val="007D7D68"/>
    <w:rsid w:val="007E0FB8"/>
    <w:rsid w:val="007E3E71"/>
    <w:rsid w:val="007E7EE7"/>
    <w:rsid w:val="007F401F"/>
    <w:rsid w:val="007F443D"/>
    <w:rsid w:val="00801891"/>
    <w:rsid w:val="00805B23"/>
    <w:rsid w:val="0080621A"/>
    <w:rsid w:val="0080715F"/>
    <w:rsid w:val="00813A2D"/>
    <w:rsid w:val="00813B00"/>
    <w:rsid w:val="00813CCB"/>
    <w:rsid w:val="00814E62"/>
    <w:rsid w:val="008168A2"/>
    <w:rsid w:val="008177AE"/>
    <w:rsid w:val="00820B03"/>
    <w:rsid w:val="008219FA"/>
    <w:rsid w:val="00821AFB"/>
    <w:rsid w:val="00822479"/>
    <w:rsid w:val="00822B1E"/>
    <w:rsid w:val="00822FBC"/>
    <w:rsid w:val="008232A0"/>
    <w:rsid w:val="0082597C"/>
    <w:rsid w:val="00825E6F"/>
    <w:rsid w:val="0082758F"/>
    <w:rsid w:val="00832AF6"/>
    <w:rsid w:val="008353FC"/>
    <w:rsid w:val="00836652"/>
    <w:rsid w:val="0083672E"/>
    <w:rsid w:val="008369FF"/>
    <w:rsid w:val="008420AD"/>
    <w:rsid w:val="008449E3"/>
    <w:rsid w:val="00845B2F"/>
    <w:rsid w:val="0084793F"/>
    <w:rsid w:val="008501F2"/>
    <w:rsid w:val="008553AE"/>
    <w:rsid w:val="008560D4"/>
    <w:rsid w:val="0086056F"/>
    <w:rsid w:val="00860685"/>
    <w:rsid w:val="00860C2B"/>
    <w:rsid w:val="00863FCC"/>
    <w:rsid w:val="008664B3"/>
    <w:rsid w:val="00871670"/>
    <w:rsid w:val="008736D9"/>
    <w:rsid w:val="008762A1"/>
    <w:rsid w:val="00881D53"/>
    <w:rsid w:val="00882EC1"/>
    <w:rsid w:val="00887AA4"/>
    <w:rsid w:val="00891494"/>
    <w:rsid w:val="00891CB1"/>
    <w:rsid w:val="008920B2"/>
    <w:rsid w:val="00895010"/>
    <w:rsid w:val="00896950"/>
    <w:rsid w:val="008A07AC"/>
    <w:rsid w:val="008A0A97"/>
    <w:rsid w:val="008A4DC1"/>
    <w:rsid w:val="008A5C55"/>
    <w:rsid w:val="008A5DB2"/>
    <w:rsid w:val="008B0383"/>
    <w:rsid w:val="008B4528"/>
    <w:rsid w:val="008B58AE"/>
    <w:rsid w:val="008B5A83"/>
    <w:rsid w:val="008B65FF"/>
    <w:rsid w:val="008B7BD5"/>
    <w:rsid w:val="008B7CBD"/>
    <w:rsid w:val="008C0A0A"/>
    <w:rsid w:val="008C57A8"/>
    <w:rsid w:val="008C5F0B"/>
    <w:rsid w:val="008C7770"/>
    <w:rsid w:val="008C7B4E"/>
    <w:rsid w:val="008D2276"/>
    <w:rsid w:val="008E5ED9"/>
    <w:rsid w:val="008E746B"/>
    <w:rsid w:val="008F004E"/>
    <w:rsid w:val="008F02E4"/>
    <w:rsid w:val="008F5578"/>
    <w:rsid w:val="008F71CB"/>
    <w:rsid w:val="00902A9C"/>
    <w:rsid w:val="009047DF"/>
    <w:rsid w:val="0090541E"/>
    <w:rsid w:val="00905491"/>
    <w:rsid w:val="009131B7"/>
    <w:rsid w:val="00913C5D"/>
    <w:rsid w:val="00914112"/>
    <w:rsid w:val="00914A77"/>
    <w:rsid w:val="00916B4A"/>
    <w:rsid w:val="00925F87"/>
    <w:rsid w:val="009278A2"/>
    <w:rsid w:val="009319AF"/>
    <w:rsid w:val="00935247"/>
    <w:rsid w:val="0093620A"/>
    <w:rsid w:val="009417FB"/>
    <w:rsid w:val="00941E08"/>
    <w:rsid w:val="00953BEB"/>
    <w:rsid w:val="009559BA"/>
    <w:rsid w:val="00956AF5"/>
    <w:rsid w:val="009621A8"/>
    <w:rsid w:val="0096348D"/>
    <w:rsid w:val="00966453"/>
    <w:rsid w:val="00966FDA"/>
    <w:rsid w:val="00974E52"/>
    <w:rsid w:val="00977ECA"/>
    <w:rsid w:val="00986BAD"/>
    <w:rsid w:val="0099233B"/>
    <w:rsid w:val="00993146"/>
    <w:rsid w:val="00994BB5"/>
    <w:rsid w:val="00996E5C"/>
    <w:rsid w:val="009977E5"/>
    <w:rsid w:val="00997BBE"/>
    <w:rsid w:val="009A4D49"/>
    <w:rsid w:val="009B316A"/>
    <w:rsid w:val="009B34F9"/>
    <w:rsid w:val="009B7ED1"/>
    <w:rsid w:val="009C0A1C"/>
    <w:rsid w:val="009C4D87"/>
    <w:rsid w:val="009C6404"/>
    <w:rsid w:val="009D02FA"/>
    <w:rsid w:val="009D159C"/>
    <w:rsid w:val="009D39B7"/>
    <w:rsid w:val="009D56A9"/>
    <w:rsid w:val="009D56DE"/>
    <w:rsid w:val="009E2F00"/>
    <w:rsid w:val="009E40F6"/>
    <w:rsid w:val="009E57FD"/>
    <w:rsid w:val="009E6710"/>
    <w:rsid w:val="009E792A"/>
    <w:rsid w:val="009E7E3D"/>
    <w:rsid w:val="009F05EF"/>
    <w:rsid w:val="009F3A5F"/>
    <w:rsid w:val="00A1116F"/>
    <w:rsid w:val="00A1166C"/>
    <w:rsid w:val="00A142CC"/>
    <w:rsid w:val="00A15B1A"/>
    <w:rsid w:val="00A16649"/>
    <w:rsid w:val="00A16E1B"/>
    <w:rsid w:val="00A23B56"/>
    <w:rsid w:val="00A24727"/>
    <w:rsid w:val="00A328D6"/>
    <w:rsid w:val="00A349C8"/>
    <w:rsid w:val="00A41BFF"/>
    <w:rsid w:val="00A4287E"/>
    <w:rsid w:val="00A44366"/>
    <w:rsid w:val="00A45393"/>
    <w:rsid w:val="00A47318"/>
    <w:rsid w:val="00A533EE"/>
    <w:rsid w:val="00A5515E"/>
    <w:rsid w:val="00A562AD"/>
    <w:rsid w:val="00A5638E"/>
    <w:rsid w:val="00A63B7D"/>
    <w:rsid w:val="00A67DE3"/>
    <w:rsid w:val="00A7062A"/>
    <w:rsid w:val="00A73985"/>
    <w:rsid w:val="00A74C0B"/>
    <w:rsid w:val="00A758C1"/>
    <w:rsid w:val="00A77ECE"/>
    <w:rsid w:val="00A82F9A"/>
    <w:rsid w:val="00A83801"/>
    <w:rsid w:val="00A8449E"/>
    <w:rsid w:val="00A855FC"/>
    <w:rsid w:val="00A85C55"/>
    <w:rsid w:val="00A90D6F"/>
    <w:rsid w:val="00A91C1B"/>
    <w:rsid w:val="00A93C6F"/>
    <w:rsid w:val="00A944E8"/>
    <w:rsid w:val="00A96831"/>
    <w:rsid w:val="00A96ACA"/>
    <w:rsid w:val="00AA0743"/>
    <w:rsid w:val="00AA4039"/>
    <w:rsid w:val="00AA4FE3"/>
    <w:rsid w:val="00AA7737"/>
    <w:rsid w:val="00AB34D1"/>
    <w:rsid w:val="00AB638B"/>
    <w:rsid w:val="00AB7646"/>
    <w:rsid w:val="00AB7E42"/>
    <w:rsid w:val="00AC2F03"/>
    <w:rsid w:val="00AC6A90"/>
    <w:rsid w:val="00AC73E0"/>
    <w:rsid w:val="00AD0063"/>
    <w:rsid w:val="00AD160F"/>
    <w:rsid w:val="00AE1A22"/>
    <w:rsid w:val="00AE2575"/>
    <w:rsid w:val="00AE5A09"/>
    <w:rsid w:val="00AE728D"/>
    <w:rsid w:val="00AF06BC"/>
    <w:rsid w:val="00AF1AF8"/>
    <w:rsid w:val="00AF3627"/>
    <w:rsid w:val="00B01B00"/>
    <w:rsid w:val="00B02FE8"/>
    <w:rsid w:val="00B03358"/>
    <w:rsid w:val="00B04673"/>
    <w:rsid w:val="00B056B0"/>
    <w:rsid w:val="00B065C4"/>
    <w:rsid w:val="00B06795"/>
    <w:rsid w:val="00B068CF"/>
    <w:rsid w:val="00B1046E"/>
    <w:rsid w:val="00B110A2"/>
    <w:rsid w:val="00B120F4"/>
    <w:rsid w:val="00B12278"/>
    <w:rsid w:val="00B12E92"/>
    <w:rsid w:val="00B1359C"/>
    <w:rsid w:val="00B2156E"/>
    <w:rsid w:val="00B22991"/>
    <w:rsid w:val="00B22A55"/>
    <w:rsid w:val="00B2632D"/>
    <w:rsid w:val="00B30BE8"/>
    <w:rsid w:val="00B32582"/>
    <w:rsid w:val="00B35A32"/>
    <w:rsid w:val="00B410C7"/>
    <w:rsid w:val="00B41B0F"/>
    <w:rsid w:val="00B43F6E"/>
    <w:rsid w:val="00B440A9"/>
    <w:rsid w:val="00B467F0"/>
    <w:rsid w:val="00B4734E"/>
    <w:rsid w:val="00B477D4"/>
    <w:rsid w:val="00B577A8"/>
    <w:rsid w:val="00B62C00"/>
    <w:rsid w:val="00B64D06"/>
    <w:rsid w:val="00B67C87"/>
    <w:rsid w:val="00B70CD1"/>
    <w:rsid w:val="00B71CEF"/>
    <w:rsid w:val="00B7612D"/>
    <w:rsid w:val="00B80205"/>
    <w:rsid w:val="00B82E58"/>
    <w:rsid w:val="00B85BB1"/>
    <w:rsid w:val="00B85F1A"/>
    <w:rsid w:val="00B872B5"/>
    <w:rsid w:val="00B8785F"/>
    <w:rsid w:val="00B91590"/>
    <w:rsid w:val="00B931BE"/>
    <w:rsid w:val="00B9676D"/>
    <w:rsid w:val="00B96E4E"/>
    <w:rsid w:val="00B96F07"/>
    <w:rsid w:val="00B9752F"/>
    <w:rsid w:val="00B97B02"/>
    <w:rsid w:val="00BA7DB6"/>
    <w:rsid w:val="00BB0777"/>
    <w:rsid w:val="00BB0847"/>
    <w:rsid w:val="00BB57EB"/>
    <w:rsid w:val="00BB74CE"/>
    <w:rsid w:val="00BB7A0B"/>
    <w:rsid w:val="00BC09DF"/>
    <w:rsid w:val="00BC0E99"/>
    <w:rsid w:val="00BC3D20"/>
    <w:rsid w:val="00BC5FDD"/>
    <w:rsid w:val="00BC70BD"/>
    <w:rsid w:val="00BC7BE5"/>
    <w:rsid w:val="00BD2124"/>
    <w:rsid w:val="00BD2127"/>
    <w:rsid w:val="00BD25F8"/>
    <w:rsid w:val="00BD2B0D"/>
    <w:rsid w:val="00BD379D"/>
    <w:rsid w:val="00BE024C"/>
    <w:rsid w:val="00BE6460"/>
    <w:rsid w:val="00BE7804"/>
    <w:rsid w:val="00BF1635"/>
    <w:rsid w:val="00BF1C4E"/>
    <w:rsid w:val="00BF1FD0"/>
    <w:rsid w:val="00BF5080"/>
    <w:rsid w:val="00BF5996"/>
    <w:rsid w:val="00BF5D82"/>
    <w:rsid w:val="00C02BEE"/>
    <w:rsid w:val="00C125CC"/>
    <w:rsid w:val="00C13345"/>
    <w:rsid w:val="00C145DC"/>
    <w:rsid w:val="00C21414"/>
    <w:rsid w:val="00C224D0"/>
    <w:rsid w:val="00C305CE"/>
    <w:rsid w:val="00C33380"/>
    <w:rsid w:val="00C35772"/>
    <w:rsid w:val="00C361DA"/>
    <w:rsid w:val="00C41C4F"/>
    <w:rsid w:val="00C42980"/>
    <w:rsid w:val="00C432B8"/>
    <w:rsid w:val="00C44BE6"/>
    <w:rsid w:val="00C4716F"/>
    <w:rsid w:val="00C547A8"/>
    <w:rsid w:val="00C54D92"/>
    <w:rsid w:val="00C55A5E"/>
    <w:rsid w:val="00C57D9D"/>
    <w:rsid w:val="00C669A6"/>
    <w:rsid w:val="00C67A63"/>
    <w:rsid w:val="00C74316"/>
    <w:rsid w:val="00C74FAD"/>
    <w:rsid w:val="00C8003B"/>
    <w:rsid w:val="00C80209"/>
    <w:rsid w:val="00C81392"/>
    <w:rsid w:val="00C82EA3"/>
    <w:rsid w:val="00C8377A"/>
    <w:rsid w:val="00C84565"/>
    <w:rsid w:val="00C8639E"/>
    <w:rsid w:val="00C90B6E"/>
    <w:rsid w:val="00C91631"/>
    <w:rsid w:val="00C933C9"/>
    <w:rsid w:val="00C94331"/>
    <w:rsid w:val="00C9658F"/>
    <w:rsid w:val="00C96D61"/>
    <w:rsid w:val="00CA0A0F"/>
    <w:rsid w:val="00CA2AB5"/>
    <w:rsid w:val="00CA35B1"/>
    <w:rsid w:val="00CB396B"/>
    <w:rsid w:val="00CB40A9"/>
    <w:rsid w:val="00CB4F35"/>
    <w:rsid w:val="00CC1FAE"/>
    <w:rsid w:val="00CC1FD6"/>
    <w:rsid w:val="00CC27BA"/>
    <w:rsid w:val="00CC54A6"/>
    <w:rsid w:val="00CC77BA"/>
    <w:rsid w:val="00CC7853"/>
    <w:rsid w:val="00CD0BD3"/>
    <w:rsid w:val="00CD0CF9"/>
    <w:rsid w:val="00CD14E7"/>
    <w:rsid w:val="00CD1D1A"/>
    <w:rsid w:val="00CD42FA"/>
    <w:rsid w:val="00CD76D3"/>
    <w:rsid w:val="00CE20D1"/>
    <w:rsid w:val="00CE3D4C"/>
    <w:rsid w:val="00CE613D"/>
    <w:rsid w:val="00CF0035"/>
    <w:rsid w:val="00CF16D7"/>
    <w:rsid w:val="00CF5064"/>
    <w:rsid w:val="00CF574B"/>
    <w:rsid w:val="00CF7D5C"/>
    <w:rsid w:val="00D003E4"/>
    <w:rsid w:val="00D02D09"/>
    <w:rsid w:val="00D031C9"/>
    <w:rsid w:val="00D035B0"/>
    <w:rsid w:val="00D058BD"/>
    <w:rsid w:val="00D0653F"/>
    <w:rsid w:val="00D06AE6"/>
    <w:rsid w:val="00D138F3"/>
    <w:rsid w:val="00D151E2"/>
    <w:rsid w:val="00D1550B"/>
    <w:rsid w:val="00D167E5"/>
    <w:rsid w:val="00D224CE"/>
    <w:rsid w:val="00D23475"/>
    <w:rsid w:val="00D25A1A"/>
    <w:rsid w:val="00D26334"/>
    <w:rsid w:val="00D30C94"/>
    <w:rsid w:val="00D34670"/>
    <w:rsid w:val="00D426BC"/>
    <w:rsid w:val="00D44C91"/>
    <w:rsid w:val="00D50D97"/>
    <w:rsid w:val="00D51E17"/>
    <w:rsid w:val="00D55895"/>
    <w:rsid w:val="00D55A2B"/>
    <w:rsid w:val="00D56BC6"/>
    <w:rsid w:val="00D6204A"/>
    <w:rsid w:val="00D620A4"/>
    <w:rsid w:val="00D62350"/>
    <w:rsid w:val="00D64CB0"/>
    <w:rsid w:val="00D70E26"/>
    <w:rsid w:val="00D71C09"/>
    <w:rsid w:val="00D74072"/>
    <w:rsid w:val="00D81903"/>
    <w:rsid w:val="00D81C75"/>
    <w:rsid w:val="00D83260"/>
    <w:rsid w:val="00D85C0A"/>
    <w:rsid w:val="00D87ADD"/>
    <w:rsid w:val="00D94F5F"/>
    <w:rsid w:val="00D95652"/>
    <w:rsid w:val="00D9567E"/>
    <w:rsid w:val="00DB7F17"/>
    <w:rsid w:val="00DC0E13"/>
    <w:rsid w:val="00DC1BFC"/>
    <w:rsid w:val="00DC43B6"/>
    <w:rsid w:val="00DC51BD"/>
    <w:rsid w:val="00DC740F"/>
    <w:rsid w:val="00DC7A56"/>
    <w:rsid w:val="00DC7E6D"/>
    <w:rsid w:val="00DD15CF"/>
    <w:rsid w:val="00DD17C6"/>
    <w:rsid w:val="00DD227F"/>
    <w:rsid w:val="00DD55DD"/>
    <w:rsid w:val="00DD6879"/>
    <w:rsid w:val="00DE09F3"/>
    <w:rsid w:val="00DE0C7D"/>
    <w:rsid w:val="00DE0EB6"/>
    <w:rsid w:val="00DE299F"/>
    <w:rsid w:val="00DE31CD"/>
    <w:rsid w:val="00DF015E"/>
    <w:rsid w:val="00DF663D"/>
    <w:rsid w:val="00E00BFE"/>
    <w:rsid w:val="00E011BA"/>
    <w:rsid w:val="00E01280"/>
    <w:rsid w:val="00E01DD3"/>
    <w:rsid w:val="00E0339B"/>
    <w:rsid w:val="00E04D39"/>
    <w:rsid w:val="00E0660B"/>
    <w:rsid w:val="00E068F7"/>
    <w:rsid w:val="00E07C8E"/>
    <w:rsid w:val="00E1642E"/>
    <w:rsid w:val="00E222C0"/>
    <w:rsid w:val="00E22B4B"/>
    <w:rsid w:val="00E267F4"/>
    <w:rsid w:val="00E32E0E"/>
    <w:rsid w:val="00E33AD8"/>
    <w:rsid w:val="00E3444A"/>
    <w:rsid w:val="00E35731"/>
    <w:rsid w:val="00E35937"/>
    <w:rsid w:val="00E35CC7"/>
    <w:rsid w:val="00E36FF4"/>
    <w:rsid w:val="00E405BC"/>
    <w:rsid w:val="00E40A0F"/>
    <w:rsid w:val="00E4121E"/>
    <w:rsid w:val="00E43BB0"/>
    <w:rsid w:val="00E44751"/>
    <w:rsid w:val="00E52592"/>
    <w:rsid w:val="00E5547E"/>
    <w:rsid w:val="00E623F0"/>
    <w:rsid w:val="00E62CE8"/>
    <w:rsid w:val="00E65ACA"/>
    <w:rsid w:val="00E70BD7"/>
    <w:rsid w:val="00E77497"/>
    <w:rsid w:val="00E7799F"/>
    <w:rsid w:val="00E821F9"/>
    <w:rsid w:val="00E85332"/>
    <w:rsid w:val="00E86844"/>
    <w:rsid w:val="00E87234"/>
    <w:rsid w:val="00E875AB"/>
    <w:rsid w:val="00E90824"/>
    <w:rsid w:val="00E91330"/>
    <w:rsid w:val="00E918E1"/>
    <w:rsid w:val="00E95ED8"/>
    <w:rsid w:val="00EA0126"/>
    <w:rsid w:val="00EA132E"/>
    <w:rsid w:val="00EA1CA6"/>
    <w:rsid w:val="00EA6744"/>
    <w:rsid w:val="00EA6D69"/>
    <w:rsid w:val="00EB0BEA"/>
    <w:rsid w:val="00EB3901"/>
    <w:rsid w:val="00EB6CD2"/>
    <w:rsid w:val="00EB78C2"/>
    <w:rsid w:val="00EC033F"/>
    <w:rsid w:val="00EC1EDA"/>
    <w:rsid w:val="00EC32D6"/>
    <w:rsid w:val="00EC4E98"/>
    <w:rsid w:val="00EC5C1D"/>
    <w:rsid w:val="00EC695D"/>
    <w:rsid w:val="00ED621F"/>
    <w:rsid w:val="00EE2ECE"/>
    <w:rsid w:val="00EE5689"/>
    <w:rsid w:val="00EF2A4E"/>
    <w:rsid w:val="00EF5BBF"/>
    <w:rsid w:val="00EF680F"/>
    <w:rsid w:val="00F0034D"/>
    <w:rsid w:val="00F01FE7"/>
    <w:rsid w:val="00F12D06"/>
    <w:rsid w:val="00F22547"/>
    <w:rsid w:val="00F22E0E"/>
    <w:rsid w:val="00F23836"/>
    <w:rsid w:val="00F24572"/>
    <w:rsid w:val="00F259CE"/>
    <w:rsid w:val="00F31C2A"/>
    <w:rsid w:val="00F34BCC"/>
    <w:rsid w:val="00F358F1"/>
    <w:rsid w:val="00F37817"/>
    <w:rsid w:val="00F40722"/>
    <w:rsid w:val="00F41668"/>
    <w:rsid w:val="00F427D8"/>
    <w:rsid w:val="00F43524"/>
    <w:rsid w:val="00F50D06"/>
    <w:rsid w:val="00F52BCE"/>
    <w:rsid w:val="00F52ECB"/>
    <w:rsid w:val="00F532B2"/>
    <w:rsid w:val="00F63116"/>
    <w:rsid w:val="00F723C8"/>
    <w:rsid w:val="00F83532"/>
    <w:rsid w:val="00F860A5"/>
    <w:rsid w:val="00F90C52"/>
    <w:rsid w:val="00F924A4"/>
    <w:rsid w:val="00F93198"/>
    <w:rsid w:val="00F94C16"/>
    <w:rsid w:val="00FA0B28"/>
    <w:rsid w:val="00FA3145"/>
    <w:rsid w:val="00FA4A60"/>
    <w:rsid w:val="00FB3CBC"/>
    <w:rsid w:val="00FB518B"/>
    <w:rsid w:val="00FC143E"/>
    <w:rsid w:val="00FC1648"/>
    <w:rsid w:val="00FC3737"/>
    <w:rsid w:val="00FC3CB9"/>
    <w:rsid w:val="00FC420A"/>
    <w:rsid w:val="00FC51AE"/>
    <w:rsid w:val="00FD072F"/>
    <w:rsid w:val="00FD3142"/>
    <w:rsid w:val="00FD794C"/>
    <w:rsid w:val="00FE39F2"/>
    <w:rsid w:val="00FE6472"/>
    <w:rsid w:val="00FE6B1E"/>
    <w:rsid w:val="00FF1E6D"/>
    <w:rsid w:val="00FF46F9"/>
    <w:rsid w:val="00FF7904"/>
    <w:rsid w:val="01041951"/>
    <w:rsid w:val="05E40C54"/>
    <w:rsid w:val="06A42377"/>
    <w:rsid w:val="07587E1D"/>
    <w:rsid w:val="093A0DE5"/>
    <w:rsid w:val="0AF9CB7F"/>
    <w:rsid w:val="0F877EC3"/>
    <w:rsid w:val="117D361B"/>
    <w:rsid w:val="13836007"/>
    <w:rsid w:val="13A14AC4"/>
    <w:rsid w:val="150C03F7"/>
    <w:rsid w:val="1CE61304"/>
    <w:rsid w:val="1D5E7B70"/>
    <w:rsid w:val="1EEB7D15"/>
    <w:rsid w:val="206E0FC8"/>
    <w:rsid w:val="23B02BC5"/>
    <w:rsid w:val="25FE5651"/>
    <w:rsid w:val="26472A30"/>
    <w:rsid w:val="274779FD"/>
    <w:rsid w:val="2ACB3B4E"/>
    <w:rsid w:val="2D5D6C5F"/>
    <w:rsid w:val="2E47409D"/>
    <w:rsid w:val="34803EC8"/>
    <w:rsid w:val="34B9379B"/>
    <w:rsid w:val="35E772E4"/>
    <w:rsid w:val="3EAE7781"/>
    <w:rsid w:val="3F779754"/>
    <w:rsid w:val="3FA78228"/>
    <w:rsid w:val="413A3D72"/>
    <w:rsid w:val="43B12F69"/>
    <w:rsid w:val="4687467B"/>
    <w:rsid w:val="495C7CF8"/>
    <w:rsid w:val="49A2495C"/>
    <w:rsid w:val="4A603B63"/>
    <w:rsid w:val="4BC13157"/>
    <w:rsid w:val="4C303B79"/>
    <w:rsid w:val="5439223A"/>
    <w:rsid w:val="553F0BCB"/>
    <w:rsid w:val="5C696B87"/>
    <w:rsid w:val="5D002955"/>
    <w:rsid w:val="5DAB167E"/>
    <w:rsid w:val="60732830"/>
    <w:rsid w:val="61452CD9"/>
    <w:rsid w:val="63DE1DF7"/>
    <w:rsid w:val="650F518F"/>
    <w:rsid w:val="678D25CA"/>
    <w:rsid w:val="68964C95"/>
    <w:rsid w:val="6C2142DB"/>
    <w:rsid w:val="6D6C01D4"/>
    <w:rsid w:val="6EBBEF1C"/>
    <w:rsid w:val="70120D53"/>
    <w:rsid w:val="701E08C7"/>
    <w:rsid w:val="70932323"/>
    <w:rsid w:val="74322378"/>
    <w:rsid w:val="754049A5"/>
    <w:rsid w:val="76FF0615"/>
    <w:rsid w:val="77AFCE9C"/>
    <w:rsid w:val="7ACC7DC7"/>
    <w:rsid w:val="7C7951F7"/>
    <w:rsid w:val="BD737697"/>
    <w:rsid w:val="BEF9AD9B"/>
    <w:rsid w:val="F63D405D"/>
    <w:rsid w:val="F769E095"/>
    <w:rsid w:val="FEFF4084"/>
    <w:rsid w:val="FF3E3E40"/>
    <w:rsid w:val="FFFF998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semiHidden="0"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49"/>
    <w:qFormat/>
    <w:uiPriority w:val="9"/>
    <w:pPr>
      <w:keepNext/>
      <w:keepLines/>
      <w:spacing w:before="340" w:after="330" w:line="578" w:lineRule="auto"/>
      <w:outlineLvl w:val="0"/>
    </w:pPr>
    <w:rPr>
      <w:b/>
      <w:bCs/>
      <w:kern w:val="44"/>
      <w:sz w:val="44"/>
      <w:szCs w:val="44"/>
    </w:rPr>
  </w:style>
  <w:style w:type="character" w:default="1" w:styleId="14">
    <w:name w:val="Default Paragraph Font"/>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27"/>
    <w:unhideWhenUsed/>
    <w:qFormat/>
    <w:uiPriority w:val="99"/>
    <w:pPr>
      <w:jc w:val="left"/>
    </w:pPr>
  </w:style>
  <w:style w:type="paragraph" w:styleId="4">
    <w:name w:val="Body Text"/>
    <w:basedOn w:val="1"/>
    <w:qFormat/>
    <w:uiPriority w:val="1"/>
    <w:pPr>
      <w:spacing w:before="37"/>
      <w:ind w:left="540"/>
    </w:pPr>
    <w:rPr>
      <w:rFonts w:ascii="宋体" w:hAnsi="宋体" w:eastAsia="宋体"/>
      <w:szCs w:val="21"/>
    </w:rPr>
  </w:style>
  <w:style w:type="paragraph" w:styleId="5">
    <w:name w:val="Balloon Text"/>
    <w:basedOn w:val="1"/>
    <w:link w:val="29"/>
    <w:unhideWhenUsed/>
    <w:qFormat/>
    <w:uiPriority w:val="99"/>
    <w:rPr>
      <w:sz w:val="18"/>
      <w:szCs w:val="18"/>
    </w:rPr>
  </w:style>
  <w:style w:type="paragraph" w:styleId="6">
    <w:name w:val="footer"/>
    <w:basedOn w:val="1"/>
    <w:link w:val="20"/>
    <w:autoRedefine/>
    <w:unhideWhenUsed/>
    <w:qFormat/>
    <w:uiPriority w:val="99"/>
    <w:pPr>
      <w:tabs>
        <w:tab w:val="center" w:pos="4153"/>
        <w:tab w:val="right" w:pos="8306"/>
      </w:tabs>
      <w:snapToGrid w:val="0"/>
      <w:jc w:val="left"/>
    </w:pPr>
    <w:rPr>
      <w:sz w:val="18"/>
      <w:szCs w:val="18"/>
    </w:rPr>
  </w:style>
  <w:style w:type="paragraph" w:styleId="7">
    <w:name w:val="header"/>
    <w:basedOn w:val="1"/>
    <w:link w:val="19"/>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toc 1"/>
    <w:basedOn w:val="1"/>
    <w:next w:val="1"/>
    <w:autoRedefine/>
    <w:unhideWhenUsed/>
    <w:qFormat/>
    <w:uiPriority w:val="39"/>
  </w:style>
  <w:style w:type="paragraph" w:styleId="9">
    <w:name w:val="HTML Preformatted"/>
    <w:basedOn w:val="1"/>
    <w:link w:val="31"/>
    <w:autoRedefine/>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10">
    <w:name w:val="Normal (Web)"/>
    <w:basedOn w:val="1"/>
    <w:autoRedefine/>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1">
    <w:name w:val="annotation subject"/>
    <w:basedOn w:val="3"/>
    <w:next w:val="3"/>
    <w:link w:val="28"/>
    <w:autoRedefine/>
    <w:unhideWhenUsed/>
    <w:qFormat/>
    <w:uiPriority w:val="99"/>
    <w:rPr>
      <w:b/>
      <w:bCs/>
    </w:rPr>
  </w:style>
  <w:style w:type="table" w:styleId="13">
    <w:name w:val="Table Grid"/>
    <w:basedOn w:val="12"/>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Emphasis"/>
    <w:basedOn w:val="14"/>
    <w:autoRedefine/>
    <w:qFormat/>
    <w:uiPriority w:val="20"/>
    <w:rPr>
      <w:i/>
      <w:iCs/>
    </w:rPr>
  </w:style>
  <w:style w:type="character" w:styleId="16">
    <w:name w:val="Hyperlink"/>
    <w:basedOn w:val="14"/>
    <w:autoRedefine/>
    <w:unhideWhenUsed/>
    <w:qFormat/>
    <w:uiPriority w:val="99"/>
    <w:rPr>
      <w:color w:val="0563C1" w:themeColor="hyperlink"/>
      <w:u w:val="single"/>
      <w14:textFill>
        <w14:solidFill>
          <w14:schemeClr w14:val="hlink"/>
        </w14:solidFill>
      </w14:textFill>
    </w:rPr>
  </w:style>
  <w:style w:type="character" w:styleId="17">
    <w:name w:val="annotation reference"/>
    <w:basedOn w:val="14"/>
    <w:autoRedefine/>
    <w:unhideWhenUsed/>
    <w:qFormat/>
    <w:uiPriority w:val="99"/>
    <w:rPr>
      <w:sz w:val="21"/>
      <w:szCs w:val="21"/>
    </w:rPr>
  </w:style>
  <w:style w:type="paragraph" w:customStyle="1" w:styleId="18">
    <w:name w:val="列出段落1"/>
    <w:basedOn w:val="1"/>
    <w:link w:val="22"/>
    <w:autoRedefine/>
    <w:qFormat/>
    <w:uiPriority w:val="34"/>
    <w:pPr>
      <w:ind w:firstLine="420" w:firstLineChars="200"/>
    </w:pPr>
  </w:style>
  <w:style w:type="character" w:customStyle="1" w:styleId="19">
    <w:name w:val="页眉 字符"/>
    <w:basedOn w:val="14"/>
    <w:link w:val="7"/>
    <w:autoRedefine/>
    <w:qFormat/>
    <w:uiPriority w:val="99"/>
    <w:rPr>
      <w:sz w:val="18"/>
      <w:szCs w:val="18"/>
    </w:rPr>
  </w:style>
  <w:style w:type="character" w:customStyle="1" w:styleId="20">
    <w:name w:val="页脚 字符"/>
    <w:basedOn w:val="14"/>
    <w:link w:val="6"/>
    <w:autoRedefine/>
    <w:qFormat/>
    <w:uiPriority w:val="99"/>
    <w:rPr>
      <w:sz w:val="18"/>
      <w:szCs w:val="18"/>
    </w:rPr>
  </w:style>
  <w:style w:type="paragraph" w:customStyle="1" w:styleId="21">
    <w:name w:val="EndNote Bibliography Title"/>
    <w:basedOn w:val="1"/>
    <w:link w:val="23"/>
    <w:autoRedefine/>
    <w:qFormat/>
    <w:uiPriority w:val="0"/>
    <w:pPr>
      <w:jc w:val="center"/>
    </w:pPr>
    <w:rPr>
      <w:rFonts w:ascii="等线" w:hAnsi="等线" w:eastAsia="等线"/>
      <w:sz w:val="20"/>
    </w:rPr>
  </w:style>
  <w:style w:type="character" w:customStyle="1" w:styleId="22">
    <w:name w:val="列出段落 Char"/>
    <w:basedOn w:val="14"/>
    <w:link w:val="18"/>
    <w:autoRedefine/>
    <w:qFormat/>
    <w:uiPriority w:val="34"/>
  </w:style>
  <w:style w:type="character" w:customStyle="1" w:styleId="23">
    <w:name w:val="EndNote Bibliography Title 字符"/>
    <w:basedOn w:val="22"/>
    <w:link w:val="21"/>
    <w:autoRedefine/>
    <w:qFormat/>
    <w:uiPriority w:val="0"/>
    <w:rPr>
      <w:rFonts w:ascii="等线" w:hAnsi="等线" w:eastAsia="等线"/>
      <w:sz w:val="20"/>
    </w:rPr>
  </w:style>
  <w:style w:type="paragraph" w:customStyle="1" w:styleId="24">
    <w:name w:val="EndNote Bibliography"/>
    <w:basedOn w:val="1"/>
    <w:link w:val="25"/>
    <w:autoRedefine/>
    <w:qFormat/>
    <w:uiPriority w:val="0"/>
    <w:rPr>
      <w:rFonts w:ascii="等线" w:hAnsi="等线" w:eastAsia="等线"/>
      <w:sz w:val="20"/>
    </w:rPr>
  </w:style>
  <w:style w:type="character" w:customStyle="1" w:styleId="25">
    <w:name w:val="EndNote Bibliography 字符"/>
    <w:basedOn w:val="22"/>
    <w:link w:val="24"/>
    <w:autoRedefine/>
    <w:qFormat/>
    <w:uiPriority w:val="0"/>
    <w:rPr>
      <w:rFonts w:ascii="等线" w:hAnsi="等线" w:eastAsia="等线"/>
      <w:sz w:val="20"/>
    </w:rPr>
  </w:style>
  <w:style w:type="character" w:customStyle="1" w:styleId="26">
    <w:name w:val="未处理的提及1"/>
    <w:basedOn w:val="14"/>
    <w:autoRedefine/>
    <w:unhideWhenUsed/>
    <w:qFormat/>
    <w:uiPriority w:val="99"/>
    <w:rPr>
      <w:color w:val="605E5C"/>
      <w:shd w:val="clear" w:color="auto" w:fill="E1DFDD"/>
    </w:rPr>
  </w:style>
  <w:style w:type="character" w:customStyle="1" w:styleId="27">
    <w:name w:val="批注文字 字符"/>
    <w:basedOn w:val="14"/>
    <w:link w:val="3"/>
    <w:autoRedefine/>
    <w:semiHidden/>
    <w:qFormat/>
    <w:uiPriority w:val="99"/>
  </w:style>
  <w:style w:type="character" w:customStyle="1" w:styleId="28">
    <w:name w:val="批注主题 字符"/>
    <w:basedOn w:val="27"/>
    <w:link w:val="11"/>
    <w:autoRedefine/>
    <w:semiHidden/>
    <w:qFormat/>
    <w:uiPriority w:val="99"/>
    <w:rPr>
      <w:b/>
      <w:bCs/>
    </w:rPr>
  </w:style>
  <w:style w:type="character" w:customStyle="1" w:styleId="29">
    <w:name w:val="批注框文本 字符"/>
    <w:basedOn w:val="14"/>
    <w:link w:val="5"/>
    <w:autoRedefine/>
    <w:semiHidden/>
    <w:qFormat/>
    <w:uiPriority w:val="99"/>
    <w:rPr>
      <w:sz w:val="18"/>
      <w:szCs w:val="18"/>
    </w:rPr>
  </w:style>
  <w:style w:type="paragraph" w:customStyle="1" w:styleId="30">
    <w:name w:val="修订1"/>
    <w:autoRedefine/>
    <w:hidden/>
    <w:semiHidden/>
    <w:qFormat/>
    <w:uiPriority w:val="99"/>
    <w:rPr>
      <w:rFonts w:asciiTheme="minorHAnsi" w:hAnsiTheme="minorHAnsi" w:eastAsiaTheme="minorEastAsia" w:cstheme="minorBidi"/>
      <w:kern w:val="2"/>
      <w:sz w:val="21"/>
      <w:szCs w:val="22"/>
      <w:lang w:val="en-US" w:eastAsia="zh-CN" w:bidi="ar-SA"/>
    </w:rPr>
  </w:style>
  <w:style w:type="character" w:customStyle="1" w:styleId="31">
    <w:name w:val="HTML 预设格式 字符"/>
    <w:basedOn w:val="14"/>
    <w:link w:val="9"/>
    <w:autoRedefine/>
    <w:semiHidden/>
    <w:qFormat/>
    <w:uiPriority w:val="99"/>
    <w:rPr>
      <w:rFonts w:ascii="宋体" w:hAnsi="宋体" w:eastAsia="宋体" w:cs="宋体"/>
      <w:kern w:val="0"/>
      <w:sz w:val="24"/>
      <w:szCs w:val="24"/>
    </w:rPr>
  </w:style>
  <w:style w:type="character" w:customStyle="1" w:styleId="32">
    <w:name w:val="y2iqfc"/>
    <w:basedOn w:val="14"/>
    <w:autoRedefine/>
    <w:qFormat/>
    <w:uiPriority w:val="0"/>
  </w:style>
  <w:style w:type="character" w:customStyle="1" w:styleId="33">
    <w:name w:val="inner-text-paragraph-org"/>
    <w:basedOn w:val="14"/>
    <w:autoRedefine/>
    <w:qFormat/>
    <w:uiPriority w:val="0"/>
  </w:style>
  <w:style w:type="character" w:customStyle="1" w:styleId="34">
    <w:name w:val="未处理的提及2"/>
    <w:basedOn w:val="14"/>
    <w:autoRedefine/>
    <w:unhideWhenUsed/>
    <w:qFormat/>
    <w:uiPriority w:val="99"/>
    <w:rPr>
      <w:color w:val="605E5C"/>
      <w:shd w:val="clear" w:color="auto" w:fill="E1DFDD"/>
    </w:rPr>
  </w:style>
  <w:style w:type="character" w:customStyle="1" w:styleId="35">
    <w:name w:val="列表段落 字符1"/>
    <w:basedOn w:val="14"/>
    <w:autoRedefine/>
    <w:qFormat/>
    <w:uiPriority w:val="34"/>
  </w:style>
  <w:style w:type="paragraph" w:customStyle="1" w:styleId="36">
    <w:name w:val="文献分类号"/>
    <w:autoRedefine/>
    <w:qFormat/>
    <w:uiPriority w:val="0"/>
    <w:pPr>
      <w:framePr w:hSpace="180" w:vSpace="180" w:wrap="around" w:vAnchor="margin" w:hAnchor="margin" w:y="1" w:anchorLock="1"/>
      <w:widowControl w:val="0"/>
      <w:textAlignment w:val="center"/>
    </w:pPr>
    <w:rPr>
      <w:rFonts w:ascii="黑体" w:hAnsi="Times New Roman" w:eastAsia="黑体" w:cs="Times New Roman"/>
      <w:sz w:val="21"/>
      <w:szCs w:val="21"/>
      <w:lang w:val="en-US" w:eastAsia="zh-CN" w:bidi="ar-SA"/>
    </w:rPr>
  </w:style>
  <w:style w:type="paragraph" w:customStyle="1" w:styleId="37">
    <w:name w:val="Heading #2|1"/>
    <w:basedOn w:val="1"/>
    <w:autoRedefine/>
    <w:qFormat/>
    <w:uiPriority w:val="0"/>
    <w:pPr>
      <w:keepNext/>
      <w:keepLines/>
      <w:framePr w:w="9116" w:h="3482" w:hRule="exact" w:wrap="around" w:vAnchor="page" w:hAnchor="page" w:x="1327" w:y="6897" w:anchorLock="1"/>
      <w:spacing w:after="400"/>
      <w:jc w:val="center"/>
      <w:outlineLvl w:val="1"/>
    </w:pPr>
    <w:rPr>
      <w:rFonts w:ascii="Times New Roman" w:hAnsi="Times New Roman" w:eastAsia="黑体" w:cs="Times New Roman"/>
      <w:color w:val="000000"/>
      <w:kern w:val="0"/>
      <w:sz w:val="28"/>
      <w:szCs w:val="28"/>
      <w:lang w:bidi="zh-TW"/>
    </w:rPr>
  </w:style>
  <w:style w:type="paragraph" w:customStyle="1" w:styleId="38">
    <w:name w:val="封面标准号2"/>
    <w:autoRedefine/>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paragraph" w:customStyle="1" w:styleId="39">
    <w:name w:val="封面标准代替信息"/>
    <w:autoRedefine/>
    <w:qFormat/>
    <w:uiPriority w:val="0"/>
    <w:pPr>
      <w:framePr w:w="9140" w:h="1242" w:hRule="exact" w:hSpace="284" w:wrap="around" w:vAnchor="page" w:hAnchor="page" w:x="1645" w:y="2910" w:anchorLock="1"/>
      <w:spacing w:before="57" w:line="280" w:lineRule="exact"/>
      <w:jc w:val="right"/>
    </w:pPr>
    <w:rPr>
      <w:rFonts w:ascii="宋体" w:hAnsi="Times New Roman" w:eastAsia="宋体" w:cs="Times New Roman"/>
      <w:sz w:val="21"/>
      <w:szCs w:val="21"/>
      <w:lang w:val="en-US" w:eastAsia="zh-CN" w:bidi="ar-SA"/>
    </w:rPr>
  </w:style>
  <w:style w:type="paragraph" w:customStyle="1" w:styleId="40">
    <w:name w:val="标准称谓"/>
    <w:next w:val="1"/>
    <w:autoRedefine/>
    <w:qFormat/>
    <w:uiPriority w:val="0"/>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hAnsi="Times New Roman" w:eastAsia="宋体" w:cs="Times New Roman"/>
      <w:b/>
      <w:bCs/>
      <w:spacing w:val="20"/>
      <w:w w:val="148"/>
      <w:sz w:val="48"/>
      <w:lang w:val="en-US" w:eastAsia="zh-CN" w:bidi="ar-SA"/>
    </w:rPr>
  </w:style>
  <w:style w:type="paragraph" w:customStyle="1" w:styleId="41">
    <w:name w:val="标准标志"/>
    <w:next w:val="1"/>
    <w:autoRedefine/>
    <w:qFormat/>
    <w:uiPriority w:val="0"/>
    <w:pPr>
      <w:framePr w:w="2546" w:h="1389" w:hRule="exact" w:hSpace="181" w:vSpace="181" w:wrap="around" w:vAnchor="margin" w:hAnchor="margin" w:x="6522" w:y="398" w:anchorLock="1"/>
      <w:shd w:val="solid" w:color="FFFFFF" w:fill="FFFFFF"/>
      <w:spacing w:line="0" w:lineRule="atLeast"/>
      <w:jc w:val="right"/>
    </w:pPr>
    <w:rPr>
      <w:rFonts w:ascii="Times New Roman" w:hAnsi="Times New Roman" w:eastAsia="宋体" w:cs="Times New Roman"/>
      <w:b/>
      <w:w w:val="170"/>
      <w:sz w:val="96"/>
      <w:szCs w:val="96"/>
      <w:lang w:val="en-US" w:eastAsia="zh-CN" w:bidi="ar-SA"/>
    </w:rPr>
  </w:style>
  <w:style w:type="paragraph" w:customStyle="1" w:styleId="42">
    <w:name w:val="发布部门"/>
    <w:next w:val="43"/>
    <w:autoRedefine/>
    <w:qFormat/>
    <w:uiPriority w:val="0"/>
    <w:pPr>
      <w:framePr w:w="9416" w:h="1134" w:hRule="exact" w:hSpace="125" w:vSpace="181" w:wrap="around" w:vAnchor="page" w:hAnchor="page" w:x="1488" w:y="15540" w:anchorLock="1"/>
      <w:pBdr>
        <w:top w:val="single" w:color="auto" w:sz="4" w:space="1"/>
        <w:left w:val="none" w:color="auto" w:sz="0" w:space="4"/>
        <w:bottom w:val="none" w:color="auto" w:sz="0" w:space="1"/>
        <w:right w:val="none" w:color="auto" w:sz="0" w:space="4"/>
      </w:pBdr>
      <w:jc w:val="center"/>
      <w:pPrChange w:id="0" w:author="腾 王" w:date="2026-03-26T19:55:00Z">
        <w:pPr>
          <w:framePr w:w="7938" w:h="1134" w:hRule="exact" w:hSpace="125" w:vSpace="181" w:wrap="around" w:vAnchor="page" w:hAnchor="page" w:x="2150" w:y="14630" w:anchorLock="1"/>
          <w:jc w:val="center"/>
        </w:pPr>
      </w:pPrChange>
    </w:pPr>
    <w:rPr>
      <w:rFonts w:ascii="黑体" w:hAnsi="黑体" w:eastAsia="黑体" w:cs="黑体"/>
      <w:bCs/>
      <w:spacing w:val="20"/>
      <w:sz w:val="28"/>
      <w:szCs w:val="28"/>
      <w:lang w:val="en-US" w:eastAsia="zh-CN" w:bidi="ar-SA"/>
      <w:rPrChange w:id="1" w:author="腾 王" w:date="2026-03-26T19:55:00Z">
        <w:rPr>
          <w:rFonts w:ascii="宋体" w:eastAsia="宋体"/>
          <w:b/>
          <w:spacing w:val="20"/>
          <w:w w:val="135"/>
          <w:sz w:val="28"/>
          <w:lang w:val="en-US" w:eastAsia="zh-CN" w:bidi="ar-SA"/>
        </w:rPr>
      </w:rPrChange>
    </w:rPr>
  </w:style>
  <w:style w:type="paragraph" w:customStyle="1" w:styleId="43">
    <w:name w:val="段"/>
    <w:autoRedefine/>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customStyle="1" w:styleId="44">
    <w:name w:val="其他发布日期"/>
    <w:basedOn w:val="45"/>
    <w:autoRedefine/>
    <w:qFormat/>
    <w:uiPriority w:val="0"/>
    <w:pPr>
      <w:framePr w:w="9331" w:wrap="around" w:vAnchor="page" w:x="1361" w:y="15161"/>
      <w:jc w:val="center"/>
      <w:pPrChange w:id="2" w:author="腾 王" w:date="2026-03-26T19:55:00Z">
        <w:pPr>
          <w:framePr w:w="3997" w:h="471" w:hRule="exact" w:vSpace="181" w:wrap="around" w:vAnchor="page" w:hAnchor="text" w:x="1419" w:y="14097" w:anchorLock="1"/>
        </w:pPr>
      </w:pPrChange>
    </w:pPr>
    <w:rPr>
      <w:rPrChange w:id="3" w:author="腾 王" w:date="2026-03-26T19:55:00Z">
        <w:rPr>
          <w:rFonts w:eastAsia="黑体"/>
          <w:sz w:val="28"/>
          <w:lang w:val="en-US" w:eastAsia="zh-CN" w:bidi="ar-SA"/>
        </w:rPr>
      </w:rPrChange>
    </w:rPr>
  </w:style>
  <w:style w:type="paragraph" w:customStyle="1" w:styleId="45">
    <w:name w:val="发布日期"/>
    <w:autoRedefine/>
    <w:qFormat/>
    <w:uiPriority w:val="0"/>
    <w:pPr>
      <w:framePr w:w="3997" w:h="471" w:hRule="exact" w:vSpace="181" w:wrap="around" w:vAnchor="margin" w:hAnchor="page" w:x="7089" w:y="14097" w:anchorLock="1"/>
    </w:pPr>
    <w:rPr>
      <w:rFonts w:ascii="Times New Roman" w:hAnsi="Times New Roman" w:eastAsia="黑体" w:cs="Times New Roman"/>
      <w:sz w:val="28"/>
      <w:lang w:val="en-US" w:eastAsia="zh-CN" w:bidi="ar-SA"/>
    </w:rPr>
  </w:style>
  <w:style w:type="paragraph" w:customStyle="1" w:styleId="46">
    <w:name w:val="样式1"/>
    <w:basedOn w:val="1"/>
    <w:next w:val="8"/>
    <w:autoRedefine/>
    <w:qFormat/>
    <w:uiPriority w:val="0"/>
  </w:style>
  <w:style w:type="paragraph" w:customStyle="1" w:styleId="47">
    <w:name w:val="标准文件_段"/>
    <w:qFormat/>
    <w:uiPriority w:val="0"/>
    <w:pPr>
      <w:autoSpaceDE w:val="0"/>
      <w:autoSpaceDN w:val="0"/>
      <w:spacing w:line="276" w:lineRule="auto"/>
      <w:ind w:firstLine="420" w:firstLineChars="200"/>
      <w:jc w:val="both"/>
    </w:pPr>
    <w:rPr>
      <w:rFonts w:ascii="Times New Roman" w:hAnsi="Times New Roman" w:eastAsia="宋体" w:cs="Times New Roman"/>
      <w:sz w:val="21"/>
      <w:szCs w:val="21"/>
      <w:lang w:val="en-US" w:eastAsia="zh-CN" w:bidi="ar-SA"/>
    </w:rPr>
  </w:style>
  <w:style w:type="paragraph" w:customStyle="1" w:styleId="48">
    <w:name w:val="Revision"/>
    <w:hidden/>
    <w:semiHidden/>
    <w:uiPriority w:val="99"/>
    <w:rPr>
      <w:rFonts w:asciiTheme="minorHAnsi" w:hAnsiTheme="minorHAnsi" w:eastAsiaTheme="minorEastAsia" w:cstheme="minorBidi"/>
      <w:kern w:val="2"/>
      <w:sz w:val="21"/>
      <w:szCs w:val="22"/>
      <w:lang w:val="en-US" w:eastAsia="zh-CN" w:bidi="ar-SA"/>
    </w:rPr>
  </w:style>
  <w:style w:type="character" w:customStyle="1" w:styleId="49">
    <w:name w:val="标题 1 字符"/>
    <w:basedOn w:val="14"/>
    <w:link w:val="2"/>
    <w:uiPriority w:val="9"/>
    <w:rPr>
      <w:rFonts w:asciiTheme="minorHAnsi" w:hAnsiTheme="minorHAnsi" w:eastAsiaTheme="minorEastAsia" w:cstheme="minorBidi"/>
      <w:b/>
      <w:bCs/>
      <w:kern w:val="44"/>
      <w:sz w:val="44"/>
      <w:szCs w:val="44"/>
    </w:rPr>
  </w:style>
  <w:style w:type="paragraph" w:customStyle="1" w:styleId="50">
    <w:name w:val="TOC Heading"/>
    <w:basedOn w:val="2"/>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2F5597" w:themeColor="accent1" w:themeShade="BF"/>
      <w:kern w:val="0"/>
      <w:sz w:val="32"/>
      <w:szCs w:val="32"/>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1" Type="http://schemas.openxmlformats.org/officeDocument/2006/relationships/fontTable" Target="fontTable.xml"/><Relationship Id="rId20" Type="http://schemas.openxmlformats.org/officeDocument/2006/relationships/customXml" Target="../customXml/item2.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1.jpeg"/><Relationship Id="rId16" Type="http://schemas.openxmlformats.org/officeDocument/2006/relationships/theme" Target="theme/theme1.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header" Target="header4.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7E01F1B-CC69-4F4C-878C-235FC30D3664}">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11</Pages>
  <Words>3080</Words>
  <Characters>3815</Characters>
  <Lines>56</Lines>
  <Paragraphs>15</Paragraphs>
  <TotalTime>41</TotalTime>
  <ScaleCrop>false</ScaleCrop>
  <LinksUpToDate>false</LinksUpToDate>
  <CharactersWithSpaces>4014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2026-03-25T03:22:00Z</dcterms:created>
  <dc:creator>Family</dc:creator>
  <cp:lastModifiedBy>J</cp:lastModifiedBy>
  <cp:lastPrinted>2021-10-22T19:40:00Z</cp:lastPrinted>
  <dcterms:modified xsi:type="dcterms:W3CDTF">2026-04-24T03:48:26Z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4FD103AE745049B5A87703938E4482AE_13</vt:lpwstr>
  </property>
  <property fmtid="{D5CDD505-2E9C-101B-9397-08002B2CF9AE}" pid="4" name="KSOTemplateDocerSaveRecord">
    <vt:lpwstr>eyJoZGlkIjoiMTFmMDJjZGU0YzYzNjgxMjg1NzBlNDNlZWZkY2IyNjMiLCJ1c2VySWQiOiIxMzc2MzQzNjk3In0=</vt:lpwstr>
  </property>
</Properties>
</file>