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C3502D">
      <w:pPr>
        <w:pStyle w:val="36"/>
        <w:framePr w:wrap="around" w:vAnchor="page" w:hAnchor="page" w:x="1821" w:y="739"/>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11E7B4ED">
      <w:pPr>
        <w:pStyle w:val="36"/>
        <w:framePr w:wrap="around" w:vAnchor="page" w:hAnchor="page" w:x="1821" w:y="739"/>
        <w:rPr>
          <w:rFonts w:ascii="Times New Roman"/>
          <w:b/>
          <w:bCs/>
        </w:rPr>
      </w:pPr>
      <w:r>
        <w:rPr>
          <w:rFonts w:hint="eastAsia" w:ascii="Times New Roman"/>
          <w:b/>
          <w:bCs/>
        </w:rPr>
        <w:t>CCS C 05</w:t>
      </w:r>
    </w:p>
    <w:p w14:paraId="0114B521">
      <w:pPr>
        <w:pStyle w:val="40"/>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11"/>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3B564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12755BFA">
            <w:pPr>
              <w:pStyle w:val="38"/>
              <w:framePr w:wrap="around" w:x="1382" w:y="3031"/>
              <w:rPr>
                <w:lang w:val="fr-FR"/>
              </w:rPr>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lang w:val="fr-FR"/>
              </w:rPr>
              <w:t>RHA</w:t>
            </w:r>
            <w:bookmarkEnd w:id="0"/>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77EEFE1D">
      <w:pPr>
        <w:pStyle w:val="38"/>
        <w:framePr w:wrap="around" w:x="1382" w:y="3031"/>
        <w:jc w:val="center"/>
        <w:rPr>
          <w:lang w:val="fr-FR"/>
        </w:rPr>
      </w:pPr>
      <w:r>
        <w:rPr>
          <w:rFonts w:hint="eastAsia"/>
          <w:lang w:val="fr-FR"/>
        </w:rPr>
        <w:t>————————————————————————————————————————</w:t>
      </w:r>
    </w:p>
    <w:p w14:paraId="269793BA">
      <w:pPr>
        <w:pStyle w:val="38"/>
        <w:framePr w:wrap="around" w:x="1382" w:y="3031"/>
        <w:rPr>
          <w:lang w:val="fr-FR"/>
        </w:rPr>
      </w:pPr>
    </w:p>
    <w:p w14:paraId="60A5EA57">
      <w:pPr>
        <w:pStyle w:val="37"/>
        <w:keepNext/>
        <w:keepLines/>
        <w:framePr w:w="9116" w:h="4691" w:hRule="exact" w:wrap="around" w:vAnchor="page" w:hAnchor="page" w:x="1327" w:y="6897" w:anchorLock="1"/>
        <w:ind w:firstLine="0"/>
        <w:jc w:val="center"/>
        <w:outlineLvl w:val="9"/>
        <w:rPr>
          <w:rFonts w:hint="eastAsia" w:ascii="黑体" w:hAnsi="黑体" w:eastAsia="黑体" w:cs="黑体"/>
          <w:color w:val="000000"/>
          <w:sz w:val="52"/>
          <w:szCs w:val="52"/>
          <w:lang w:val="en-US" w:eastAsia="zh-CN"/>
        </w:rPr>
      </w:pPr>
      <w:bookmarkStart w:id="1" w:name="StdEnglishName"/>
      <w:r>
        <w:rPr>
          <w:rFonts w:hint="eastAsia" w:ascii="黑体" w:hAnsi="黑体" w:eastAsia="黑体" w:cs="黑体"/>
          <w:color w:val="000000"/>
          <w:sz w:val="52"/>
          <w:szCs w:val="52"/>
          <w:lang w:val="en-US" w:eastAsia="zh-CN"/>
        </w:rPr>
        <w:t>成人有创机械通气患者院内转运管理</w:t>
      </w:r>
    </w:p>
    <w:p w14:paraId="581BEF7C">
      <w:pPr>
        <w:pStyle w:val="37"/>
        <w:keepNext/>
        <w:keepLines/>
        <w:framePr w:w="9116" w:h="4691" w:hRule="exact" w:wrap="around" w:vAnchor="page" w:hAnchor="page" w:x="1327" w:y="6897" w:anchorLock="1"/>
        <w:ind w:firstLine="0"/>
        <w:jc w:val="center"/>
        <w:outlineLvl w:val="9"/>
        <w:rPr>
          <w:rFonts w:ascii="Times New Roman Regular" w:hAnsi="Times New Roman Regular" w:eastAsia="黑体" w:cs="Times New Roman Regular"/>
          <w:color w:val="000000"/>
          <w:sz w:val="28"/>
          <w:szCs w:val="28"/>
          <w:lang w:val="en-US" w:eastAsia="zh-CN"/>
        </w:rPr>
      </w:pPr>
      <w:r>
        <w:rPr>
          <w:rFonts w:ascii="Times New Roman Regular" w:hAnsi="Times New Roman Regular" w:eastAsia="黑体" w:cs="Times New Roman Regular"/>
          <w:color w:val="000000"/>
          <w:sz w:val="28"/>
          <w:szCs w:val="28"/>
          <w:lang w:val="en-US" w:eastAsia="zh-CN"/>
        </w:rPr>
        <w:t xml:space="preserve">Management of </w:t>
      </w:r>
      <w:r>
        <w:rPr>
          <w:rFonts w:hint="eastAsia" w:ascii="Times New Roman Regular" w:hAnsi="Times New Roman Regular" w:eastAsia="黑体" w:cs="Times New Roman Regular"/>
          <w:color w:val="000000"/>
          <w:sz w:val="28"/>
          <w:szCs w:val="28"/>
          <w:lang w:val="en-US" w:eastAsia="zh-CN"/>
        </w:rPr>
        <w:t>i</w:t>
      </w:r>
      <w:r>
        <w:rPr>
          <w:rFonts w:ascii="Times New Roman Regular" w:hAnsi="Times New Roman Regular" w:eastAsia="黑体" w:cs="Times New Roman Regular"/>
          <w:color w:val="000000"/>
          <w:sz w:val="28"/>
          <w:szCs w:val="28"/>
          <w:lang w:val="en-US" w:eastAsia="zh-CN"/>
        </w:rPr>
        <w:t>ntra-</w:t>
      </w:r>
      <w:r>
        <w:rPr>
          <w:rFonts w:hint="eastAsia" w:ascii="Times New Roman Regular" w:hAnsi="Times New Roman Regular" w:eastAsia="黑体" w:cs="Times New Roman Regular"/>
          <w:color w:val="000000"/>
          <w:sz w:val="28"/>
          <w:szCs w:val="28"/>
          <w:lang w:val="en-US" w:eastAsia="zh-CN"/>
        </w:rPr>
        <w:t>h</w:t>
      </w:r>
      <w:r>
        <w:rPr>
          <w:rFonts w:ascii="Times New Roman Regular" w:hAnsi="Times New Roman Regular" w:eastAsia="黑体" w:cs="Times New Roman Regular"/>
          <w:color w:val="000000"/>
          <w:sz w:val="28"/>
          <w:szCs w:val="28"/>
          <w:lang w:val="en-US" w:eastAsia="zh-CN"/>
        </w:rPr>
        <w:t xml:space="preserve">ospital </w:t>
      </w:r>
      <w:r>
        <w:rPr>
          <w:rFonts w:hint="eastAsia" w:ascii="Times New Roman Regular" w:hAnsi="Times New Roman Regular" w:eastAsia="黑体" w:cs="Times New Roman Regular"/>
          <w:color w:val="000000"/>
          <w:sz w:val="28"/>
          <w:szCs w:val="28"/>
          <w:lang w:val="en-US" w:eastAsia="zh-CN"/>
        </w:rPr>
        <w:t>t</w:t>
      </w:r>
      <w:r>
        <w:rPr>
          <w:rFonts w:ascii="Times New Roman Regular" w:hAnsi="Times New Roman Regular" w:eastAsia="黑体" w:cs="Times New Roman Regular"/>
          <w:color w:val="000000"/>
          <w:sz w:val="28"/>
          <w:szCs w:val="28"/>
          <w:lang w:val="en-US" w:eastAsia="zh-CN"/>
        </w:rPr>
        <w:t xml:space="preserve">ransport for </w:t>
      </w:r>
      <w:r>
        <w:rPr>
          <w:rFonts w:hint="eastAsia" w:ascii="Times New Roman Regular" w:hAnsi="Times New Roman Regular" w:eastAsia="黑体" w:cs="Times New Roman Regular"/>
          <w:color w:val="000000"/>
          <w:sz w:val="28"/>
          <w:szCs w:val="28"/>
          <w:lang w:val="en-US" w:eastAsia="zh-CN"/>
        </w:rPr>
        <w:t>a</w:t>
      </w:r>
      <w:r>
        <w:rPr>
          <w:rFonts w:ascii="Times New Roman Regular" w:hAnsi="Times New Roman Regular" w:eastAsia="黑体" w:cs="Times New Roman Regular"/>
          <w:color w:val="000000"/>
          <w:sz w:val="28"/>
          <w:szCs w:val="28"/>
          <w:lang w:val="en-US" w:eastAsia="zh-CN"/>
        </w:rPr>
        <w:t xml:space="preserve">dult </w:t>
      </w:r>
      <w:r>
        <w:rPr>
          <w:rFonts w:hint="eastAsia" w:ascii="Times New Roman Regular" w:hAnsi="Times New Roman Regular" w:eastAsia="黑体" w:cs="Times New Roman Regular"/>
          <w:color w:val="000000"/>
          <w:sz w:val="28"/>
          <w:szCs w:val="28"/>
          <w:lang w:val="en-US" w:eastAsia="zh-CN"/>
        </w:rPr>
        <w:t>p</w:t>
      </w:r>
      <w:r>
        <w:rPr>
          <w:rFonts w:ascii="Times New Roman Regular" w:hAnsi="Times New Roman Regular" w:eastAsia="黑体" w:cs="Times New Roman Regular"/>
          <w:color w:val="000000"/>
          <w:sz w:val="28"/>
          <w:szCs w:val="28"/>
          <w:lang w:val="en-US" w:eastAsia="zh-CN"/>
        </w:rPr>
        <w:t xml:space="preserve">atients </w:t>
      </w:r>
      <w:r>
        <w:rPr>
          <w:rFonts w:hint="eastAsia" w:ascii="Times New Roman Regular" w:hAnsi="Times New Roman Regular" w:eastAsia="黑体" w:cs="Times New Roman Regular"/>
          <w:color w:val="000000"/>
          <w:sz w:val="28"/>
          <w:szCs w:val="28"/>
          <w:lang w:val="en-US" w:eastAsia="zh-CN"/>
        </w:rPr>
        <w:t>on</w:t>
      </w:r>
      <w:r>
        <w:rPr>
          <w:rFonts w:ascii="Times New Roman Regular" w:hAnsi="Times New Roman Regular" w:eastAsia="黑体" w:cs="Times New Roman Regular"/>
          <w:color w:val="000000"/>
          <w:sz w:val="28"/>
          <w:szCs w:val="28"/>
          <w:lang w:val="en-US" w:eastAsia="zh-CN"/>
        </w:rPr>
        <w:t xml:space="preserve"> </w:t>
      </w:r>
      <w:r>
        <w:rPr>
          <w:rFonts w:hint="eastAsia" w:ascii="Times New Roman Regular" w:hAnsi="Times New Roman Regular" w:eastAsia="黑体" w:cs="Times New Roman Regular"/>
          <w:color w:val="000000"/>
          <w:sz w:val="28"/>
          <w:szCs w:val="28"/>
          <w:lang w:val="en-US" w:eastAsia="zh-CN"/>
        </w:rPr>
        <w:t>i</w:t>
      </w:r>
      <w:r>
        <w:rPr>
          <w:rFonts w:ascii="Times New Roman Regular" w:hAnsi="Times New Roman Regular" w:eastAsia="黑体" w:cs="Times New Roman Regular"/>
          <w:color w:val="000000"/>
          <w:sz w:val="28"/>
          <w:szCs w:val="28"/>
          <w:lang w:val="en-US" w:eastAsia="zh-CN"/>
        </w:rPr>
        <w:t xml:space="preserve">nvasive </w:t>
      </w:r>
      <w:r>
        <w:rPr>
          <w:rFonts w:hint="eastAsia" w:ascii="Times New Roman Regular" w:hAnsi="Times New Roman Regular" w:eastAsia="黑体" w:cs="Times New Roman Regular"/>
          <w:color w:val="000000"/>
          <w:sz w:val="28"/>
          <w:szCs w:val="28"/>
          <w:lang w:val="en-US" w:eastAsia="zh-CN"/>
        </w:rPr>
        <w:t>m</w:t>
      </w:r>
      <w:r>
        <w:rPr>
          <w:rFonts w:ascii="Times New Roman Regular" w:hAnsi="Times New Roman Regular" w:eastAsia="黑体" w:cs="Times New Roman Regular"/>
          <w:color w:val="000000"/>
          <w:sz w:val="28"/>
          <w:szCs w:val="28"/>
          <w:lang w:val="en-US" w:eastAsia="zh-CN"/>
        </w:rPr>
        <w:t xml:space="preserve">echanical </w:t>
      </w:r>
      <w:r>
        <w:rPr>
          <w:rFonts w:hint="eastAsia" w:ascii="Times New Roman Regular" w:hAnsi="Times New Roman Regular" w:eastAsia="黑体" w:cs="Times New Roman Regular"/>
          <w:color w:val="000000"/>
          <w:sz w:val="28"/>
          <w:szCs w:val="28"/>
          <w:lang w:val="en-US" w:eastAsia="zh-CN"/>
        </w:rPr>
        <w:t>v</w:t>
      </w:r>
      <w:r>
        <w:rPr>
          <w:rFonts w:ascii="Times New Roman Regular" w:hAnsi="Times New Roman Regular" w:eastAsia="黑体" w:cs="Times New Roman Regular"/>
          <w:color w:val="000000"/>
          <w:sz w:val="28"/>
          <w:szCs w:val="28"/>
          <w:lang w:val="en-US" w:eastAsia="zh-CN"/>
        </w:rPr>
        <w:t>entilation</w:t>
      </w:r>
    </w:p>
    <w:p w14:paraId="299AD2E5">
      <w:pPr>
        <w:pStyle w:val="37"/>
        <w:keepNext/>
        <w:keepLines/>
        <w:framePr w:w="9116" w:h="4691" w:hRule="exact" w:wrap="around" w:vAnchor="page" w:hAnchor="page" w:x="1327" w:y="6897" w:anchorLock="1"/>
        <w:ind w:firstLine="0"/>
        <w:jc w:val="center"/>
        <w:outlineLvl w:val="9"/>
        <w:rPr>
          <w:rFonts w:ascii="黑体" w:hAnsi="黑体" w:eastAsia="黑体" w:cs="Times New Roman"/>
          <w:b w:val="0"/>
          <w:bCs w:val="0"/>
          <w:color w:val="000000"/>
          <w:sz w:val="28"/>
          <w:szCs w:val="28"/>
          <w:lang w:val="en-US" w:eastAsia="zh-CN"/>
        </w:rPr>
      </w:pPr>
      <w:r>
        <w:rPr>
          <w:rFonts w:hint="eastAsia" w:ascii="黑体" w:hAnsi="黑体" w:eastAsia="黑体" w:cs="Times New Roman"/>
          <w:b w:val="0"/>
          <w:bCs w:val="0"/>
          <w:color w:val="000000"/>
          <w:sz w:val="28"/>
          <w:szCs w:val="28"/>
          <w:lang w:val="en-US" w:eastAsia="zh-CN"/>
        </w:rPr>
        <w:t>（征求意见稿）</w:t>
      </w:r>
    </w:p>
    <w:p w14:paraId="42BF46C2">
      <w:pPr>
        <w:pStyle w:val="44"/>
        <w:framePr w:wrap="around"/>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p w14:paraId="3F0A4ABB">
      <w:pPr>
        <w:pStyle w:val="42"/>
        <w:framePr w:wrap="around" w:x="1416" w:y="15551"/>
        <w:pBdr>
          <w:top w:val="single" w:color="auto" w:sz="4" w:space="1"/>
          <w:left w:val="none" w:color="auto" w:sz="0" w:space="4"/>
          <w:bottom w:val="none" w:color="auto" w:sz="0" w:space="1"/>
          <w:right w:val="none" w:color="auto" w:sz="0" w:space="4"/>
        </w:pBdr>
        <w:jc w:val="center"/>
        <w:rPr>
          <w:rFonts w:hint="eastAsia" w:ascii="黑体" w:hAnsi="黑体" w:eastAsia="黑体" w:cs="黑体"/>
          <w:b/>
          <w:bCs/>
          <w:w w:val="100"/>
          <w:sz w:val="28"/>
          <w:szCs w:val="28"/>
        </w:rPr>
      </w:pPr>
      <w:r>
        <w:rPr>
          <w:rFonts w:hint="eastAsia" w:ascii="黑体" w:hAnsi="黑体" w:eastAsia="黑体" w:cs="黑体"/>
          <w:b w:val="0"/>
          <w:bCs/>
          <w:w w:val="100"/>
          <w:sz w:val="28"/>
          <w:szCs w:val="28"/>
        </w:rPr>
        <w:t>中国研究型医院学会 发布</w:t>
      </w:r>
      <w:bookmarkEnd w:id="1"/>
    </w:p>
    <w:p w14:paraId="08E1C200">
      <w:pPr>
        <w:rPr>
          <w:rFonts w:hint="eastAsia" w:eastAsia="宋体"/>
        </w:rPr>
      </w:pPr>
      <w:r>
        <w:rPr>
          <w:rFonts w:hint="eastAsia" w:eastAsia="宋体"/>
        </w:rPr>
        <w:drawing>
          <wp:anchor distT="0" distB="0" distL="114300" distR="114300" simplePos="0" relativeHeight="251665408" behindDoc="0" locked="0" layoutInCell="1" allowOverlap="1">
            <wp:simplePos x="0" y="0"/>
            <wp:positionH relativeFrom="column">
              <wp:posOffset>4502150</wp:posOffset>
            </wp:positionH>
            <wp:positionV relativeFrom="paragraph">
              <wp:posOffset>-485140</wp:posOffset>
            </wp:positionV>
            <wp:extent cx="1076325" cy="1040130"/>
            <wp:effectExtent l="0" t="0" r="5715" b="1143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21"/>
                    <a:stretch>
                      <a:fillRect/>
                    </a:stretch>
                  </pic:blipFill>
                  <pic:spPr>
                    <a:xfrm>
                      <a:off x="0" y="0"/>
                      <a:ext cx="1076325" cy="1040130"/>
                    </a:xfrm>
                    <a:prstGeom prst="rect">
                      <a:avLst/>
                    </a:prstGeom>
                  </pic:spPr>
                </pic:pic>
              </a:graphicData>
            </a:graphic>
          </wp:anchor>
        </w:drawing>
      </w:r>
    </w:p>
    <w:p w14:paraId="57DC3A36">
      <w:pPr>
        <w:spacing w:line="360" w:lineRule="auto"/>
        <w:jc w:val="center"/>
        <w:rPr>
          <w:rFonts w:hint="eastAsia" w:ascii="宋体" w:hAnsi="宋体" w:eastAsia="宋体" w:cs="Times New Roman"/>
          <w:bCs/>
          <w:sz w:val="24"/>
          <w:szCs w:val="24"/>
        </w:rPr>
      </w:pPr>
    </w:p>
    <w:p w14:paraId="36B21D02">
      <w:pPr>
        <w:spacing w:line="360" w:lineRule="auto"/>
        <w:jc w:val="center"/>
        <w:rPr>
          <w:rFonts w:hint="eastAsia" w:ascii="宋体" w:hAnsi="宋体" w:eastAsia="宋体" w:cs="Times New Roman"/>
          <w:bCs/>
          <w:sz w:val="24"/>
          <w:szCs w:val="24"/>
        </w:rPr>
      </w:pPr>
    </w:p>
    <w:p w14:paraId="6A0FA513">
      <w:pPr>
        <w:widowControl/>
        <w:spacing w:line="360" w:lineRule="auto"/>
        <w:jc w:val="center"/>
        <w:rPr>
          <w:rFonts w:hint="eastAsia" w:ascii="黑体" w:hAnsi="黑体" w:eastAsia="黑体" w:cs="黑体"/>
          <w:sz w:val="32"/>
          <w:szCs w:val="32"/>
        </w:rPr>
        <w:sectPr>
          <w:footerReference r:id="rId7" w:type="first"/>
          <w:headerReference r:id="rId3" w:type="default"/>
          <w:footerReference r:id="rId5" w:type="default"/>
          <w:headerReference r:id="rId4" w:type="even"/>
          <w:footerReference r:id="rId6" w:type="even"/>
          <w:pgSz w:w="11906" w:h="16838"/>
          <w:pgMar w:top="1100" w:right="1800" w:bottom="1100" w:left="1800" w:header="851" w:footer="992" w:gutter="0"/>
          <w:pgNumType w:start="0"/>
          <w:cols w:space="425" w:num="1"/>
          <w:titlePg/>
          <w:docGrid w:type="lines" w:linePitch="312" w:charSpace="0"/>
        </w:sectPr>
      </w:pPr>
    </w:p>
    <w:p w14:paraId="753CB173">
      <w:pPr>
        <w:widowControl/>
        <w:spacing w:before="312" w:beforeLines="100" w:after="312" w:afterLines="100"/>
        <w:jc w:val="center"/>
        <w:rPr>
          <w:rFonts w:hint="eastAsia" w:ascii="黑体" w:hAnsi="黑体" w:eastAsia="黑体" w:cs="黑体"/>
          <w:sz w:val="32"/>
          <w:szCs w:val="32"/>
        </w:rPr>
      </w:pPr>
      <w:bookmarkStart w:id="2" w:name="_Toc226057766"/>
      <w:r>
        <w:rPr>
          <w:rFonts w:hint="eastAsia" w:ascii="黑体" w:hAnsi="黑体" w:eastAsia="黑体" w:cs="黑体"/>
          <w:sz w:val="32"/>
          <w:szCs w:val="32"/>
        </w:rPr>
        <w:t>目  次</w:t>
      </w:r>
      <w:bookmarkEnd w:id="2"/>
    </w:p>
    <w:sdt>
      <w:sdtPr>
        <w:rPr>
          <w:lang w:val="zh-CN"/>
        </w:rPr>
        <w:id w:val="1000091764"/>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14:paraId="05AC483D">
          <w:pPr>
            <w:pStyle w:val="50"/>
            <w:rPr>
              <w:rFonts w:hint="eastAsia"/>
              <w:sz w:val="21"/>
              <w:szCs w:val="21"/>
              <w14:ligatures w14:val="standardContextual"/>
            </w:rPr>
          </w:pPr>
          <w:r>
            <w:rPr>
              <w:rFonts w:ascii="Times New Roman" w:hAnsi="Times New Roman" w:eastAsia="宋体" w:cs="Times New Roman"/>
            </w:rPr>
            <w:fldChar w:fldCharType="begin"/>
          </w:r>
          <w:r>
            <w:rPr>
              <w:rFonts w:ascii="Times New Roman" w:hAnsi="Times New Roman" w:eastAsia="宋体" w:cs="Times New Roman"/>
            </w:rPr>
            <w:instrText xml:space="preserve"> TOC \o "1-3" \h \z \u </w:instrText>
          </w:r>
          <w:r>
            <w:rPr>
              <w:rFonts w:hint="eastAsia" w:ascii="Times New Roman" w:hAnsi="Times New Roman" w:eastAsia="宋体" w:cs="Times New Roman"/>
            </w:rPr>
            <w:fldChar w:fldCharType="separate"/>
          </w:r>
        </w:p>
        <w:p w14:paraId="3D5C00AF">
          <w:pPr>
            <w:pStyle w:val="7"/>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"_Toc226057767"</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rPr>
            <w:t>前言</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_Toc226057767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I</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D932014">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"_Toc226057768"</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1</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范围</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_Toc226057768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0426552">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"_Toc226057769"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2</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规范性引用文件</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_Toc226057769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E35F49F">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"_Toc226057770"</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3</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术语和定义</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_Toc226057770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6F65EF1">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"_Toc226057771"</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4</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缩略语</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_Toc226057771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54A4FBAC">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"_Toc226057772"</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5</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基本要求</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_Toc226057772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5857D132">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"_Toc226057773"</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6</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转运前准备</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_Toc226057773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3C015197">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"_Toc226057774"</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7</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转运实施要点</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_Toc226057774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9A3F350">
          <w:pPr>
            <w:pStyle w:val="7"/>
            <w:tabs>
              <w:tab w:val="left" w:pos="2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"_Toc226057775"</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8</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转运后管理</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_Toc226057775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324E6182">
          <w:pPr>
            <w:pStyle w:val="7"/>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"_Toc226057776"</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附录A（规范性）仪器设备、急救药品与物品</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_Toc226057776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4</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3FF7B37">
          <w:pPr>
            <w:pStyle w:val="7"/>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"_Toc226057779"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参考文献</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_Toc226057779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5</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6164E0F">
          <w:pPr>
            <w:rPr>
              <w:rFonts w:hint="eastAsia"/>
            </w:rPr>
          </w:pPr>
          <w:r>
            <w:rPr>
              <w:rFonts w:ascii="Times New Roman" w:hAnsi="Times New Roman" w:eastAsia="宋体" w:cs="Times New Roman"/>
              <w:b/>
              <w:bCs/>
              <w:lang w:val="zh-CN"/>
            </w:rPr>
            <w:fldChar w:fldCharType="end"/>
          </w:r>
        </w:p>
      </w:sdtContent>
    </w:sdt>
    <w:p w14:paraId="34317504">
      <w:pPr>
        <w:pStyle w:val="7"/>
        <w:rPr>
          <w:rFonts w:hint="eastAsia" w:ascii="黑体" w:hAnsi="黑体" w:eastAsia="黑体" w:cs="黑体"/>
          <w:sz w:val="32"/>
          <w:szCs w:val="32"/>
        </w:rPr>
        <w:sectPr>
          <w:headerReference r:id="rId8" w:type="first"/>
          <w:footerReference r:id="rId11" w:type="first"/>
          <w:footerReference r:id="rId9" w:type="default"/>
          <w:footerReference r:id="rId10" w:type="even"/>
          <w:pgSz w:w="11906" w:h="16838"/>
          <w:pgMar w:top="1440" w:right="1800" w:bottom="1440" w:left="1800" w:header="851" w:footer="992" w:gutter="0"/>
          <w:pgNumType w:start="1"/>
          <w:cols w:space="425" w:num="1"/>
          <w:titlePg/>
          <w:docGrid w:type="lines" w:linePitch="312" w:charSpace="0"/>
        </w:sectPr>
      </w:pPr>
    </w:p>
    <w:p w14:paraId="6862FAE2">
      <w:pPr>
        <w:widowControl/>
        <w:spacing w:before="312" w:beforeLines="100" w:after="312" w:afterLines="100"/>
        <w:jc w:val="center"/>
        <w:outlineLvl w:val="0"/>
        <w:rPr>
          <w:rFonts w:hint="eastAsia" w:ascii="黑体" w:hAnsi="黑体" w:eastAsia="黑体" w:cs="黑体"/>
          <w:sz w:val="32"/>
          <w:szCs w:val="32"/>
        </w:rPr>
      </w:pPr>
      <w:bookmarkStart w:id="3" w:name="_Toc226057767"/>
      <w:r>
        <w:rPr>
          <w:rFonts w:hint="eastAsia" w:ascii="黑体" w:hAnsi="黑体" w:eastAsia="黑体" w:cs="黑体"/>
          <w:sz w:val="32"/>
          <w:szCs w:val="32"/>
        </w:rPr>
        <w:t>前  言</w:t>
      </w:r>
      <w:bookmarkEnd w:id="3"/>
    </w:p>
    <w:p w14:paraId="7D0B2123">
      <w:pPr>
        <w:ind w:firstLine="420" w:firstLineChars="200"/>
        <w:rPr>
          <w:rFonts w:hint="default" w:ascii="Times New Roman" w:hAnsi="Times New Roman" w:eastAsia="宋体" w:cs="Times New Roman"/>
          <w:szCs w:val="21"/>
        </w:rPr>
      </w:pPr>
      <w:r>
        <w:rPr>
          <w:rFonts w:ascii="Times New Roman" w:hAnsi="Times New Roman" w:eastAsia="宋体" w:cs="Times New Roman"/>
          <w:szCs w:val="21"/>
        </w:rPr>
        <w:t>本</w:t>
      </w:r>
      <w:r>
        <w:rPr>
          <w:rFonts w:hint="default" w:ascii="Times New Roman" w:hAnsi="Times New Roman" w:eastAsia="宋体" w:cs="Times New Roman"/>
          <w:szCs w:val="21"/>
        </w:rPr>
        <w:t>文件</w:t>
      </w:r>
      <w:r>
        <w:rPr>
          <w:rFonts w:ascii="Times New Roman" w:hAnsi="Times New Roman" w:eastAsia="宋体" w:cs="Times New Roman"/>
          <w:szCs w:val="21"/>
        </w:rPr>
        <w:t>按照GB/T 1.1</w:t>
      </w:r>
      <w:r>
        <w:rPr>
          <w:rFonts w:hint="default" w:ascii="Times New Roman" w:hAnsi="Times New Roman" w:eastAsia="宋体" w:cs="Times New Roman"/>
          <w:szCs w:val="21"/>
        </w:rPr>
        <w:t>-</w:t>
      </w:r>
      <w:r>
        <w:rPr>
          <w:rFonts w:ascii="Times New Roman" w:hAnsi="Times New Roman" w:eastAsia="宋体" w:cs="Times New Roman"/>
          <w:szCs w:val="21"/>
        </w:rPr>
        <w:t>2020</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《标准化工作导则 第1部分：标准化文件的结构和起草规则》的规定</w:t>
      </w:r>
      <w:r>
        <w:rPr>
          <w:rFonts w:ascii="Times New Roman" w:hAnsi="Times New Roman" w:eastAsia="宋体" w:cs="Times New Roman"/>
          <w:szCs w:val="21"/>
        </w:rPr>
        <w:t>起草。</w:t>
      </w:r>
    </w:p>
    <w:p w14:paraId="2F032AE9">
      <w:pPr>
        <w:pStyle w:val="47"/>
        <w:spacing w:line="240" w:lineRule="auto"/>
        <w:rPr>
          <w:rFonts w:hint="default" w:ascii="Times New Roman" w:hAnsi="Times New Roman"/>
        </w:rPr>
      </w:pPr>
      <w:r>
        <w:rPr>
          <w:rFonts w:hint="default"/>
        </w:rPr>
        <w:t>请注意本文件的某些内容可能涉及专利。本文件的发布机构不承担识别专利的责任。</w:t>
      </w:r>
    </w:p>
    <w:p w14:paraId="2791F567">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w:t>
      </w:r>
      <w:r>
        <w:rPr>
          <w:rFonts w:hint="default" w:ascii="Times New Roman" w:hAnsi="Times New Roman" w:eastAsia="宋体" w:cs="Times New Roman"/>
          <w:color w:val="000000" w:themeColor="text1"/>
          <w:szCs w:val="21"/>
          <w14:textFill>
            <w14:solidFill>
              <w14:schemeClr w14:val="tx1"/>
            </w14:solidFill>
          </w14:textFill>
        </w:rPr>
        <w:t>护理分会</w:t>
      </w:r>
      <w:r>
        <w:rPr>
          <w:rFonts w:hint="default" w:ascii="Times New Roman" w:hAnsi="Times New Roman" w:eastAsia="宋体" w:cs="Times New Roman"/>
          <w:szCs w:val="21"/>
        </w:rPr>
        <w:t>提出。</w:t>
      </w:r>
    </w:p>
    <w:p w14:paraId="25803235">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本文件由中国研究型医院学会归口。</w:t>
      </w:r>
    </w:p>
    <w:p w14:paraId="4212E12A">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本文件起草单位：。</w:t>
      </w:r>
    </w:p>
    <w:p w14:paraId="6954CDCA">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本文件主要起草人：。</w:t>
      </w:r>
    </w:p>
    <w:p w14:paraId="7567ADCC">
      <w:pPr>
        <w:ind w:firstLine="420" w:firstLineChars="200"/>
        <w:rPr>
          <w:rFonts w:hint="eastAsia" w:ascii="宋体" w:hAnsi="宋体" w:eastAsia="宋体" w:cs="Times New Roman"/>
          <w:szCs w:val="21"/>
        </w:rPr>
        <w:sectPr>
          <w:footerReference r:id="rId14" w:type="first"/>
          <w:footerReference r:id="rId12" w:type="default"/>
          <w:footerReference r:id="rId13" w:type="even"/>
          <w:pgSz w:w="11906" w:h="16838"/>
          <w:pgMar w:top="1440" w:right="1800" w:bottom="1440" w:left="1800" w:header="851" w:footer="992" w:gutter="0"/>
          <w:pgNumType w:fmt="upperRoman" w:start="1"/>
          <w:cols w:space="425" w:num="1"/>
          <w:docGrid w:type="lines" w:linePitch="312" w:charSpace="0"/>
        </w:sectPr>
      </w:pPr>
      <w:r>
        <w:rPr>
          <w:rFonts w:hint="eastAsia" w:ascii="宋体" w:hAnsi="宋体" w:eastAsia="宋体" w:cs="Times New Roman"/>
          <w:szCs w:val="21"/>
        </w:rPr>
        <w:br w:type="page"/>
      </w:r>
    </w:p>
    <w:p w14:paraId="25836F23">
      <w:pPr>
        <w:spacing w:before="0" w:beforeLines="-2147483648" w:after="0" w:afterLines="-2147483648"/>
        <w:jc w:val="center"/>
        <w:rPr>
          <w:rFonts w:hint="eastAsia" w:ascii="黑体" w:hAnsi="黑体" w:eastAsia="黑体" w:cs="黑体"/>
          <w:sz w:val="28"/>
          <w:szCs w:val="28"/>
        </w:rPr>
      </w:pPr>
      <w:r>
        <w:rPr>
          <w:rFonts w:hint="eastAsia" w:ascii="黑体" w:hAnsi="黑体" w:eastAsia="黑体" w:cs="黑体"/>
          <w:sz w:val="32"/>
          <w:szCs w:val="32"/>
        </w:rPr>
        <w:t>成人有创机械通气患者院内转运管理</w:t>
      </w:r>
    </w:p>
    <w:p w14:paraId="3E4B474A">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4" w:name="_Toc226057768"/>
      <w:r>
        <w:rPr>
          <w:rFonts w:hint="eastAsia" w:ascii="黑体" w:hAnsi="黑体" w:eastAsia="黑体" w:cs="黑体"/>
          <w:bCs/>
          <w:szCs w:val="21"/>
        </w:rPr>
        <w:t>范围</w:t>
      </w:r>
      <w:bookmarkEnd w:id="4"/>
    </w:p>
    <w:p w14:paraId="68FAB6D9">
      <w:pPr>
        <w:ind w:firstLine="420" w:firstLineChars="200"/>
        <w:rPr>
          <w:rFonts w:hint="eastAsia" w:ascii="宋体" w:hAnsi="宋体" w:eastAsia="宋体" w:cs="宋体"/>
          <w:szCs w:val="21"/>
        </w:rPr>
      </w:pPr>
      <w:r>
        <w:rPr>
          <w:rFonts w:hint="eastAsia" w:ascii="宋体" w:hAnsi="宋体" w:eastAsia="宋体" w:cs="宋体"/>
          <w:szCs w:val="21"/>
        </w:rPr>
        <w:t>本文件规定了成人有创机械通气患者院内转运的基本要求、转运前准备、转运实施要点和转运后管理的技术规范。</w:t>
      </w:r>
    </w:p>
    <w:p w14:paraId="7545A248">
      <w:pPr>
        <w:ind w:firstLine="420" w:firstLineChars="200"/>
        <w:rPr>
          <w:rFonts w:hint="eastAsia" w:ascii="宋体" w:hAnsi="宋体" w:eastAsia="宋体" w:cs="宋体"/>
          <w:szCs w:val="21"/>
        </w:rPr>
      </w:pPr>
      <w:r>
        <w:rPr>
          <w:rFonts w:hint="eastAsia" w:ascii="宋体" w:hAnsi="宋体" w:eastAsia="宋体" w:cs="宋体"/>
          <w:szCs w:val="21"/>
        </w:rPr>
        <w:t>本文件适用于各级医疗机构实施成人有创机械通气患者院内转运的医护人员。</w:t>
      </w:r>
    </w:p>
    <w:p w14:paraId="0B6FA33D">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5" w:name="_Toc226057769"/>
      <w:r>
        <w:rPr>
          <w:rFonts w:hint="eastAsia" w:ascii="黑体" w:hAnsi="黑体" w:eastAsia="黑体" w:cs="黑体"/>
          <w:bCs/>
          <w:szCs w:val="21"/>
        </w:rPr>
        <w:t>规范性引用文件</w:t>
      </w:r>
      <w:bookmarkEnd w:id="5"/>
    </w:p>
    <w:p w14:paraId="54D61108">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335850C0">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WS/T 311</w:t>
      </w:r>
      <w:r>
        <w:rPr>
          <w:rFonts w:hint="eastAsia" w:ascii="Times New Roman" w:hAnsi="Times New Roman" w:eastAsia="宋体" w:cs="Times New Roman"/>
          <w:szCs w:val="21"/>
        </w:rPr>
        <w:t>-</w:t>
      </w:r>
      <w:r>
        <w:rPr>
          <w:rFonts w:hint="default" w:ascii="Times New Roman" w:hAnsi="Times New Roman" w:eastAsia="宋体" w:cs="Times New Roman"/>
          <w:szCs w:val="21"/>
        </w:rPr>
        <w:t xml:space="preserve">2023 </w:t>
      </w:r>
      <w:r>
        <w:rPr>
          <w:rFonts w:hint="eastAsia" w:ascii="Times New Roman" w:hAnsi="Times New Roman" w:eastAsia="宋体" w:cs="Times New Roman"/>
          <w:szCs w:val="21"/>
        </w:rPr>
        <w:t>《</w:t>
      </w:r>
      <w:r>
        <w:rPr>
          <w:rFonts w:hint="default" w:ascii="Times New Roman" w:hAnsi="Times New Roman" w:eastAsia="宋体" w:cs="Times New Roman"/>
          <w:szCs w:val="21"/>
        </w:rPr>
        <w:t>医院隔离技术规范</w:t>
      </w:r>
      <w:r>
        <w:rPr>
          <w:rFonts w:hint="eastAsia" w:ascii="Times New Roman" w:hAnsi="Times New Roman" w:eastAsia="宋体" w:cs="Times New Roman"/>
          <w:szCs w:val="21"/>
        </w:rPr>
        <w:t>》</w:t>
      </w:r>
    </w:p>
    <w:p w14:paraId="5E1E9E5B">
      <w:pPr>
        <w:pStyle w:val="18"/>
        <w:numPr>
          <w:ilvl w:val="0"/>
          <w:numId w:val="1"/>
        </w:numPr>
        <w:spacing w:before="312" w:beforeLines="100" w:after="312" w:afterLines="100" w:line="240" w:lineRule="auto"/>
        <w:ind w:firstLine="0" w:firstLineChars="0"/>
        <w:jc w:val="left"/>
        <w:outlineLvl w:val="0"/>
        <w:rPr>
          <w:rFonts w:hint="eastAsia" w:ascii="黑体" w:hAnsi="黑体" w:eastAsia="黑体" w:cs="黑体"/>
          <w:bCs/>
          <w:szCs w:val="21"/>
        </w:rPr>
      </w:pPr>
      <w:bookmarkStart w:id="6" w:name="_Toc226057770"/>
      <w:r>
        <w:rPr>
          <w:rFonts w:hint="eastAsia" w:ascii="黑体" w:hAnsi="黑体" w:eastAsia="黑体" w:cs="黑体"/>
          <w:bCs/>
          <w:szCs w:val="21"/>
        </w:rPr>
        <w:t>术语和定义</w:t>
      </w:r>
      <w:bookmarkEnd w:id="6"/>
    </w:p>
    <w:p w14:paraId="57ADE345">
      <w:pPr>
        <w:ind w:firstLine="420" w:firstLineChars="200"/>
        <w:rPr>
          <w:rFonts w:hint="eastAsia" w:ascii="宋体" w:hAnsi="宋体" w:eastAsia="宋体" w:cs="宋体"/>
          <w:szCs w:val="21"/>
        </w:rPr>
      </w:pPr>
      <w:r>
        <w:rPr>
          <w:rFonts w:hint="eastAsia" w:ascii="宋体" w:hAnsi="宋体" w:eastAsia="宋体" w:cs="宋体"/>
          <w:szCs w:val="21"/>
        </w:rPr>
        <w:t>下列术语和定义适用于本文件。</w:t>
      </w:r>
    </w:p>
    <w:p w14:paraId="7CD992E9">
      <w:pPr>
        <w:pStyle w:val="18"/>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3.1</w:t>
      </w:r>
    </w:p>
    <w:p w14:paraId="41E5EB1B">
      <w:pPr>
        <w:pStyle w:val="18"/>
        <w:jc w:val="both"/>
        <w:rPr>
          <w:rFonts w:ascii="Times New Roman" w:hAnsi="Times New Roman" w:eastAsia="黑体" w:cs="Times New Roman"/>
          <w:bCs/>
          <w:szCs w:val="21"/>
        </w:rPr>
      </w:pPr>
      <w:r>
        <w:rPr>
          <w:rFonts w:hint="default" w:ascii="Times New Roman" w:hAnsi="Times New Roman" w:eastAsia="黑体" w:cs="Times New Roman"/>
          <w:bCs/>
          <w:szCs w:val="21"/>
        </w:rPr>
        <w:t>人工气道</w:t>
      </w:r>
      <w:r>
        <w:rPr>
          <w:rFonts w:ascii="Times New Roman" w:hAnsi="Times New Roman" w:eastAsia="黑体" w:cs="Times New Roman"/>
          <w:bCs/>
          <w:szCs w:val="21"/>
        </w:rPr>
        <w:t xml:space="preserve"> </w:t>
      </w:r>
      <w:r>
        <w:rPr>
          <w:rFonts w:hint="default" w:ascii="Times New Roman" w:hAnsi="Times New Roman" w:eastAsia="黑体" w:cs="Times New Roman"/>
          <w:bCs/>
          <w:szCs w:val="21"/>
        </w:rPr>
        <w:t>a</w:t>
      </w:r>
      <w:r>
        <w:rPr>
          <w:rFonts w:ascii="Times New Roman" w:hAnsi="Times New Roman" w:eastAsia="黑体" w:cs="Times New Roman"/>
          <w:bCs/>
          <w:szCs w:val="21"/>
        </w:rPr>
        <w:t xml:space="preserve">rtificial </w:t>
      </w:r>
      <w:r>
        <w:rPr>
          <w:rFonts w:hint="default" w:ascii="Times New Roman" w:hAnsi="Times New Roman" w:eastAsia="黑体" w:cs="Times New Roman"/>
          <w:bCs/>
          <w:szCs w:val="21"/>
        </w:rPr>
        <w:t>a</w:t>
      </w:r>
      <w:r>
        <w:rPr>
          <w:rFonts w:ascii="Times New Roman" w:hAnsi="Times New Roman" w:eastAsia="黑体" w:cs="Times New Roman"/>
          <w:bCs/>
          <w:szCs w:val="21"/>
        </w:rPr>
        <w:t>irway</w:t>
      </w:r>
    </w:p>
    <w:p w14:paraId="2C794B65">
      <w:pPr>
        <w:pStyle w:val="18"/>
        <w:jc w:val="both"/>
        <w:rPr>
          <w:rFonts w:hint="default" w:ascii="Times New Roman" w:hAnsi="Times New Roman" w:eastAsia="宋体" w:cs="Times New Roman"/>
          <w:szCs w:val="21"/>
        </w:rPr>
      </w:pPr>
      <w:r>
        <w:rPr>
          <w:rFonts w:hint="default" w:ascii="Times New Roman" w:hAnsi="Times New Roman" w:eastAsia="宋体" w:cs="Times New Roman"/>
          <w:szCs w:val="21"/>
        </w:rPr>
        <w:t>为了保证气道通畅而在生理气道与空气或其他气源之间建立的有效连接。</w:t>
      </w:r>
    </w:p>
    <w:p w14:paraId="444E1A56">
      <w:pPr>
        <w:pStyle w:val="18"/>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3.2</w:t>
      </w:r>
    </w:p>
    <w:p w14:paraId="03553B60">
      <w:pPr>
        <w:pStyle w:val="18"/>
        <w:jc w:val="both"/>
        <w:rPr>
          <w:rFonts w:hint="default" w:ascii="Times New Roman" w:hAnsi="Times New Roman" w:eastAsia="宋体" w:cs="Times New Roman"/>
          <w:szCs w:val="21"/>
        </w:rPr>
      </w:pPr>
      <w:r>
        <w:rPr>
          <w:rFonts w:hint="default" w:ascii="Times New Roman" w:hAnsi="Times New Roman" w:eastAsia="黑体" w:cs="Times New Roman"/>
          <w:bCs/>
          <w:szCs w:val="21"/>
        </w:rPr>
        <w:t>有创机械通气 invasive mechanical ventilation</w:t>
      </w:r>
    </w:p>
    <w:p w14:paraId="77D37517">
      <w:pPr>
        <w:pStyle w:val="18"/>
        <w:jc w:val="both"/>
        <w:rPr>
          <w:rFonts w:hint="default" w:ascii="Times New Roman" w:hAnsi="Times New Roman" w:eastAsia="宋体" w:cs="Times New Roman"/>
          <w:szCs w:val="21"/>
        </w:rPr>
      </w:pPr>
      <w:r>
        <w:rPr>
          <w:rFonts w:hint="default" w:ascii="Times New Roman" w:hAnsi="Times New Roman" w:eastAsia="宋体" w:cs="Times New Roman"/>
          <w:szCs w:val="21"/>
        </w:rPr>
        <w:t>通过人工气道将患者气道与呼吸机连接，由呼吸机提供正压通气，完全或部分代替患者自主呼吸功能的生命支持技术。</w:t>
      </w:r>
    </w:p>
    <w:p w14:paraId="063FDB70">
      <w:pPr>
        <w:pStyle w:val="18"/>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3.3</w:t>
      </w:r>
    </w:p>
    <w:p w14:paraId="5AD20744">
      <w:pPr>
        <w:pStyle w:val="18"/>
        <w:jc w:val="both"/>
        <w:rPr>
          <w:rFonts w:ascii="Times New Roman" w:hAnsi="Times New Roman" w:eastAsia="黑体" w:cs="Times New Roman"/>
          <w:bCs/>
          <w:szCs w:val="21"/>
        </w:rPr>
      </w:pPr>
      <w:r>
        <w:rPr>
          <w:rFonts w:ascii="Times New Roman" w:hAnsi="Times New Roman" w:eastAsia="黑体" w:cs="Times New Roman"/>
          <w:bCs/>
          <w:szCs w:val="21"/>
        </w:rPr>
        <w:t xml:space="preserve">院内转运 </w:t>
      </w:r>
      <w:r>
        <w:rPr>
          <w:rFonts w:hint="default" w:ascii="Times New Roman" w:hAnsi="Times New Roman" w:eastAsia="黑体" w:cs="Times New Roman"/>
          <w:bCs/>
          <w:szCs w:val="21"/>
        </w:rPr>
        <w:t>intra-hospital transport</w:t>
      </w:r>
    </w:p>
    <w:p w14:paraId="466DA2A8">
      <w:pPr>
        <w:pStyle w:val="18"/>
        <w:jc w:val="both"/>
        <w:rPr>
          <w:rFonts w:hint="default" w:ascii="Times New Roman" w:hAnsi="Times New Roman" w:eastAsia="宋体" w:cs="Times New Roman"/>
          <w:szCs w:val="21"/>
        </w:rPr>
      </w:pPr>
      <w:r>
        <w:rPr>
          <w:rFonts w:hint="default" w:ascii="Times New Roman" w:hAnsi="Times New Roman" w:eastAsia="宋体" w:cs="Times New Roman"/>
          <w:szCs w:val="21"/>
        </w:rPr>
        <w:t>在同一医疗单位不同医疗区域之间进行的转移和运送。</w:t>
      </w:r>
    </w:p>
    <w:p w14:paraId="7705D088">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7" w:name="_Toc226057771"/>
      <w:r>
        <w:rPr>
          <w:rFonts w:hint="eastAsia" w:ascii="黑体" w:hAnsi="黑体" w:eastAsia="黑体" w:cs="黑体"/>
          <w:bCs/>
          <w:szCs w:val="21"/>
        </w:rPr>
        <w:t>缩略语</w:t>
      </w:r>
      <w:bookmarkEnd w:id="7"/>
    </w:p>
    <w:p w14:paraId="351DF8E1">
      <w:pPr>
        <w:ind w:firstLine="420" w:firstLineChars="200"/>
        <w:jc w:val="both"/>
        <w:rPr>
          <w:rFonts w:hint="default" w:ascii="Times New Roman" w:hAnsi="Times New Roman" w:eastAsia="宋体" w:cs="Times New Roman"/>
          <w:bCs/>
          <w:szCs w:val="21"/>
        </w:rPr>
      </w:pPr>
      <w:r>
        <w:rPr>
          <w:rFonts w:ascii="Times New Roman" w:hAnsi="Times New Roman" w:eastAsia="宋体" w:cs="Times New Roman"/>
          <w:bCs/>
          <w:szCs w:val="21"/>
        </w:rPr>
        <w:t>下列缩略语适用于本文件。</w:t>
      </w:r>
    </w:p>
    <w:p w14:paraId="59E192CC">
      <w:pPr>
        <w:adjustRightInd w:val="0"/>
        <w:snapToGrid w:val="0"/>
        <w:spacing w:before="0" w:beforeLines="-2147483648" w:after="0" w:afterLines="-2147483648"/>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BPS</w:t>
      </w:r>
      <w:r>
        <w:rPr>
          <w:rFonts w:hint="eastAsia" w:ascii="Times New Roman" w:hAnsi="Times New Roman" w:eastAsia="宋体" w:cs="Times New Roman"/>
          <w:bCs/>
          <w:szCs w:val="21"/>
        </w:rPr>
        <w:t>：</w:t>
      </w:r>
      <w:r>
        <w:rPr>
          <w:rFonts w:hint="default" w:ascii="Times New Roman" w:hAnsi="Times New Roman" w:eastAsia="宋体" w:cs="Times New Roman"/>
          <w:bCs/>
          <w:szCs w:val="21"/>
        </w:rPr>
        <w:t>行为疼痛量表（Behavioral Pain Scale）</w:t>
      </w:r>
    </w:p>
    <w:p w14:paraId="3DC98BC1">
      <w:pPr>
        <w:adjustRightInd w:val="0"/>
        <w:snapToGrid w:val="0"/>
        <w:spacing w:before="0" w:beforeLines="-2147483648" w:after="0" w:afterLines="-2147483648"/>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CPOT</w:t>
      </w:r>
      <w:r>
        <w:rPr>
          <w:rFonts w:hint="eastAsia" w:ascii="Times New Roman" w:hAnsi="Times New Roman" w:eastAsia="宋体" w:cs="Times New Roman"/>
          <w:bCs/>
          <w:szCs w:val="21"/>
        </w:rPr>
        <w:t>：</w:t>
      </w:r>
      <w:r>
        <w:rPr>
          <w:rFonts w:hint="default" w:ascii="Times New Roman" w:hAnsi="Times New Roman" w:eastAsia="宋体" w:cs="Times New Roman"/>
          <w:bCs/>
          <w:szCs w:val="21"/>
        </w:rPr>
        <w:t>重症监护疼痛观察工具（Critical-Care Pain Observation Tool）</w:t>
      </w:r>
    </w:p>
    <w:p w14:paraId="78033750">
      <w:pPr>
        <w:adjustRightInd w:val="0"/>
        <w:snapToGrid w:val="0"/>
        <w:spacing w:before="0" w:beforeLines="-2147483648" w:after="0" w:afterLines="-2147483648"/>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NRS</w:t>
      </w:r>
      <w:r>
        <w:rPr>
          <w:rFonts w:hint="eastAsia" w:ascii="Times New Roman" w:hAnsi="Times New Roman" w:eastAsia="宋体" w:cs="Times New Roman"/>
          <w:bCs/>
          <w:szCs w:val="21"/>
        </w:rPr>
        <w:t>：</w:t>
      </w:r>
      <w:r>
        <w:rPr>
          <w:rFonts w:hint="default" w:ascii="Times New Roman" w:hAnsi="Times New Roman" w:eastAsia="宋体" w:cs="Times New Roman"/>
          <w:bCs/>
          <w:szCs w:val="21"/>
        </w:rPr>
        <w:t>数字评分表（Numeric Rating Scale）</w:t>
      </w:r>
    </w:p>
    <w:p w14:paraId="2E6DEDDA">
      <w:pPr>
        <w:adjustRightInd w:val="0"/>
        <w:snapToGrid w:val="0"/>
        <w:spacing w:before="0" w:beforeLines="-2147483648" w:after="0" w:afterLines="-2147483648"/>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RASS</w:t>
      </w:r>
      <w:r>
        <w:rPr>
          <w:rFonts w:hint="eastAsia" w:ascii="Times New Roman" w:hAnsi="Times New Roman" w:eastAsia="宋体" w:cs="Times New Roman"/>
          <w:bCs/>
          <w:szCs w:val="21"/>
        </w:rPr>
        <w:t>：</w:t>
      </w:r>
      <w:r>
        <w:rPr>
          <w:rFonts w:hint="default" w:ascii="Times New Roman" w:hAnsi="Times New Roman" w:eastAsia="宋体" w:cs="Times New Roman"/>
          <w:bCs/>
          <w:szCs w:val="21"/>
        </w:rPr>
        <w:t>Richmond躁动镇静评分（Richmond Agitation-Sedation Scale）</w:t>
      </w:r>
    </w:p>
    <w:p w14:paraId="4A4A8C5A">
      <w:pPr>
        <w:adjustRightInd w:val="0"/>
        <w:snapToGrid w:val="0"/>
        <w:spacing w:before="0" w:beforeLines="-2147483648" w:after="0" w:afterLines="-2147483648"/>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SAS</w:t>
      </w:r>
      <w:r>
        <w:rPr>
          <w:rFonts w:hint="eastAsia" w:ascii="Times New Roman" w:hAnsi="Times New Roman" w:eastAsia="宋体" w:cs="Times New Roman"/>
          <w:bCs/>
          <w:szCs w:val="21"/>
        </w:rPr>
        <w:t>：</w:t>
      </w:r>
      <w:r>
        <w:rPr>
          <w:rFonts w:hint="default" w:ascii="Times New Roman" w:hAnsi="Times New Roman" w:eastAsia="宋体" w:cs="Times New Roman"/>
          <w:bCs/>
          <w:szCs w:val="21"/>
        </w:rPr>
        <w:t>镇静躁动评分（Sedation-Agitation Scale）</w:t>
      </w:r>
    </w:p>
    <w:p w14:paraId="28F72F77">
      <w:pPr>
        <w:pStyle w:val="18"/>
        <w:numPr>
          <w:ilvl w:val="0"/>
          <w:numId w:val="1"/>
        </w:numPr>
        <w:adjustRightInd/>
        <w:snapToGrid/>
        <w:spacing w:before="312" w:beforeLines="100" w:after="312" w:afterLines="100" w:line="240" w:lineRule="auto"/>
        <w:ind w:firstLine="0" w:firstLineChars="0"/>
        <w:jc w:val="left"/>
        <w:outlineLvl w:val="0"/>
        <w:rPr>
          <w:rFonts w:hint="eastAsia" w:ascii="黑体" w:hAnsi="黑体" w:eastAsia="黑体" w:cs="黑体"/>
          <w:bCs/>
          <w:szCs w:val="21"/>
        </w:rPr>
      </w:pPr>
      <w:bookmarkStart w:id="8" w:name="_Toc226057772"/>
      <w:r>
        <w:rPr>
          <w:rFonts w:hint="eastAsia" w:ascii="黑体" w:hAnsi="黑体" w:eastAsia="黑体" w:cs="黑体"/>
          <w:bCs/>
          <w:szCs w:val="21"/>
        </w:rPr>
        <w:t>基本要求</w:t>
      </w:r>
      <w:bookmarkEnd w:id="8"/>
    </w:p>
    <w:p w14:paraId="2DE4A8BF">
      <w:pPr>
        <w:ind w:firstLine="0" w:firstLineChars="0"/>
        <w:rPr>
          <w:rFonts w:hint="eastAsia" w:ascii="宋体" w:hAnsi="宋体" w:eastAsia="宋体" w:cs="宋体"/>
          <w:szCs w:val="21"/>
        </w:rPr>
      </w:pPr>
      <w:r>
        <w:rPr>
          <w:rFonts w:hint="eastAsia" w:ascii="黑体" w:hAnsi="黑体" w:eastAsia="黑体" w:cs="宋体"/>
          <w:szCs w:val="21"/>
        </w:rPr>
        <w:t>5.1</w:t>
      </w:r>
      <w:r>
        <w:rPr>
          <w:rFonts w:hint="eastAsia" w:ascii="宋体" w:hAnsi="宋体" w:eastAsia="宋体" w:cs="宋体"/>
          <w:szCs w:val="21"/>
        </w:rPr>
        <w:t xml:space="preserve"> 应对患者病情进行评估，包括意识状态、生命体征、循环情况、呼吸支持情况及内环境等。</w:t>
      </w:r>
    </w:p>
    <w:p w14:paraId="382A69ED">
      <w:pPr>
        <w:ind w:firstLine="0" w:firstLineChars="0"/>
        <w:rPr>
          <w:rFonts w:hint="eastAsia" w:ascii="宋体" w:hAnsi="宋体" w:eastAsia="宋体" w:cs="宋体"/>
          <w:szCs w:val="21"/>
        </w:rPr>
      </w:pPr>
      <w:r>
        <w:rPr>
          <w:rFonts w:hint="eastAsia" w:ascii="黑体" w:hAnsi="黑体" w:eastAsia="黑体" w:cs="宋体"/>
          <w:szCs w:val="21"/>
        </w:rPr>
        <w:t>5.2</w:t>
      </w:r>
      <w:r>
        <w:rPr>
          <w:rFonts w:hint="eastAsia" w:ascii="宋体" w:hAnsi="宋体" w:eastAsia="宋体" w:cs="宋体"/>
          <w:szCs w:val="21"/>
        </w:rPr>
        <w:t xml:space="preserve"> 应与接收部门、患者和（或）家属共同制订转运决策，获取患者和（或）家属知情同意后实施转运。</w:t>
      </w:r>
    </w:p>
    <w:p w14:paraId="4E2E67F6">
      <w:pPr>
        <w:ind w:firstLine="0" w:firstLineChars="0"/>
        <w:rPr>
          <w:rFonts w:hint="eastAsia" w:ascii="宋体" w:hAnsi="宋体" w:eastAsia="宋体" w:cs="宋体"/>
          <w:szCs w:val="21"/>
        </w:rPr>
      </w:pPr>
      <w:r>
        <w:rPr>
          <w:rFonts w:hint="eastAsia" w:ascii="黑体" w:hAnsi="黑体" w:eastAsia="黑体" w:cs="宋体"/>
          <w:szCs w:val="21"/>
        </w:rPr>
        <w:t>5.3</w:t>
      </w:r>
      <w:r>
        <w:rPr>
          <w:rFonts w:hint="eastAsia" w:ascii="宋体" w:hAnsi="宋体" w:eastAsia="宋体" w:cs="宋体"/>
          <w:szCs w:val="21"/>
        </w:rPr>
        <w:t xml:space="preserve"> 应至少有接受过人工气道管理、高级生命支持及重</w:t>
      </w:r>
      <w:r>
        <w:rPr>
          <w:rFonts w:hint="default" w:ascii="Times New Roman" w:hAnsi="Times New Roman" w:eastAsia="宋体" w:cs="Times New Roman"/>
          <w:szCs w:val="21"/>
        </w:rPr>
        <w:t>症监护培训的1名医生和1名护士参与转运，医生作为转运负责人，转运人员数量随转运风险程度而增加。</w:t>
      </w:r>
    </w:p>
    <w:p w14:paraId="6557316A">
      <w:pPr>
        <w:ind w:firstLine="0" w:firstLineChars="0"/>
        <w:rPr>
          <w:rFonts w:hint="eastAsia" w:ascii="宋体" w:hAnsi="宋体" w:eastAsia="宋体" w:cs="宋体"/>
          <w:szCs w:val="21"/>
        </w:rPr>
      </w:pPr>
      <w:r>
        <w:rPr>
          <w:rFonts w:hint="eastAsia" w:ascii="黑体" w:hAnsi="黑体" w:eastAsia="黑体" w:cs="宋体"/>
          <w:szCs w:val="21"/>
        </w:rPr>
        <w:t>5.4</w:t>
      </w:r>
      <w:r>
        <w:rPr>
          <w:rFonts w:hint="eastAsia" w:ascii="宋体" w:hAnsi="宋体" w:eastAsia="宋体" w:cs="宋体"/>
          <w:szCs w:val="21"/>
        </w:rPr>
        <w:t xml:space="preserve"> 应配备转运仪器设备、急救药品与物品</w:t>
      </w:r>
      <w:r>
        <w:rPr>
          <w:rFonts w:hint="default" w:ascii="Times New Roman" w:hAnsi="Times New Roman" w:eastAsia="宋体" w:cs="Times New Roman"/>
          <w:szCs w:val="21"/>
        </w:rPr>
        <w:t>（见附录A）。</w:t>
      </w:r>
    </w:p>
    <w:p w14:paraId="5D0FA2AC">
      <w:pPr>
        <w:ind w:firstLine="0" w:firstLineChars="0"/>
        <w:rPr>
          <w:rFonts w:hint="eastAsia" w:ascii="宋体" w:hAnsi="宋体" w:eastAsia="宋体" w:cs="宋体"/>
          <w:szCs w:val="21"/>
        </w:rPr>
      </w:pPr>
      <w:r>
        <w:rPr>
          <w:rFonts w:hint="eastAsia" w:ascii="黑体" w:hAnsi="黑体" w:eastAsia="黑体" w:cs="宋体"/>
          <w:szCs w:val="21"/>
        </w:rPr>
        <w:t>5.5</w:t>
      </w:r>
      <w:r>
        <w:rPr>
          <w:rFonts w:hint="eastAsia" w:ascii="黑体" w:hAnsi="黑体" w:eastAsia="黑体" w:cs="宋体"/>
          <w:szCs w:val="21"/>
        </w:rPr>
        <w:t xml:space="preserve"> </w:t>
      </w:r>
      <w:r>
        <w:rPr>
          <w:rFonts w:hint="eastAsia" w:ascii="宋体" w:hAnsi="宋体" w:eastAsia="宋体" w:cs="宋体"/>
          <w:szCs w:val="21"/>
        </w:rPr>
        <w:t>应评估转运路线，选择耗时最短、最安全的路线。</w:t>
      </w:r>
    </w:p>
    <w:p w14:paraId="3BE0814B">
      <w:pPr>
        <w:ind w:firstLine="0" w:firstLineChars="0"/>
        <w:rPr>
          <w:rFonts w:hint="eastAsia" w:ascii="宋体" w:hAnsi="宋体" w:eastAsia="宋体" w:cs="宋体"/>
          <w:szCs w:val="21"/>
        </w:rPr>
      </w:pPr>
      <w:r>
        <w:rPr>
          <w:rFonts w:hint="eastAsia" w:ascii="黑体" w:hAnsi="黑体" w:eastAsia="黑体" w:cs="宋体"/>
          <w:szCs w:val="21"/>
        </w:rPr>
        <w:t>5.6</w:t>
      </w:r>
      <w:r>
        <w:rPr>
          <w:rFonts w:hint="eastAsia" w:ascii="宋体" w:hAnsi="宋体" w:eastAsia="宋体" w:cs="宋体"/>
          <w:szCs w:val="21"/>
        </w:rPr>
        <w:t xml:space="preserve"> 应制定适合本单位的院内转运应急预案，如设备故障、导管移位、呼吸心跳骤停等。</w:t>
      </w:r>
    </w:p>
    <w:p w14:paraId="2ECCE7CC">
      <w:pPr>
        <w:ind w:firstLine="0" w:firstLineChars="0"/>
        <w:rPr>
          <w:rFonts w:hint="eastAsia" w:ascii="黑体" w:hAnsi="黑体" w:eastAsia="黑体" w:cs="黑体"/>
          <w:bCs/>
          <w:szCs w:val="21"/>
        </w:rPr>
      </w:pPr>
      <w:r>
        <w:rPr>
          <w:rFonts w:hint="eastAsia" w:ascii="黑体" w:hAnsi="黑体" w:eastAsia="黑体" w:cs="宋体"/>
          <w:szCs w:val="21"/>
        </w:rPr>
        <w:t>5.7</w:t>
      </w:r>
      <w:r>
        <w:rPr>
          <w:rFonts w:hint="eastAsia" w:ascii="宋体" w:hAnsi="宋体" w:eastAsia="宋体" w:cs="宋体"/>
          <w:szCs w:val="21"/>
        </w:rPr>
        <w:t xml:space="preserve"> 转运患有呼吸道传染性疾病</w:t>
      </w:r>
      <w:r>
        <w:rPr>
          <w:rFonts w:hint="default" w:ascii="Times New Roman" w:hAnsi="Times New Roman" w:eastAsia="宋体" w:cs="Times New Roman"/>
          <w:szCs w:val="21"/>
        </w:rPr>
        <w:t>和（或）多重耐药菌感染的患者时，应按照WS/T 311中的规定进行隔离和自我防护。</w:t>
      </w:r>
    </w:p>
    <w:p w14:paraId="05E556E1">
      <w:pPr>
        <w:pStyle w:val="18"/>
        <w:numPr>
          <w:ilvl w:val="0"/>
          <w:numId w:val="1"/>
        </w:numPr>
        <w:adjustRightInd/>
        <w:snapToGrid/>
        <w:spacing w:before="312" w:beforeLines="100" w:after="312" w:afterLines="100" w:line="240" w:lineRule="auto"/>
        <w:ind w:firstLine="0" w:firstLineChars="0"/>
        <w:jc w:val="left"/>
        <w:outlineLvl w:val="0"/>
        <w:rPr>
          <w:rFonts w:hint="eastAsia" w:ascii="黑体" w:hAnsi="黑体" w:eastAsia="黑体" w:cs="黑体"/>
          <w:bCs/>
          <w:szCs w:val="21"/>
        </w:rPr>
      </w:pPr>
      <w:bookmarkStart w:id="9" w:name="_Toc226057773"/>
      <w:r>
        <w:rPr>
          <w:rFonts w:hint="eastAsia" w:ascii="黑体" w:hAnsi="黑体" w:eastAsia="黑体" w:cs="黑体"/>
          <w:bCs/>
          <w:szCs w:val="21"/>
        </w:rPr>
        <w:t>转运前准备</w:t>
      </w:r>
      <w:bookmarkEnd w:id="9"/>
    </w:p>
    <w:p w14:paraId="4A429A14">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6.1 患者准备</w:t>
      </w:r>
    </w:p>
    <w:p w14:paraId="781DCEC6">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6.1.1</w:t>
      </w:r>
      <w:r>
        <w:rPr>
          <w:rFonts w:hint="default" w:ascii="黑体" w:hAnsi="黑体" w:eastAsia="黑体" w:cs="Times New Roman"/>
          <w:szCs w:val="21"/>
        </w:rPr>
        <w:t xml:space="preserve"> </w:t>
      </w:r>
      <w:r>
        <w:rPr>
          <w:rFonts w:hint="default" w:ascii="Times New Roman" w:hAnsi="Times New Roman" w:eastAsia="宋体" w:cs="Times New Roman"/>
          <w:szCs w:val="21"/>
        </w:rPr>
        <w:t>应评估患者生命体征，维持血流动力学稳定，按医嘱将相关指标控制在目标范围内。</w:t>
      </w:r>
    </w:p>
    <w:p w14:paraId="2A927625">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6.1.2</w:t>
      </w:r>
      <w:r>
        <w:rPr>
          <w:rFonts w:hint="default" w:ascii="黑体" w:hAnsi="黑体" w:eastAsia="黑体" w:cs="Times New Roman"/>
          <w:szCs w:val="21"/>
        </w:rPr>
        <w:t xml:space="preserve"> </w:t>
      </w:r>
      <w:r>
        <w:rPr>
          <w:rFonts w:hint="default" w:ascii="Times New Roman" w:hAnsi="Times New Roman" w:eastAsia="宋体" w:cs="Times New Roman"/>
          <w:szCs w:val="21"/>
        </w:rPr>
        <w:t>应进行气道准备：</w:t>
      </w:r>
    </w:p>
    <w:p w14:paraId="4FCB38CA">
      <w:pPr>
        <w:ind w:firstLine="420" w:firstLineChars="200"/>
        <w:rPr>
          <w:rFonts w:hint="default" w:ascii="Times New Roman" w:hAnsi="Times New Roman" w:eastAsia="宋体" w:cs="Times New Roman"/>
          <w:szCs w:val="21"/>
        </w:rPr>
      </w:pPr>
      <w:r>
        <w:rPr>
          <w:rFonts w:hint="eastAsia" w:ascii="宋体" w:hAnsi="宋体" w:eastAsia="宋体" w:cs="Times New Roman"/>
          <w:szCs w:val="21"/>
        </w:rPr>
        <w:t>——</w:t>
      </w:r>
      <w:r>
        <w:rPr>
          <w:rFonts w:hint="default" w:ascii="Times New Roman" w:hAnsi="Times New Roman" w:eastAsia="宋体" w:cs="Times New Roman"/>
          <w:szCs w:val="21"/>
        </w:rPr>
        <w:t>确认人工气道在位并有效固定；</w:t>
      </w:r>
    </w:p>
    <w:p w14:paraId="424E84EF">
      <w:pPr>
        <w:ind w:firstLine="420" w:firstLineChars="200"/>
        <w:rPr>
          <w:rFonts w:hint="default" w:ascii="Times New Roman" w:hAnsi="Times New Roman" w:eastAsia="宋体" w:cs="Times New Roman"/>
          <w:szCs w:val="21"/>
        </w:rPr>
      </w:pPr>
      <w:r>
        <w:rPr>
          <w:rFonts w:hint="eastAsia" w:ascii="宋体" w:hAnsi="宋体" w:eastAsia="宋体" w:cs="Times New Roman"/>
          <w:szCs w:val="21"/>
        </w:rPr>
        <w:t>——</w:t>
      </w:r>
      <w:r>
        <w:rPr>
          <w:rFonts w:hint="default" w:ascii="Times New Roman" w:hAnsi="Times New Roman" w:eastAsia="宋体" w:cs="Times New Roman"/>
          <w:szCs w:val="21"/>
        </w:rPr>
        <w:t>确认呼吸机管路长度适宜无牵拉；</w:t>
      </w:r>
    </w:p>
    <w:p w14:paraId="594E9FB6">
      <w:pPr>
        <w:ind w:firstLine="420" w:firstLineChars="200"/>
        <w:rPr>
          <w:rFonts w:hint="default" w:ascii="Times New Roman" w:hAnsi="Times New Roman" w:eastAsia="宋体" w:cs="Times New Roman"/>
          <w:szCs w:val="21"/>
        </w:rPr>
      </w:pPr>
      <w:r>
        <w:rPr>
          <w:rFonts w:hint="eastAsia" w:ascii="宋体" w:hAnsi="宋体" w:eastAsia="宋体" w:cs="Times New Roman"/>
          <w:szCs w:val="21"/>
        </w:rPr>
        <w:t>——</w:t>
      </w:r>
      <w:r>
        <w:rPr>
          <w:rFonts w:hint="default" w:ascii="Times New Roman" w:hAnsi="Times New Roman" w:eastAsia="宋体" w:cs="Times New Roman"/>
          <w:szCs w:val="21"/>
        </w:rPr>
        <w:t>确认已充分吸痰，呼吸道通畅；</w:t>
      </w:r>
    </w:p>
    <w:p w14:paraId="3851EF9F">
      <w:pPr>
        <w:ind w:firstLine="420" w:firstLineChars="200"/>
        <w:rPr>
          <w:rFonts w:hint="default" w:ascii="Times New Roman" w:hAnsi="Times New Roman" w:eastAsia="宋体" w:cs="Times New Roman"/>
          <w:szCs w:val="21"/>
        </w:rPr>
      </w:pPr>
      <w:r>
        <w:rPr>
          <w:rFonts w:hint="eastAsia" w:ascii="宋体" w:hAnsi="宋体" w:eastAsia="宋体" w:cs="Times New Roman"/>
          <w:szCs w:val="21"/>
        </w:rPr>
        <w:t>——</w:t>
      </w:r>
      <w:r>
        <w:rPr>
          <w:rFonts w:hint="default" w:ascii="Times New Roman" w:hAnsi="Times New Roman" w:eastAsia="宋体" w:cs="Times New Roman"/>
          <w:szCs w:val="21"/>
        </w:rPr>
        <w:t>维持气囊压力在25</w:t>
      </w:r>
      <w:r>
        <w:rPr>
          <w:rFonts w:hint="default" w:ascii="Times New Roman" w:hAnsi="Times New Roman" w:eastAsia="宋体" w:cs="Times New Roman"/>
          <w:szCs w:val="21"/>
        </w:rPr>
        <w:t>-</w:t>
      </w:r>
      <w:r>
        <w:rPr>
          <w:rFonts w:hint="default" w:ascii="Times New Roman" w:hAnsi="Times New Roman" w:eastAsia="宋体" w:cs="Times New Roman"/>
          <w:szCs w:val="21"/>
        </w:rPr>
        <w:t>30cmH</w:t>
      </w:r>
      <w:r>
        <w:rPr>
          <w:rFonts w:hint="default" w:ascii="Times New Roman" w:hAnsi="Times New Roman" w:eastAsia="宋体" w:cs="Times New Roman"/>
          <w:szCs w:val="21"/>
          <w:vertAlign w:val="subscript"/>
        </w:rPr>
        <w:t>2</w:t>
      </w:r>
      <w:r>
        <w:rPr>
          <w:rFonts w:hint="default" w:ascii="Times New Roman" w:hAnsi="Times New Roman" w:eastAsia="宋体" w:cs="Times New Roman"/>
          <w:szCs w:val="21"/>
        </w:rPr>
        <w:t>O。</w:t>
      </w:r>
    </w:p>
    <w:p w14:paraId="3A626CD2">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6.1.3</w:t>
      </w:r>
      <w:r>
        <w:rPr>
          <w:rFonts w:hint="default" w:ascii="黑体" w:hAnsi="黑体" w:eastAsia="黑体" w:cs="Times New Roman"/>
          <w:szCs w:val="21"/>
        </w:rPr>
        <w:t xml:space="preserve"> </w:t>
      </w:r>
      <w:r>
        <w:rPr>
          <w:rFonts w:hint="default" w:ascii="Times New Roman" w:hAnsi="Times New Roman" w:eastAsia="宋体" w:cs="Times New Roman"/>
          <w:szCs w:val="21"/>
        </w:rPr>
        <w:t>应确认患者所有管道固定妥善，保持通畅。</w:t>
      </w:r>
    </w:p>
    <w:p w14:paraId="6CF587C2">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6.1.4</w:t>
      </w:r>
      <w:r>
        <w:rPr>
          <w:rFonts w:hint="default" w:ascii="黑体" w:hAnsi="黑体" w:eastAsia="黑体" w:cs="Times New Roman"/>
          <w:szCs w:val="21"/>
        </w:rPr>
        <w:t xml:space="preserve"> </w:t>
      </w:r>
      <w:r>
        <w:rPr>
          <w:rFonts w:ascii="Times New Roman" w:hAnsi="Times New Roman" w:eastAsia="宋体" w:cs="Times New Roman"/>
          <w:szCs w:val="21"/>
        </w:rPr>
        <w:t>应确认至少</w:t>
      </w:r>
      <w:r>
        <w:rPr>
          <w:rFonts w:hint="default" w:ascii="Times New Roman" w:hAnsi="Times New Roman" w:eastAsia="宋体" w:cs="Times New Roman"/>
          <w:szCs w:val="21"/>
        </w:rPr>
        <w:t>建立</w:t>
      </w:r>
      <w:r>
        <w:rPr>
          <w:rFonts w:ascii="Times New Roman" w:hAnsi="Times New Roman" w:eastAsia="宋体" w:cs="Times New Roman"/>
          <w:szCs w:val="21"/>
        </w:rPr>
        <w:t>2条静脉通路或留有中心静脉通路。</w:t>
      </w:r>
    </w:p>
    <w:p w14:paraId="226604A8">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6.1.5</w:t>
      </w:r>
      <w:r>
        <w:rPr>
          <w:rFonts w:hint="default" w:ascii="黑体" w:hAnsi="黑体" w:eastAsia="黑体" w:cs="Times New Roman"/>
          <w:szCs w:val="21"/>
        </w:rPr>
        <w:t xml:space="preserve"> </w:t>
      </w:r>
      <w:r>
        <w:rPr>
          <w:rFonts w:hint="default" w:ascii="Times New Roman" w:hAnsi="Times New Roman" w:eastAsia="宋体" w:cs="Times New Roman"/>
          <w:szCs w:val="21"/>
        </w:rPr>
        <w:t>对于能自主表达的患者，应使用NRS评分等评估患者的镇痛状态，维持NRS评分0</w:t>
      </w:r>
      <w:r>
        <w:rPr>
          <w:rFonts w:hint="default" w:ascii="Times New Roman" w:hAnsi="Times New Roman" w:eastAsia="宋体" w:cs="Times New Roman"/>
          <w:szCs w:val="21"/>
        </w:rPr>
        <w:t>-3</w:t>
      </w:r>
      <w:r>
        <w:rPr>
          <w:rFonts w:hint="default" w:ascii="Times New Roman" w:hAnsi="Times New Roman" w:eastAsia="宋体" w:cs="Times New Roman"/>
          <w:szCs w:val="21"/>
        </w:rPr>
        <w:t>分，对于不能表达、运动功能良好、行为可以观察的患者，应使用CPOT量表或BPS量表等评估患者的镇痛状态，维持CPOT评分0</w:t>
      </w:r>
      <w:r>
        <w:rPr>
          <w:rFonts w:hint="default" w:ascii="Times New Roman" w:hAnsi="Times New Roman" w:eastAsia="宋体" w:cs="Times New Roman"/>
          <w:szCs w:val="21"/>
        </w:rPr>
        <w:t>-2</w:t>
      </w:r>
      <w:r>
        <w:rPr>
          <w:rFonts w:hint="default" w:ascii="Times New Roman" w:hAnsi="Times New Roman" w:eastAsia="宋体" w:cs="Times New Roman"/>
          <w:szCs w:val="21"/>
        </w:rPr>
        <w:t>分或BPS评分3</w:t>
      </w:r>
      <w:r>
        <w:rPr>
          <w:rFonts w:hint="default" w:ascii="Times New Roman" w:hAnsi="Times New Roman" w:eastAsia="宋体" w:cs="Times New Roman"/>
          <w:szCs w:val="21"/>
        </w:rPr>
        <w:t>-4</w:t>
      </w:r>
      <w:r>
        <w:rPr>
          <w:rFonts w:hint="default" w:ascii="Times New Roman" w:hAnsi="Times New Roman" w:eastAsia="宋体" w:cs="Times New Roman"/>
          <w:szCs w:val="21"/>
        </w:rPr>
        <w:t>分。</w:t>
      </w:r>
    </w:p>
    <w:p w14:paraId="3ECD5927">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6.1.6</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应使用RASS量表或SAS量表等评估患者的镇静状态，维持RASS评分-2</w:t>
      </w:r>
      <w:r>
        <w:rPr>
          <w:rFonts w:hint="default" w:ascii="Times New Roman" w:hAnsi="Times New Roman" w:eastAsia="宋体" w:cs="Times New Roman"/>
          <w:szCs w:val="21"/>
        </w:rPr>
        <w:t>-0</w:t>
      </w:r>
      <w:r>
        <w:rPr>
          <w:rFonts w:hint="default" w:ascii="Times New Roman" w:hAnsi="Times New Roman" w:eastAsia="宋体" w:cs="Times New Roman"/>
          <w:szCs w:val="21"/>
        </w:rPr>
        <w:t>分或SAS评分3</w:t>
      </w:r>
      <w:r>
        <w:rPr>
          <w:rFonts w:hint="default" w:ascii="Times New Roman" w:hAnsi="Times New Roman" w:eastAsia="宋体" w:cs="Times New Roman"/>
          <w:szCs w:val="21"/>
        </w:rPr>
        <w:t>-4</w:t>
      </w:r>
      <w:r>
        <w:rPr>
          <w:rFonts w:hint="default" w:ascii="Times New Roman" w:hAnsi="Times New Roman" w:eastAsia="宋体" w:cs="Times New Roman"/>
          <w:szCs w:val="21"/>
        </w:rPr>
        <w:t>分。</w:t>
      </w:r>
    </w:p>
    <w:p w14:paraId="66E208E1">
      <w:pPr>
        <w:ind w:firstLine="0" w:firstLineChars="0"/>
        <w:rPr>
          <w:rFonts w:hint="default" w:ascii="Times New Roman" w:hAnsi="Times New Roman" w:eastAsia="宋体" w:cs="Times New Roman"/>
          <w:szCs w:val="21"/>
        </w:rPr>
      </w:pPr>
      <w:r>
        <w:rPr>
          <w:rFonts w:hint="default" w:ascii="黑体" w:hAnsi="黑体" w:eastAsia="黑体" w:cs="Times New Roman"/>
          <w:szCs w:val="21"/>
        </w:rPr>
        <w:t>6.1.7</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应在转运前30分钟暂停肠内营养，评估胃残留量，必要时胃肠减压。</w:t>
      </w:r>
    </w:p>
    <w:p w14:paraId="087B862B">
      <w:pPr>
        <w:ind w:firstLine="0" w:firstLineChars="0"/>
        <w:rPr>
          <w:rFonts w:hint="default" w:ascii="Times New Roman" w:hAnsi="Times New Roman" w:eastAsia="黑体" w:cs="Times New Roman"/>
          <w:bCs/>
          <w:szCs w:val="21"/>
        </w:rPr>
      </w:pPr>
      <w:r>
        <w:rPr>
          <w:rFonts w:hint="default" w:ascii="黑体" w:hAnsi="黑体" w:eastAsia="黑体" w:cs="Times New Roman"/>
          <w:szCs w:val="21"/>
        </w:rPr>
        <w:t>6.1.8</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应评估患者非计划性拔管风险，根据风险等级及患者意识状态以确定是否进行身体约束。</w:t>
      </w:r>
    </w:p>
    <w:p w14:paraId="05D6DEB7">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6.2 转运人员准备</w:t>
      </w:r>
    </w:p>
    <w:p w14:paraId="1F2AC3B6">
      <w:pPr>
        <w:ind w:firstLine="0" w:firstLineChars="0"/>
        <w:rPr>
          <w:rFonts w:hint="eastAsia" w:ascii="宋体" w:hAnsi="宋体" w:eastAsia="宋体" w:cs="宋体"/>
          <w:szCs w:val="21"/>
        </w:rPr>
      </w:pPr>
      <w:r>
        <w:rPr>
          <w:rFonts w:hint="eastAsia" w:ascii="黑体" w:hAnsi="黑体" w:eastAsia="黑体" w:cs="宋体"/>
          <w:szCs w:val="21"/>
        </w:rPr>
        <w:t>6.2.1</w:t>
      </w:r>
      <w:r>
        <w:rPr>
          <w:rFonts w:hint="eastAsia" w:ascii="宋体" w:hAnsi="宋体" w:eastAsia="宋体" w:cs="宋体"/>
          <w:szCs w:val="21"/>
        </w:rPr>
        <w:t xml:space="preserve"> 应根据患者病情、生命体征、循环及呼吸支持情况配备转运人员。</w:t>
      </w:r>
    </w:p>
    <w:p w14:paraId="46A2DD8E">
      <w:pPr>
        <w:ind w:firstLine="0" w:firstLineChars="0"/>
        <w:rPr>
          <w:rFonts w:hint="eastAsia" w:ascii="宋体" w:hAnsi="宋体" w:eastAsia="宋体" w:cs="宋体"/>
          <w:szCs w:val="21"/>
        </w:rPr>
      </w:pPr>
      <w:r>
        <w:rPr>
          <w:rFonts w:hint="eastAsia" w:ascii="黑体" w:hAnsi="黑体" w:eastAsia="黑体" w:cs="宋体"/>
          <w:szCs w:val="21"/>
        </w:rPr>
        <w:t>6.2.2</w:t>
      </w:r>
      <w:r>
        <w:rPr>
          <w:rFonts w:hint="eastAsia" w:ascii="宋体" w:hAnsi="宋体" w:eastAsia="宋体" w:cs="宋体"/>
          <w:szCs w:val="21"/>
        </w:rPr>
        <w:t xml:space="preserve"> 应在转运前与接收部门人员沟通患者病情，告知出发时间及预计到达时间，确认接收准备。</w:t>
      </w:r>
    </w:p>
    <w:p w14:paraId="711A7284">
      <w:pPr>
        <w:ind w:firstLine="0" w:firstLineChars="0"/>
        <w:rPr>
          <w:rFonts w:hint="eastAsia" w:ascii="宋体" w:hAnsi="宋体" w:eastAsia="宋体" w:cs="宋体"/>
          <w:szCs w:val="21"/>
        </w:rPr>
      </w:pPr>
      <w:r>
        <w:rPr>
          <w:rFonts w:hint="eastAsia" w:ascii="黑体" w:hAnsi="黑体" w:eastAsia="黑体" w:cs="宋体"/>
          <w:szCs w:val="21"/>
        </w:rPr>
        <w:t>6.2.3</w:t>
      </w:r>
      <w:r>
        <w:rPr>
          <w:rFonts w:hint="eastAsia" w:ascii="宋体" w:hAnsi="宋体" w:eastAsia="宋体" w:cs="宋体"/>
          <w:szCs w:val="21"/>
        </w:rPr>
        <w:t xml:space="preserve"> 应相互配合，服从转运负责人的安排，做好应对并发症及意外情况的准备工作。</w:t>
      </w:r>
    </w:p>
    <w:p w14:paraId="1EA81B4E">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6.3 设备准备</w:t>
      </w:r>
    </w:p>
    <w:p w14:paraId="322C41CC">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6.3.1</w:t>
      </w:r>
      <w:r>
        <w:rPr>
          <w:rFonts w:hint="default" w:ascii="Times New Roman" w:hAnsi="Times New Roman" w:eastAsia="宋体" w:cs="Times New Roman"/>
          <w:szCs w:val="21"/>
        </w:rPr>
        <w:t xml:space="preserve"> </w:t>
      </w:r>
      <w:r>
        <w:rPr>
          <w:rFonts w:ascii="Times New Roman" w:hAnsi="Times New Roman" w:eastAsia="宋体" w:cs="Times New Roman"/>
          <w:szCs w:val="21"/>
        </w:rPr>
        <w:t>应评估转运设备性能、电量及氧气储备，储备量需满足转运全程需求，</w:t>
      </w:r>
      <w:r>
        <w:rPr>
          <w:rFonts w:hint="default" w:ascii="Times New Roman" w:hAnsi="Times New Roman" w:eastAsia="宋体" w:cs="Times New Roman"/>
          <w:szCs w:val="21"/>
        </w:rPr>
        <w:t>必要时携带不间断电源、备用电池或电源</w:t>
      </w:r>
      <w:r>
        <w:rPr>
          <w:rFonts w:ascii="Times New Roman" w:hAnsi="Times New Roman" w:eastAsia="宋体" w:cs="Times New Roman"/>
          <w:szCs w:val="21"/>
        </w:rPr>
        <w:t>。</w:t>
      </w:r>
    </w:p>
    <w:p w14:paraId="66E50D5E">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6.3.2</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宜确保接收部门具有相同通气支持条件。</w:t>
      </w:r>
    </w:p>
    <w:p w14:paraId="7C3EBC51">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6.3.3</w:t>
      </w:r>
      <w:r>
        <w:rPr>
          <w:rFonts w:hint="default" w:ascii="黑体" w:hAnsi="黑体" w:eastAsia="黑体" w:cs="Times New Roman"/>
          <w:szCs w:val="21"/>
        </w:rPr>
        <w:t xml:space="preserve"> </w:t>
      </w:r>
      <w:r>
        <w:rPr>
          <w:rFonts w:hint="default" w:ascii="Times New Roman" w:hAnsi="Times New Roman" w:eastAsia="宋体" w:cs="Times New Roman"/>
          <w:szCs w:val="21"/>
        </w:rPr>
        <w:t>对转运呼吸机，宜保持与原有呼吸支持条件一致，观察呼吸机运行5</w:t>
      </w:r>
      <w:r>
        <w:rPr>
          <w:rFonts w:hint="eastAsia" w:ascii="Times New Roman" w:hAnsi="Times New Roman" w:eastAsia="宋体" w:cs="Times New Roman"/>
          <w:szCs w:val="21"/>
        </w:rPr>
        <w:t>-</w:t>
      </w:r>
      <w:r>
        <w:rPr>
          <w:rFonts w:hint="default" w:ascii="Times New Roman" w:hAnsi="Times New Roman" w:eastAsia="宋体" w:cs="Times New Roman"/>
          <w:szCs w:val="21"/>
        </w:rPr>
        <w:t>10分钟</w:t>
      </w:r>
      <w:r>
        <w:rPr>
          <w:rFonts w:hint="default" w:ascii="Times New Roman" w:hAnsi="Times New Roman" w:eastAsia="宋体" w:cs="Times New Roman"/>
          <w:szCs w:val="21"/>
        </w:rPr>
        <w:t>，确认患者能维持PaO</w:t>
      </w:r>
      <w:r>
        <w:rPr>
          <w:rFonts w:hint="default" w:ascii="Times New Roman" w:hAnsi="Times New Roman" w:eastAsia="宋体" w:cs="Times New Roman"/>
          <w:szCs w:val="21"/>
          <w:vertAlign w:val="subscript"/>
        </w:rPr>
        <w:t>2</w:t>
      </w:r>
      <w:r>
        <w:rPr>
          <w:rFonts w:hint="default" w:ascii="Times New Roman" w:hAnsi="Times New Roman" w:eastAsia="宋体" w:cs="Times New Roman"/>
          <w:szCs w:val="21"/>
        </w:rPr>
        <w:t>≥60mmHg或SpO</w:t>
      </w:r>
      <w:r>
        <w:rPr>
          <w:rFonts w:hint="default" w:ascii="Times New Roman" w:hAnsi="Times New Roman" w:eastAsia="宋体" w:cs="Times New Roman"/>
          <w:szCs w:val="21"/>
          <w:vertAlign w:val="subscript"/>
        </w:rPr>
        <w:t>2</w:t>
      </w:r>
      <w:r>
        <w:rPr>
          <w:rFonts w:hint="default" w:ascii="Times New Roman" w:hAnsi="Times New Roman" w:eastAsia="宋体" w:cs="Times New Roman"/>
          <w:szCs w:val="21"/>
        </w:rPr>
        <w:t>≥90%，同时配备简易呼吸器。</w:t>
      </w:r>
    </w:p>
    <w:p w14:paraId="0DCB6238">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6.3.4</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宜配备便携式电动负压吸引装置。</w:t>
      </w:r>
    </w:p>
    <w:p w14:paraId="4E83BC4F">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6.3.5</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应按病情设置设备的报警参数。</w:t>
      </w:r>
    </w:p>
    <w:p w14:paraId="2EDC04DB">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6.3.6</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应妥善固定仪器设备，置于患者同一水平面或低于患者水平面。</w:t>
      </w:r>
    </w:p>
    <w:p w14:paraId="49B31D73">
      <w:pPr>
        <w:ind w:firstLine="0" w:firstLineChars="0"/>
        <w:rPr>
          <w:rFonts w:hint="default" w:ascii="Times New Roman" w:hAnsi="Times New Roman" w:eastAsia="宋体" w:cs="Times New Roman"/>
          <w:szCs w:val="21"/>
        </w:rPr>
      </w:pPr>
      <w:r>
        <w:rPr>
          <w:rFonts w:hint="default" w:ascii="黑体" w:hAnsi="黑体" w:eastAsia="黑体" w:cs="Times New Roman"/>
          <w:szCs w:val="21"/>
        </w:rPr>
        <w:t>6.3.7</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对需特殊监测的患者，宜配备如颅内压、肺动脉压类等监测仪器（见附录A）。</w:t>
      </w:r>
    </w:p>
    <w:p w14:paraId="777DA116">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6.4 物品准备</w:t>
      </w:r>
    </w:p>
    <w:p w14:paraId="2999C0CE">
      <w:pPr>
        <w:ind w:firstLine="0" w:firstLineChars="0"/>
        <w:rPr>
          <w:rFonts w:hint="default" w:ascii="Times New Roman" w:hAnsi="Times New Roman" w:eastAsia="宋体" w:cs="Times New Roman"/>
          <w:szCs w:val="21"/>
        </w:rPr>
      </w:pPr>
      <w:r>
        <w:rPr>
          <w:rFonts w:hint="default" w:ascii="黑体" w:hAnsi="黑体" w:eastAsia="黑体" w:cs="Times New Roman"/>
          <w:szCs w:val="21"/>
        </w:rPr>
        <w:t>6.4.1</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应根据患者病情配备治疗和急救药品（见附录A）。</w:t>
      </w:r>
    </w:p>
    <w:p w14:paraId="0A866366">
      <w:pPr>
        <w:ind w:firstLine="0" w:firstLineChars="0"/>
        <w:rPr>
          <w:rFonts w:hint="default" w:ascii="Times New Roman" w:hAnsi="Times New Roman" w:eastAsia="宋体" w:cs="Times New Roman"/>
          <w:szCs w:val="21"/>
        </w:rPr>
      </w:pPr>
      <w:r>
        <w:rPr>
          <w:rFonts w:hint="default" w:ascii="黑体" w:hAnsi="黑体" w:eastAsia="黑体" w:cs="Times New Roman"/>
          <w:szCs w:val="21"/>
        </w:rPr>
        <w:t>6.4.2</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应评估携带药物的必要性，根据维持药物使用情况，确保用量充足。</w:t>
      </w:r>
    </w:p>
    <w:p w14:paraId="609FFB3F">
      <w:pPr>
        <w:ind w:firstLine="0" w:firstLineChars="0"/>
        <w:rPr>
          <w:rFonts w:hint="default" w:ascii="Times New Roman" w:hAnsi="Times New Roman" w:eastAsia="宋体" w:cs="Times New Roman"/>
          <w:szCs w:val="21"/>
        </w:rPr>
      </w:pPr>
      <w:r>
        <w:rPr>
          <w:rFonts w:hint="default" w:ascii="黑体" w:hAnsi="黑体" w:eastAsia="黑体" w:cs="Times New Roman"/>
          <w:szCs w:val="21"/>
        </w:rPr>
        <w:t>6.4.3</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应评估配备物品，如吸痰管、纱布、无菌手套等。</w:t>
      </w:r>
    </w:p>
    <w:p w14:paraId="74768CC1">
      <w:pPr>
        <w:ind w:firstLine="0" w:firstLineChars="0"/>
        <w:rPr>
          <w:rFonts w:hint="default" w:ascii="Times New Roman" w:hAnsi="Times New Roman" w:eastAsia="宋体" w:cs="Times New Roman"/>
          <w:szCs w:val="21"/>
        </w:rPr>
      </w:pPr>
      <w:r>
        <w:rPr>
          <w:rFonts w:hint="default" w:ascii="黑体" w:hAnsi="黑体" w:eastAsia="黑体" w:cs="Times New Roman"/>
          <w:szCs w:val="21"/>
        </w:rPr>
        <w:t>6.4.4</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宜评估患者医疗记录齐全。</w:t>
      </w:r>
    </w:p>
    <w:p w14:paraId="0302C566">
      <w:pPr>
        <w:pStyle w:val="18"/>
        <w:numPr>
          <w:ilvl w:val="0"/>
          <w:numId w:val="1"/>
        </w:numPr>
        <w:adjustRightInd/>
        <w:snapToGrid/>
        <w:spacing w:before="312" w:beforeLines="100" w:after="312" w:afterLines="100" w:line="240" w:lineRule="auto"/>
        <w:ind w:firstLine="0" w:firstLineChars="0"/>
        <w:jc w:val="left"/>
        <w:outlineLvl w:val="0"/>
        <w:rPr>
          <w:rFonts w:hint="eastAsia" w:ascii="黑体" w:hAnsi="黑体" w:eastAsia="黑体" w:cs="黑体"/>
          <w:bCs/>
          <w:szCs w:val="21"/>
        </w:rPr>
      </w:pPr>
      <w:bookmarkStart w:id="10" w:name="_Toc226057774"/>
      <w:r>
        <w:rPr>
          <w:rFonts w:hint="eastAsia" w:ascii="黑体" w:hAnsi="黑体" w:eastAsia="黑体" w:cs="黑体"/>
          <w:bCs/>
          <w:szCs w:val="21"/>
        </w:rPr>
        <w:t>转运实施要点</w:t>
      </w:r>
      <w:bookmarkEnd w:id="10"/>
    </w:p>
    <w:p w14:paraId="1C5B8225">
      <w:pPr>
        <w:ind w:firstLine="0" w:firstLineChars="0"/>
        <w:rPr>
          <w:rFonts w:hint="eastAsia" w:ascii="宋体" w:hAnsi="宋体" w:eastAsia="宋体" w:cs="宋体"/>
          <w:szCs w:val="21"/>
        </w:rPr>
      </w:pPr>
      <w:r>
        <w:rPr>
          <w:rFonts w:hint="eastAsia" w:ascii="黑体" w:hAnsi="黑体" w:eastAsia="黑体" w:cs="宋体"/>
          <w:szCs w:val="21"/>
        </w:rPr>
        <w:t>7.1</w:t>
      </w:r>
      <w:r>
        <w:rPr>
          <w:rFonts w:hint="eastAsia" w:ascii="黑体" w:hAnsi="黑体" w:eastAsia="黑体" w:cs="宋体"/>
          <w:szCs w:val="21"/>
        </w:rPr>
        <w:t xml:space="preserve"> </w:t>
      </w:r>
      <w:r>
        <w:rPr>
          <w:rFonts w:hint="eastAsia" w:ascii="宋体" w:hAnsi="宋体" w:eastAsia="宋体" w:cs="宋体"/>
          <w:szCs w:val="21"/>
        </w:rPr>
        <w:t>应保持所有仪器设备显示屏在视线范围内。</w:t>
      </w:r>
    </w:p>
    <w:p w14:paraId="7D9C7FBC">
      <w:pPr>
        <w:ind w:firstLine="0" w:firstLineChars="0"/>
        <w:rPr>
          <w:rFonts w:hint="eastAsia" w:ascii="宋体" w:hAnsi="宋体" w:eastAsia="宋体" w:cs="宋体"/>
          <w:szCs w:val="21"/>
        </w:rPr>
      </w:pPr>
      <w:r>
        <w:rPr>
          <w:rFonts w:hint="eastAsia" w:ascii="黑体" w:hAnsi="黑体" w:eastAsia="黑体" w:cs="宋体"/>
          <w:szCs w:val="21"/>
        </w:rPr>
        <w:t>7.2</w:t>
      </w:r>
      <w:r>
        <w:rPr>
          <w:rFonts w:hint="eastAsia" w:ascii="黑体" w:hAnsi="黑体" w:eastAsia="黑体" w:cs="宋体"/>
          <w:szCs w:val="21"/>
        </w:rPr>
        <w:t xml:space="preserve"> </w:t>
      </w:r>
      <w:r>
        <w:rPr>
          <w:rFonts w:hint="eastAsia" w:ascii="宋体" w:hAnsi="宋体" w:eastAsia="宋体" w:cs="宋体"/>
          <w:szCs w:val="21"/>
        </w:rPr>
        <w:t>应做好转运中监测：</w:t>
      </w:r>
    </w:p>
    <w:p w14:paraId="77DD4C46">
      <w:pPr>
        <w:ind w:firstLine="420" w:firstLineChars="200"/>
        <w:rPr>
          <w:rFonts w:hint="eastAsia" w:ascii="宋体" w:hAnsi="宋体" w:eastAsia="宋体" w:cs="宋体"/>
          <w:szCs w:val="21"/>
        </w:rPr>
      </w:pPr>
      <w:r>
        <w:rPr>
          <w:rFonts w:hint="eastAsia" w:ascii="宋体" w:hAnsi="宋体" w:eastAsia="宋体" w:cs="宋体"/>
          <w:szCs w:val="21"/>
        </w:rPr>
        <w:t>——意识状态和生命体征等指标；</w:t>
      </w:r>
    </w:p>
    <w:p w14:paraId="7FC418BB">
      <w:pPr>
        <w:ind w:firstLine="420" w:firstLineChars="200"/>
        <w:rPr>
          <w:rFonts w:hint="eastAsia" w:ascii="宋体" w:hAnsi="宋体" w:eastAsia="宋体" w:cs="宋体"/>
          <w:szCs w:val="21"/>
        </w:rPr>
      </w:pPr>
      <w:r>
        <w:rPr>
          <w:rFonts w:hint="eastAsia" w:ascii="宋体" w:hAnsi="宋体" w:eastAsia="宋体" w:cs="宋体"/>
          <w:szCs w:val="21"/>
        </w:rPr>
        <w:t>——呼吸机潮气量、呼吸频率、气道压力、呼气末正压、吸呼比、氧气余量等；</w:t>
      </w:r>
    </w:p>
    <w:p w14:paraId="20F5AF27">
      <w:pPr>
        <w:ind w:firstLine="420" w:firstLineChars="200"/>
        <w:rPr>
          <w:rFonts w:hint="eastAsia" w:ascii="宋体" w:hAnsi="宋体" w:eastAsia="宋体" w:cs="宋体"/>
          <w:szCs w:val="21"/>
        </w:rPr>
      </w:pPr>
      <w:r>
        <w:rPr>
          <w:rFonts w:hint="eastAsia" w:ascii="宋体" w:hAnsi="宋体" w:eastAsia="宋体" w:cs="宋体"/>
          <w:szCs w:val="21"/>
        </w:rPr>
        <w:t>——微量泵及输液泵等设备运行情况。</w:t>
      </w:r>
    </w:p>
    <w:p w14:paraId="0C4D3055">
      <w:pPr>
        <w:ind w:firstLine="0" w:firstLineChars="0"/>
        <w:rPr>
          <w:rFonts w:hint="eastAsia" w:ascii="宋体" w:hAnsi="宋体" w:eastAsia="宋体" w:cs="宋体"/>
          <w:szCs w:val="21"/>
        </w:rPr>
      </w:pPr>
      <w:r>
        <w:rPr>
          <w:rFonts w:hint="eastAsia" w:ascii="黑体" w:hAnsi="黑体" w:eastAsia="黑体" w:cs="宋体"/>
          <w:szCs w:val="21"/>
        </w:rPr>
        <w:t>7.3</w:t>
      </w:r>
      <w:r>
        <w:rPr>
          <w:rFonts w:hint="eastAsia" w:ascii="黑体" w:hAnsi="黑体" w:eastAsia="黑体" w:cs="宋体"/>
          <w:szCs w:val="21"/>
        </w:rPr>
        <w:t xml:space="preserve"> </w:t>
      </w:r>
      <w:r>
        <w:rPr>
          <w:rFonts w:hint="eastAsia" w:ascii="宋体" w:hAnsi="宋体" w:eastAsia="宋体" w:cs="宋体"/>
          <w:szCs w:val="21"/>
        </w:rPr>
        <w:t>应确保各种管路固定良好，避免牵拉、压迫、打折。</w:t>
      </w:r>
    </w:p>
    <w:p w14:paraId="0843D319">
      <w:pPr>
        <w:ind w:firstLine="0" w:firstLineChars="0"/>
        <w:rPr>
          <w:rFonts w:hint="eastAsia" w:ascii="宋体" w:hAnsi="宋体" w:eastAsia="宋体" w:cs="宋体"/>
          <w:szCs w:val="21"/>
        </w:rPr>
      </w:pPr>
      <w:r>
        <w:rPr>
          <w:rFonts w:hint="eastAsia" w:ascii="黑体" w:hAnsi="黑体" w:eastAsia="黑体" w:cs="宋体"/>
          <w:szCs w:val="21"/>
        </w:rPr>
        <w:t>7.4</w:t>
      </w:r>
      <w:r>
        <w:rPr>
          <w:rFonts w:hint="eastAsia" w:ascii="黑体" w:hAnsi="黑体" w:eastAsia="黑体" w:cs="宋体"/>
          <w:szCs w:val="21"/>
        </w:rPr>
        <w:t xml:space="preserve"> </w:t>
      </w:r>
      <w:r>
        <w:rPr>
          <w:rFonts w:hint="eastAsia" w:ascii="宋体" w:hAnsi="宋体" w:eastAsia="宋体" w:cs="宋体"/>
          <w:szCs w:val="21"/>
        </w:rPr>
        <w:t>若转运中患者病情发生变化，应就地或就近部门进行初步处理，病情平稳后再决定继续转运或返回病室。</w:t>
      </w:r>
    </w:p>
    <w:p w14:paraId="2D060B9F">
      <w:pPr>
        <w:pStyle w:val="18"/>
        <w:numPr>
          <w:ilvl w:val="0"/>
          <w:numId w:val="1"/>
        </w:numPr>
        <w:adjustRightInd/>
        <w:snapToGrid/>
        <w:spacing w:before="312" w:beforeLines="100" w:after="312" w:afterLines="100" w:line="240" w:lineRule="auto"/>
        <w:ind w:firstLine="0" w:firstLineChars="0"/>
        <w:jc w:val="left"/>
        <w:outlineLvl w:val="0"/>
        <w:rPr>
          <w:rFonts w:hint="eastAsia" w:ascii="黑体" w:hAnsi="黑体" w:eastAsia="黑体" w:cs="黑体"/>
          <w:bCs/>
          <w:szCs w:val="21"/>
        </w:rPr>
      </w:pPr>
      <w:bookmarkStart w:id="11" w:name="_Toc226057775"/>
      <w:r>
        <w:rPr>
          <w:rFonts w:hint="eastAsia" w:ascii="黑体" w:hAnsi="黑体" w:eastAsia="黑体" w:cs="黑体"/>
          <w:bCs/>
          <w:szCs w:val="21"/>
        </w:rPr>
        <w:t>转运后管理</w:t>
      </w:r>
      <w:bookmarkEnd w:id="11"/>
    </w:p>
    <w:p w14:paraId="5BF8ACAD">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8.1 转运交接</w:t>
      </w:r>
    </w:p>
    <w:p w14:paraId="6E05417C">
      <w:pPr>
        <w:ind w:firstLine="0" w:firstLineChars="0"/>
        <w:rPr>
          <w:rFonts w:hint="eastAsia" w:ascii="宋体" w:hAnsi="宋体" w:eastAsia="宋体" w:cs="宋体"/>
          <w:szCs w:val="21"/>
        </w:rPr>
      </w:pPr>
      <w:r>
        <w:rPr>
          <w:rFonts w:hint="eastAsia" w:ascii="黑体" w:hAnsi="黑体" w:eastAsia="黑体" w:cs="宋体"/>
          <w:szCs w:val="21"/>
        </w:rPr>
        <w:t>8.1.1</w:t>
      </w:r>
      <w:r>
        <w:rPr>
          <w:rFonts w:hint="eastAsia" w:ascii="宋体" w:hAnsi="宋体" w:eastAsia="宋体" w:cs="宋体"/>
          <w:szCs w:val="21"/>
        </w:rPr>
        <w:t xml:space="preserve"> 应直接与患者的管床医生或责任护士交接。</w:t>
      </w:r>
    </w:p>
    <w:p w14:paraId="5AAE2DAD">
      <w:pPr>
        <w:ind w:firstLine="0" w:firstLineChars="0"/>
        <w:rPr>
          <w:rFonts w:hint="eastAsia" w:ascii="宋体" w:hAnsi="宋体" w:eastAsia="宋体" w:cs="宋体"/>
          <w:szCs w:val="21"/>
        </w:rPr>
      </w:pPr>
      <w:r>
        <w:rPr>
          <w:rFonts w:hint="eastAsia" w:ascii="黑体" w:hAnsi="黑体" w:eastAsia="黑体" w:cs="宋体"/>
          <w:szCs w:val="21"/>
        </w:rPr>
        <w:t>8.1.2</w:t>
      </w:r>
      <w:r>
        <w:rPr>
          <w:rFonts w:hint="eastAsia" w:ascii="宋体" w:hAnsi="宋体" w:eastAsia="宋体" w:cs="宋体"/>
          <w:szCs w:val="21"/>
        </w:rPr>
        <w:t xml:space="preserve"> 应听从一人指挥水平搬运患者，由专人负责保护人工气道等重要管路。</w:t>
      </w:r>
    </w:p>
    <w:p w14:paraId="671B3AF5">
      <w:pPr>
        <w:ind w:firstLine="0" w:firstLineChars="0"/>
        <w:rPr>
          <w:rFonts w:hint="eastAsia" w:ascii="宋体" w:hAnsi="宋体" w:eastAsia="宋体" w:cs="宋体"/>
          <w:szCs w:val="21"/>
        </w:rPr>
      </w:pPr>
      <w:r>
        <w:rPr>
          <w:rFonts w:hint="eastAsia" w:ascii="黑体" w:hAnsi="黑体" w:eastAsia="黑体" w:cs="宋体"/>
          <w:szCs w:val="21"/>
        </w:rPr>
        <w:t>8.1.3</w:t>
      </w:r>
      <w:r>
        <w:rPr>
          <w:rFonts w:hint="eastAsia" w:ascii="宋体" w:hAnsi="宋体" w:eastAsia="宋体" w:cs="宋体"/>
          <w:szCs w:val="21"/>
        </w:rPr>
        <w:t xml:space="preserve"> 应与接收部门做好交接并记录，包括患者病史、生命体征、仪器设备、管路药物、治疗护理情况及化验、影像学检查结果、患者社会支持和配合程度等，如转运过程中有特殊情况，应详实记录。</w:t>
      </w:r>
    </w:p>
    <w:p w14:paraId="1AB1C58A">
      <w:pPr>
        <w:pStyle w:val="18"/>
        <w:adjustRightInd/>
        <w:snapToGrid/>
        <w:spacing w:before="156" w:beforeLines="50" w:after="156" w:afterLines="50" w:line="240" w:lineRule="auto"/>
        <w:ind w:firstLine="0" w:firstLineChars="0"/>
        <w:jc w:val="left"/>
        <w:rPr>
          <w:rFonts w:hint="eastAsia" w:ascii="黑体" w:hAnsi="黑体" w:eastAsia="黑体" w:cs="黑体"/>
          <w:bCs/>
          <w:szCs w:val="21"/>
        </w:rPr>
      </w:pPr>
      <w:r>
        <w:rPr>
          <w:rFonts w:hint="eastAsia" w:ascii="黑体" w:hAnsi="黑体" w:eastAsia="黑体" w:cs="黑体"/>
          <w:bCs/>
          <w:szCs w:val="21"/>
        </w:rPr>
        <w:t>8.2 质量控制与培训</w:t>
      </w:r>
    </w:p>
    <w:p w14:paraId="30F3EE44">
      <w:pPr>
        <w:ind w:firstLine="0" w:firstLineChars="0"/>
        <w:rPr>
          <w:rFonts w:hint="eastAsia" w:ascii="宋体" w:hAnsi="宋体" w:eastAsia="宋体" w:cs="宋体"/>
          <w:szCs w:val="21"/>
        </w:rPr>
      </w:pPr>
      <w:r>
        <w:rPr>
          <w:rFonts w:hint="eastAsia" w:ascii="黑体" w:hAnsi="黑体" w:eastAsia="黑体" w:cs="宋体"/>
          <w:szCs w:val="21"/>
        </w:rPr>
        <w:t>8.2.1</w:t>
      </w:r>
      <w:r>
        <w:rPr>
          <w:rFonts w:hint="eastAsia" w:ascii="宋体" w:hAnsi="宋体" w:eastAsia="宋体" w:cs="宋体"/>
          <w:szCs w:val="21"/>
        </w:rPr>
        <w:t xml:space="preserve"> 应定期分析转运工作，分析转运过程中问题，优化转运流程。</w:t>
      </w:r>
    </w:p>
    <w:p w14:paraId="190863D9">
      <w:pPr>
        <w:ind w:firstLine="0" w:firstLineChars="0"/>
        <w:rPr>
          <w:rFonts w:hint="eastAsia" w:ascii="宋体" w:hAnsi="宋体" w:eastAsia="宋体" w:cs="宋体"/>
          <w:szCs w:val="21"/>
        </w:rPr>
      </w:pPr>
      <w:r>
        <w:rPr>
          <w:rFonts w:hint="eastAsia" w:ascii="黑体" w:hAnsi="黑体" w:eastAsia="黑体" w:cs="宋体"/>
          <w:szCs w:val="21"/>
        </w:rPr>
        <w:t>8.2.2</w:t>
      </w:r>
      <w:r>
        <w:rPr>
          <w:rFonts w:hint="eastAsia" w:ascii="宋体" w:hAnsi="宋体" w:eastAsia="宋体" w:cs="宋体"/>
          <w:szCs w:val="21"/>
        </w:rPr>
        <w:t xml:space="preserve"> 对转运过程中发生的不良事件，应统一上报并进行后续分析，持续质量改进。</w:t>
      </w:r>
    </w:p>
    <w:p w14:paraId="067BFB40">
      <w:pPr>
        <w:rPr>
          <w:rFonts w:ascii="宋体" w:hAnsi="宋体" w:eastAsia="宋体" w:cs="宋体"/>
          <w:szCs w:val="21"/>
        </w:rPr>
      </w:pPr>
      <w:r>
        <w:rPr>
          <w:rFonts w:hint="eastAsia" w:ascii="黑体" w:hAnsi="黑体" w:eastAsia="黑体" w:cs="宋体"/>
          <w:szCs w:val="21"/>
        </w:rPr>
        <w:t>8.2.3</w:t>
      </w:r>
      <w:r>
        <w:rPr>
          <w:rFonts w:hint="eastAsia" w:ascii="宋体" w:hAnsi="宋体" w:eastAsia="宋体" w:cs="宋体"/>
          <w:szCs w:val="21"/>
        </w:rPr>
        <w:t xml:space="preserve"> 应定期对转运人员进行培训考核，内容包括基础生命支持、高级生命支持、建立人工气道、机械通气、休克救治、心律失常识别与处理、转运相关知识、仪器设备使用、应急救护能力等。</w:t>
      </w:r>
    </w:p>
    <w:p w14:paraId="7DB75DC1">
      <w:pPr>
        <w:rPr>
          <w:rFonts w:ascii="宋体" w:hAnsi="宋体" w:eastAsia="宋体" w:cs="宋体"/>
          <w:szCs w:val="21"/>
        </w:rPr>
      </w:pPr>
    </w:p>
    <w:p w14:paraId="71EB37B2">
      <w:pPr>
        <w:rPr>
          <w:rFonts w:hint="eastAsia" w:ascii="宋体" w:hAnsi="宋体" w:eastAsia="宋体" w:cs="宋体"/>
          <w:szCs w:val="21"/>
        </w:rPr>
        <w:sectPr>
          <w:footerReference r:id="rId15" w:type="default"/>
          <w:footerReference r:id="rId16" w:type="even"/>
          <w:pgSz w:w="11906" w:h="16838"/>
          <w:pgMar w:top="1440" w:right="1800" w:bottom="1440" w:left="1800" w:header="851" w:footer="992" w:gutter="0"/>
          <w:pgNumType w:start="1"/>
          <w:cols w:space="425" w:num="1"/>
          <w:docGrid w:type="lines" w:linePitch="312" w:charSpace="0"/>
        </w:sectPr>
      </w:pPr>
    </w:p>
    <w:p w14:paraId="67C4ACE2">
      <w:pPr>
        <w:jc w:val="center"/>
        <w:outlineLvl w:val="0"/>
        <w:rPr>
          <w:rFonts w:hint="default" w:ascii="Times New Roman" w:hAnsi="Times New Roman" w:eastAsia="黑体" w:cs="Times New Roman"/>
          <w:bCs/>
          <w:szCs w:val="21"/>
        </w:rPr>
      </w:pPr>
      <w:bookmarkStart w:id="12" w:name="_Toc226057776"/>
      <w:r>
        <w:rPr>
          <w:rFonts w:hint="default" w:ascii="Times New Roman" w:hAnsi="Times New Roman" w:eastAsia="黑体" w:cs="Times New Roman"/>
          <w:bCs/>
          <w:szCs w:val="21"/>
        </w:rPr>
        <w:t>附 录 A</w:t>
      </w:r>
      <w:bookmarkEnd w:id="12"/>
    </w:p>
    <w:p w14:paraId="7F2958CD">
      <w:pPr>
        <w:jc w:val="center"/>
        <w:outlineLvl w:val="0"/>
        <w:rPr>
          <w:rFonts w:hint="default" w:ascii="Times New Roman" w:hAnsi="Times New Roman" w:eastAsia="黑体" w:cs="Times New Roman"/>
          <w:bCs/>
          <w:szCs w:val="21"/>
        </w:rPr>
      </w:pPr>
      <w:bookmarkStart w:id="13" w:name="_Toc226057777"/>
      <w:r>
        <w:rPr>
          <w:rFonts w:hint="default" w:ascii="Times New Roman" w:hAnsi="Times New Roman" w:eastAsia="黑体" w:cs="Times New Roman"/>
          <w:bCs/>
          <w:szCs w:val="21"/>
        </w:rPr>
        <w:t>（规范性）</w:t>
      </w:r>
      <w:bookmarkEnd w:id="13"/>
    </w:p>
    <w:p w14:paraId="7040B697">
      <w:pPr>
        <w:jc w:val="center"/>
        <w:outlineLvl w:val="0"/>
        <w:rPr>
          <w:rFonts w:ascii="Times New Roman" w:hAnsi="Times New Roman" w:eastAsia="黑体" w:cs="Times New Roman"/>
          <w:bCs/>
          <w:szCs w:val="21"/>
        </w:rPr>
      </w:pPr>
      <w:bookmarkStart w:id="14" w:name="_Toc226057778"/>
      <w:r>
        <w:rPr>
          <w:rFonts w:hint="default" w:ascii="Times New Roman" w:hAnsi="Times New Roman" w:eastAsia="黑体" w:cs="Times New Roman"/>
          <w:bCs/>
          <w:szCs w:val="21"/>
        </w:rPr>
        <w:t>仪器设备、急救药品与物品</w:t>
      </w:r>
      <w:bookmarkEnd w:id="14"/>
    </w:p>
    <w:p w14:paraId="351AD729">
      <w:pPr>
        <w:jc w:val="center"/>
        <w:rPr>
          <w:rFonts w:hint="eastAsia" w:ascii="Times New Roman" w:hAnsi="Times New Roman" w:eastAsia="黑体" w:cs="Times New Roman"/>
          <w:bCs/>
          <w:szCs w:val="21"/>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5591"/>
      </w:tblGrid>
      <w:tr w14:paraId="2D2B4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DA9C473">
            <w:pPr>
              <w:jc w:val="center"/>
              <w:rPr>
                <w:rFonts w:hint="eastAsia" w:ascii="宋体" w:hAnsi="宋体" w:eastAsia="宋体" w:cs="宋体"/>
                <w:szCs w:val="21"/>
              </w:rPr>
            </w:pPr>
            <w:r>
              <w:rPr>
                <w:rFonts w:hint="eastAsia" w:ascii="宋体" w:hAnsi="宋体" w:eastAsia="宋体" w:cs="宋体"/>
                <w:szCs w:val="21"/>
              </w:rPr>
              <w:t>仪器设备/急救药品/物品</w:t>
            </w:r>
          </w:p>
        </w:tc>
        <w:tc>
          <w:tcPr>
            <w:tcW w:w="5591" w:type="dxa"/>
          </w:tcPr>
          <w:p w14:paraId="74E26AE2">
            <w:pPr>
              <w:jc w:val="center"/>
              <w:rPr>
                <w:rFonts w:hint="eastAsia" w:ascii="宋体" w:hAnsi="宋体" w:eastAsia="宋体" w:cs="宋体"/>
                <w:szCs w:val="21"/>
              </w:rPr>
            </w:pPr>
            <w:r>
              <w:rPr>
                <w:rFonts w:hint="eastAsia" w:ascii="宋体" w:hAnsi="宋体" w:eastAsia="宋体" w:cs="宋体"/>
                <w:szCs w:val="21"/>
              </w:rPr>
              <w:t>内容</w:t>
            </w:r>
          </w:p>
        </w:tc>
      </w:tr>
      <w:tr w14:paraId="5BF93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70DE8753">
            <w:pPr>
              <w:jc w:val="center"/>
              <w:rPr>
                <w:rFonts w:hint="eastAsia" w:ascii="宋体" w:hAnsi="宋体" w:eastAsia="宋体" w:cs="宋体"/>
                <w:szCs w:val="21"/>
              </w:rPr>
            </w:pPr>
            <w:r>
              <w:rPr>
                <w:rFonts w:hint="eastAsia" w:ascii="宋体" w:hAnsi="宋体" w:eastAsia="宋体" w:cs="宋体"/>
                <w:szCs w:val="21"/>
              </w:rPr>
              <w:t>仪器设备</w:t>
            </w:r>
          </w:p>
        </w:tc>
        <w:tc>
          <w:tcPr>
            <w:tcW w:w="5591" w:type="dxa"/>
            <w:vAlign w:val="center"/>
          </w:tcPr>
          <w:p w14:paraId="23FA7F7A">
            <w:pPr>
              <w:jc w:val="left"/>
              <w:rPr>
                <w:rFonts w:hint="eastAsia" w:ascii="宋体" w:hAnsi="宋体" w:eastAsia="宋体" w:cs="宋体"/>
                <w:szCs w:val="21"/>
              </w:rPr>
            </w:pPr>
            <w:r>
              <w:rPr>
                <w:rFonts w:hint="eastAsia" w:ascii="宋体" w:hAnsi="宋体" w:eastAsia="宋体" w:cs="宋体"/>
                <w:szCs w:val="21"/>
              </w:rPr>
              <w:t>转运呼吸机、便携式氧气筒、转运监护仪、简易呼吸器、面罩、输液泵、微量泵、负压吸引装置、不间断电源、备用电池或电源、除颤仪等。</w:t>
            </w:r>
          </w:p>
        </w:tc>
      </w:tr>
      <w:tr w14:paraId="5B7B8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2840" w:type="dxa"/>
            <w:vAlign w:val="center"/>
          </w:tcPr>
          <w:p w14:paraId="039D160E">
            <w:pPr>
              <w:jc w:val="center"/>
              <w:rPr>
                <w:rFonts w:hint="eastAsia" w:ascii="宋体" w:hAnsi="宋体" w:eastAsia="宋体" w:cs="宋体"/>
                <w:szCs w:val="21"/>
              </w:rPr>
            </w:pPr>
            <w:r>
              <w:rPr>
                <w:rFonts w:hint="eastAsia" w:ascii="宋体" w:hAnsi="宋体" w:eastAsia="宋体" w:cs="宋体"/>
                <w:szCs w:val="21"/>
              </w:rPr>
              <w:t>急救药品</w:t>
            </w:r>
          </w:p>
        </w:tc>
        <w:tc>
          <w:tcPr>
            <w:tcW w:w="5591" w:type="dxa"/>
            <w:vAlign w:val="center"/>
          </w:tcPr>
          <w:p w14:paraId="3C63CB50">
            <w:pPr>
              <w:tabs>
                <w:tab w:val="left" w:pos="1832"/>
              </w:tabs>
              <w:jc w:val="left"/>
              <w:rPr>
                <w:rFonts w:hint="eastAsia" w:ascii="宋体" w:hAnsi="宋体" w:eastAsia="宋体" w:cs="宋体"/>
                <w:szCs w:val="21"/>
              </w:rPr>
            </w:pPr>
            <w:r>
              <w:rPr>
                <w:rFonts w:ascii="宋体" w:hAnsi="宋体" w:eastAsia="宋体" w:cs="宋体"/>
                <w:szCs w:val="21"/>
              </w:rPr>
              <w:t>镇痛镇静药、血管活性药、抗心律失常药等</w:t>
            </w:r>
            <w:r>
              <w:rPr>
                <w:rFonts w:hint="eastAsia" w:ascii="宋体" w:hAnsi="宋体" w:eastAsia="宋体" w:cs="宋体"/>
                <w:szCs w:val="21"/>
              </w:rPr>
              <w:t>。</w:t>
            </w:r>
          </w:p>
        </w:tc>
      </w:tr>
      <w:tr w14:paraId="70950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2840" w:type="dxa"/>
            <w:vAlign w:val="center"/>
          </w:tcPr>
          <w:p w14:paraId="2CEB0AD8">
            <w:pPr>
              <w:jc w:val="center"/>
              <w:rPr>
                <w:rFonts w:hint="eastAsia" w:ascii="宋体" w:hAnsi="宋体" w:eastAsia="宋体" w:cs="宋体"/>
                <w:szCs w:val="21"/>
              </w:rPr>
            </w:pPr>
            <w:r>
              <w:rPr>
                <w:rFonts w:hint="eastAsia" w:ascii="宋体" w:hAnsi="宋体" w:eastAsia="宋体" w:cs="宋体"/>
                <w:szCs w:val="21"/>
              </w:rPr>
              <w:t>物品</w:t>
            </w:r>
          </w:p>
        </w:tc>
        <w:tc>
          <w:tcPr>
            <w:tcW w:w="5591" w:type="dxa"/>
            <w:vAlign w:val="center"/>
          </w:tcPr>
          <w:p w14:paraId="500BD271">
            <w:pPr>
              <w:tabs>
                <w:tab w:val="left" w:pos="1832"/>
              </w:tabs>
              <w:jc w:val="left"/>
              <w:rPr>
                <w:rFonts w:hint="eastAsia" w:ascii="宋体" w:hAnsi="宋体" w:eastAsia="宋体" w:cs="宋体"/>
                <w:szCs w:val="21"/>
              </w:rPr>
            </w:pPr>
            <w:r>
              <w:rPr>
                <w:rFonts w:hint="eastAsia" w:ascii="宋体" w:hAnsi="宋体" w:eastAsia="宋体" w:cs="宋体"/>
                <w:szCs w:val="21"/>
              </w:rPr>
              <w:t>吸痰管、纱布、无菌手套等。</w:t>
            </w:r>
          </w:p>
        </w:tc>
      </w:tr>
    </w:tbl>
    <w:p w14:paraId="62252BAB">
      <w:pPr>
        <w:widowControl/>
        <w:rPr>
          <w:rFonts w:ascii="宋体" w:hAnsi="宋体" w:eastAsia="宋体" w:cs="宋体"/>
          <w:sz w:val="18"/>
          <w:szCs w:val="18"/>
        </w:rPr>
      </w:pPr>
      <w:r>
        <w:rPr>
          <w:rFonts w:hint="eastAsia" w:ascii="黑体" w:hAnsi="黑体" w:eastAsia="黑体" w:cs="宋体"/>
          <w:sz w:val="18"/>
          <w:szCs w:val="18"/>
        </w:rPr>
        <w:t>注:</w:t>
      </w:r>
      <w:r>
        <w:rPr>
          <w:rFonts w:hint="eastAsia" w:ascii="宋体" w:hAnsi="宋体" w:eastAsia="宋体" w:cs="宋体"/>
          <w:sz w:val="18"/>
          <w:szCs w:val="18"/>
        </w:rPr>
        <w:t>以上推荐配备标准,各医疗机构可根据自身实际情况按照推荐原则进行调整</w:t>
      </w:r>
      <w:r>
        <w:rPr>
          <w:rFonts w:hint="eastAsia" w:ascii="宋体" w:hAnsi="宋体" w:eastAsia="宋体" w:cs="宋体"/>
          <w:sz w:val="18"/>
          <w:szCs w:val="18"/>
        </w:rPr>
        <w:t>。</w:t>
      </w:r>
    </w:p>
    <w:p w14:paraId="5DC19B85">
      <w:pPr>
        <w:widowControl/>
        <w:rPr>
          <w:rFonts w:ascii="宋体" w:hAnsi="宋体" w:eastAsia="宋体" w:cs="宋体"/>
          <w:sz w:val="18"/>
          <w:szCs w:val="18"/>
        </w:rPr>
      </w:pPr>
    </w:p>
    <w:p w14:paraId="205ED962">
      <w:pPr>
        <w:widowControl/>
        <w:rPr>
          <w:rFonts w:hint="eastAsia" w:ascii="宋体" w:hAnsi="宋体" w:eastAsia="宋体" w:cs="宋体"/>
          <w:sz w:val="18"/>
          <w:szCs w:val="18"/>
        </w:rPr>
        <w:sectPr>
          <w:footerReference r:id="rId18" w:type="default"/>
          <w:headerReference r:id="rId17" w:type="even"/>
          <w:footerReference r:id="rId19" w:type="even"/>
          <w:pgSz w:w="11906" w:h="16838"/>
          <w:pgMar w:top="1440" w:right="1800" w:bottom="1440" w:left="1800" w:header="851" w:footer="992" w:gutter="0"/>
          <w:cols w:space="425" w:num="1"/>
          <w:docGrid w:type="lines" w:linePitch="312" w:charSpace="0"/>
        </w:sectPr>
      </w:pPr>
    </w:p>
    <w:p w14:paraId="71C651DA">
      <w:pPr>
        <w:widowControl w:val="0"/>
        <w:spacing w:before="312" w:beforeLines="100" w:after="156" w:afterLines="50"/>
        <w:jc w:val="center"/>
        <w:outlineLvl w:val="0"/>
        <w:rPr>
          <w:rFonts w:hint="eastAsia" w:ascii="Times New Roman" w:hAnsi="Times New Roman" w:eastAsia="黑体" w:cs="Times New Roman"/>
          <w:bCs/>
          <w:szCs w:val="21"/>
        </w:rPr>
      </w:pPr>
      <w:bookmarkStart w:id="15" w:name="_Toc226057779"/>
      <w:r>
        <w:rPr>
          <w:rFonts w:hint="eastAsia" w:ascii="Times New Roman" w:hAnsi="Times New Roman" w:eastAsia="黑体" w:cs="Times New Roman"/>
          <w:bCs/>
          <w:szCs w:val="21"/>
        </w:rPr>
        <w:t>参  考  文  献</w:t>
      </w:r>
      <w:bookmarkEnd w:id="15"/>
    </w:p>
    <w:p w14:paraId="603EFC73">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[1]李苏雅,邹灯秀,郑丹莉,等.机械通气患者院内转运安全管理的最佳证据总结[J].护理学杂志,2025,40(12):43-47.</w:t>
      </w:r>
    </w:p>
    <w:p w14:paraId="6B67A31D">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[2]舒星,肖玉欣,潘泽文,等.有创机械通气病人院内转运风险管理的最佳证据总结[J].循证护理,2025,11(04):580-588.</w:t>
      </w:r>
    </w:p>
    <w:p w14:paraId="01E9797D">
      <w:pPr>
        <w:pStyle w:val="18"/>
        <w:wordWrap w:val="0"/>
        <w:ind w:firstLine="0" w:firstLineChars="0"/>
        <w:rPr>
          <w:rFonts w:hint="eastAsia" w:ascii="Times New Roman" w:hAnsi="Times New Roman" w:eastAsia="宋体" w:cs="Times New Roman"/>
          <w:szCs w:val="21"/>
        </w:rPr>
      </w:pPr>
      <w:r>
        <w:rPr>
          <w:rFonts w:ascii="Times New Roman" w:hAnsi="Times New Roman" w:eastAsia="宋体" w:cs="Times New Roman"/>
          <w:szCs w:val="21"/>
        </w:rPr>
        <w:t>[3]Australasian College for Emergency Medicine.Joint Guideline for the Transport of Critically ill Patients[EB/OL].(2018-03-06) [2025-09-0</w:t>
      </w:r>
      <w:r>
        <w:rPr>
          <w:rFonts w:hint="eastAsia" w:ascii="Times New Roman" w:hAnsi="Times New Roman" w:eastAsia="宋体" w:cs="Times New Roman"/>
          <w:szCs w:val="21"/>
        </w:rPr>
        <w:t>4</w:t>
      </w:r>
      <w:r>
        <w:rPr>
          <w:rFonts w:ascii="Times New Roman" w:hAnsi="Times New Roman" w:eastAsia="宋体" w:cs="Times New Roman"/>
          <w:szCs w:val="21"/>
        </w:rPr>
        <w:t>].https://acem.org.au/getmedia/0daba691-5e60-4a88-b6a8-24f2af3e5ebf/2024_9-G03-GTCIP</w:t>
      </w:r>
      <w:r>
        <w:rPr>
          <w:rFonts w:hint="eastAsia" w:ascii="Times New Roman" w:hAnsi="Times New Roman" w:eastAsia="宋体" w:cs="Times New Roman"/>
          <w:szCs w:val="21"/>
        </w:rPr>
        <w:t>.</w:t>
      </w:r>
    </w:p>
    <w:p w14:paraId="74E65DE4">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lang w:val="fr-FR"/>
        </w:rPr>
        <w:t>[4]Murata M,</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Nakagawa N,</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Kawasaki T,</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et al.</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rPr>
        <w:t>Adverse events during intrahospital transport of critically ill patients:</w:t>
      </w:r>
      <w:r>
        <w:rPr>
          <w:rFonts w:hint="eastAsia" w:ascii="Times New Roman" w:hAnsi="Times New Roman" w:eastAsia="宋体" w:cs="Times New Roman"/>
          <w:szCs w:val="21"/>
        </w:rPr>
        <w:t xml:space="preserve"> </w:t>
      </w:r>
      <w:r>
        <w:rPr>
          <w:rFonts w:ascii="Times New Roman" w:hAnsi="Times New Roman" w:eastAsia="宋体" w:cs="Times New Roman"/>
          <w:szCs w:val="21"/>
        </w:rPr>
        <w:t>a systematic review and meta-analysis[J].Am J Emerg Med,2022,52:13-19.</w:t>
      </w:r>
    </w:p>
    <w:p w14:paraId="44ACD77C">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rPr>
        <w:t>[5]Pai S L,</w:t>
      </w:r>
      <w:r>
        <w:rPr>
          <w:rFonts w:hint="eastAsia" w:ascii="Times New Roman" w:hAnsi="Times New Roman" w:eastAsia="宋体" w:cs="Times New Roman"/>
          <w:szCs w:val="21"/>
        </w:rPr>
        <w:t xml:space="preserve"> </w:t>
      </w:r>
      <w:r>
        <w:rPr>
          <w:rFonts w:ascii="Times New Roman" w:hAnsi="Times New Roman" w:eastAsia="宋体" w:cs="Times New Roman"/>
          <w:szCs w:val="21"/>
        </w:rPr>
        <w:t>King A.</w:t>
      </w:r>
      <w:r>
        <w:rPr>
          <w:rFonts w:hint="eastAsia" w:ascii="Times New Roman" w:hAnsi="Times New Roman" w:eastAsia="宋体" w:cs="Times New Roman"/>
          <w:szCs w:val="21"/>
        </w:rPr>
        <w:t xml:space="preserve"> </w:t>
      </w:r>
      <w:r>
        <w:rPr>
          <w:rFonts w:ascii="Times New Roman" w:hAnsi="Times New Roman" w:eastAsia="宋体" w:cs="Times New Roman"/>
          <w:szCs w:val="21"/>
        </w:rPr>
        <w:t>Emergence from general anesthesia[EB/OL].(2023-11-18) [202</w:t>
      </w:r>
      <w:r>
        <w:rPr>
          <w:rFonts w:hint="eastAsia" w:ascii="Times New Roman" w:hAnsi="Times New Roman" w:eastAsia="宋体" w:cs="Times New Roman"/>
          <w:szCs w:val="21"/>
        </w:rPr>
        <w:t>5</w:t>
      </w:r>
      <w:r>
        <w:rPr>
          <w:rFonts w:ascii="Times New Roman" w:hAnsi="Times New Roman" w:eastAsia="宋体" w:cs="Times New Roman"/>
          <w:szCs w:val="21"/>
        </w:rPr>
        <w:t>-0</w:t>
      </w:r>
      <w:r>
        <w:rPr>
          <w:rFonts w:hint="eastAsia" w:ascii="Times New Roman" w:hAnsi="Times New Roman" w:eastAsia="宋体" w:cs="Times New Roman"/>
          <w:szCs w:val="21"/>
        </w:rPr>
        <w:t>9-04</w:t>
      </w:r>
      <w:r>
        <w:rPr>
          <w:rFonts w:ascii="Times New Roman" w:hAnsi="Times New Roman" w:eastAsia="宋体" w:cs="Times New Roman"/>
          <w:szCs w:val="21"/>
        </w:rPr>
        <w:t>].https://www.uptodate.com/con-tents/emergence-from-general-anesthesia.</w:t>
      </w:r>
    </w:p>
    <w:p w14:paraId="35D390EE">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rPr>
        <w:t>[6]Pannu A, Walsh D.</w:t>
      </w:r>
      <w:r>
        <w:rPr>
          <w:rFonts w:hint="eastAsia" w:ascii="Times New Roman" w:hAnsi="Times New Roman" w:eastAsia="宋体" w:cs="Times New Roman"/>
          <w:szCs w:val="21"/>
        </w:rPr>
        <w:t xml:space="preserve"> </w:t>
      </w:r>
      <w:r>
        <w:rPr>
          <w:rFonts w:ascii="Times New Roman" w:hAnsi="Times New Roman" w:eastAsia="宋体" w:cs="Times New Roman"/>
          <w:szCs w:val="21"/>
        </w:rPr>
        <w:t>Transport of surgical patients[EB/OL].(2024-04-11) [2024-05-11]. https://www. upto date.cn/contents/transport-of-surgical-patients.</w:t>
      </w:r>
    </w:p>
    <w:p w14:paraId="106BCEFC">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[7]中华医学会重症医学分会.《中国重症患者转运指南</w:t>
      </w:r>
      <w:r>
        <w:rPr>
          <w:rFonts w:hint="eastAsia" w:ascii="Times New Roman" w:hAnsi="Times New Roman" w:eastAsia="宋体" w:cs="Times New Roman"/>
          <w:szCs w:val="21"/>
        </w:rPr>
        <w:t>(</w:t>
      </w:r>
      <w:r>
        <w:rPr>
          <w:rFonts w:ascii="Times New Roman" w:hAnsi="Times New Roman" w:eastAsia="宋体" w:cs="Times New Roman"/>
          <w:szCs w:val="21"/>
        </w:rPr>
        <w:t>2010</w:t>
      </w:r>
      <w:r>
        <w:rPr>
          <w:rFonts w:hint="eastAsia" w:ascii="Times New Roman" w:hAnsi="Times New Roman" w:eastAsia="宋体" w:cs="Times New Roman"/>
          <w:szCs w:val="21"/>
        </w:rPr>
        <w:t>)</w:t>
      </w:r>
      <w:r>
        <w:rPr>
          <w:rFonts w:ascii="Times New Roman" w:hAnsi="Times New Roman" w:eastAsia="宋体" w:cs="Times New Roman"/>
          <w:szCs w:val="21"/>
        </w:rPr>
        <w:t>》</w:t>
      </w:r>
      <w:r>
        <w:rPr>
          <w:rFonts w:hint="eastAsia" w:ascii="Times New Roman" w:hAnsi="Times New Roman" w:eastAsia="宋体" w:cs="Times New Roman"/>
          <w:szCs w:val="21"/>
        </w:rPr>
        <w:t>(</w:t>
      </w:r>
      <w:r>
        <w:rPr>
          <w:rFonts w:ascii="Times New Roman" w:hAnsi="Times New Roman" w:eastAsia="宋体" w:cs="Times New Roman"/>
          <w:szCs w:val="21"/>
        </w:rPr>
        <w:t>草案</w:t>
      </w:r>
      <w:r>
        <w:rPr>
          <w:rFonts w:hint="eastAsia" w:ascii="Times New Roman" w:hAnsi="Times New Roman" w:eastAsia="宋体" w:cs="Times New Roman"/>
          <w:szCs w:val="21"/>
        </w:rPr>
        <w:t>)</w:t>
      </w:r>
      <w:r>
        <w:rPr>
          <w:rFonts w:ascii="Times New Roman" w:hAnsi="Times New Roman" w:eastAsia="宋体" w:cs="Times New Roman"/>
          <w:szCs w:val="21"/>
        </w:rPr>
        <w:t>[J].中国危重病急救医学</w:t>
      </w:r>
      <w:r>
        <w:rPr>
          <w:rFonts w:hint="eastAsia" w:ascii="Times New Roman" w:hAnsi="Times New Roman" w:eastAsia="宋体" w:cs="Times New Roman"/>
          <w:szCs w:val="21"/>
        </w:rPr>
        <w:t>,</w:t>
      </w:r>
      <w:r>
        <w:rPr>
          <w:rFonts w:ascii="Times New Roman" w:hAnsi="Times New Roman" w:eastAsia="宋体" w:cs="Times New Roman"/>
          <w:szCs w:val="21"/>
        </w:rPr>
        <w:t>2010</w:t>
      </w:r>
      <w:r>
        <w:rPr>
          <w:rFonts w:hint="eastAsia" w:ascii="Times New Roman" w:hAnsi="Times New Roman" w:eastAsia="宋体" w:cs="Times New Roman"/>
          <w:szCs w:val="21"/>
        </w:rPr>
        <w:t>,</w:t>
      </w:r>
      <w:r>
        <w:rPr>
          <w:rFonts w:ascii="Times New Roman" w:hAnsi="Times New Roman" w:eastAsia="宋体" w:cs="Times New Roman"/>
          <w:szCs w:val="21"/>
        </w:rPr>
        <w:t>22</w:t>
      </w:r>
      <w:r>
        <w:rPr>
          <w:rFonts w:hint="eastAsia" w:ascii="Times New Roman" w:hAnsi="Times New Roman" w:eastAsia="宋体" w:cs="Times New Roman"/>
          <w:szCs w:val="21"/>
        </w:rPr>
        <w:t>(</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328-330.</w:t>
      </w:r>
    </w:p>
    <w:p w14:paraId="12F048D4">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rPr>
        <w:t>[8]Warren J</w:t>
      </w:r>
      <w:r>
        <w:rPr>
          <w:rFonts w:hint="eastAsia" w:ascii="Times New Roman" w:hAnsi="Times New Roman" w:eastAsia="宋体" w:cs="Times New Roman"/>
          <w:szCs w:val="21"/>
        </w:rPr>
        <w:t xml:space="preserve">, </w:t>
      </w:r>
      <w:r>
        <w:rPr>
          <w:rFonts w:ascii="Times New Roman" w:hAnsi="Times New Roman" w:eastAsia="宋体" w:cs="Times New Roman"/>
          <w:szCs w:val="21"/>
        </w:rPr>
        <w:t>Fromm R E J</w:t>
      </w:r>
      <w:r>
        <w:rPr>
          <w:rFonts w:hint="eastAsia" w:ascii="Times New Roman" w:hAnsi="Times New Roman" w:eastAsia="宋体" w:cs="Times New Roman"/>
          <w:szCs w:val="21"/>
        </w:rPr>
        <w:t xml:space="preserve">, </w:t>
      </w:r>
      <w:r>
        <w:rPr>
          <w:rFonts w:ascii="Times New Roman" w:hAnsi="Times New Roman" w:eastAsia="宋体" w:cs="Times New Roman"/>
          <w:szCs w:val="21"/>
        </w:rPr>
        <w:t>Orr R A</w:t>
      </w:r>
      <w:r>
        <w:rPr>
          <w:rFonts w:hint="eastAsia" w:ascii="Times New Roman" w:hAnsi="Times New Roman" w:eastAsia="宋体" w:cs="Times New Roman"/>
          <w:szCs w:val="21"/>
        </w:rPr>
        <w:t xml:space="preserve">, </w:t>
      </w:r>
      <w:r>
        <w:rPr>
          <w:rFonts w:ascii="Times New Roman" w:hAnsi="Times New Roman" w:eastAsia="宋体" w:cs="Times New Roman"/>
          <w:szCs w:val="21"/>
        </w:rPr>
        <w:t>et al.</w:t>
      </w:r>
      <w:r>
        <w:rPr>
          <w:rFonts w:hint="eastAsia" w:ascii="Times New Roman" w:hAnsi="Times New Roman" w:eastAsia="宋体" w:cs="Times New Roman"/>
          <w:szCs w:val="21"/>
        </w:rPr>
        <w:t xml:space="preserve"> </w:t>
      </w:r>
      <w:r>
        <w:rPr>
          <w:rFonts w:ascii="Times New Roman" w:hAnsi="Times New Roman" w:eastAsia="宋体" w:cs="Times New Roman"/>
          <w:szCs w:val="21"/>
        </w:rPr>
        <w:t>Guidelines for the inter - and intrahospital transport of critically ill patients [J].</w:t>
      </w:r>
      <w:r>
        <w:rPr>
          <w:rFonts w:hint="eastAsia" w:ascii="Times New Roman" w:hAnsi="Times New Roman" w:eastAsia="宋体" w:cs="Times New Roman"/>
          <w:szCs w:val="21"/>
        </w:rPr>
        <w:t xml:space="preserve"> </w:t>
      </w:r>
      <w:r>
        <w:rPr>
          <w:rFonts w:ascii="Times New Roman" w:hAnsi="Times New Roman" w:eastAsia="宋体" w:cs="Times New Roman"/>
          <w:szCs w:val="21"/>
        </w:rPr>
        <w:t>Crit Care Med</w:t>
      </w:r>
      <w:r>
        <w:rPr>
          <w:rFonts w:hint="eastAsia" w:ascii="Times New Roman" w:hAnsi="Times New Roman" w:eastAsia="宋体" w:cs="Times New Roman"/>
          <w:szCs w:val="21"/>
        </w:rPr>
        <w:t>,</w:t>
      </w:r>
      <w:r>
        <w:rPr>
          <w:rFonts w:ascii="Times New Roman" w:hAnsi="Times New Roman" w:eastAsia="宋体" w:cs="Times New Roman"/>
          <w:szCs w:val="21"/>
        </w:rPr>
        <w:t>2004</w:t>
      </w:r>
      <w:r>
        <w:rPr>
          <w:rFonts w:hint="eastAsia" w:ascii="Times New Roman" w:hAnsi="Times New Roman" w:eastAsia="宋体" w:cs="Times New Roman"/>
          <w:szCs w:val="21"/>
        </w:rPr>
        <w:t>,</w:t>
      </w:r>
      <w:r>
        <w:rPr>
          <w:rFonts w:ascii="Times New Roman" w:hAnsi="Times New Roman" w:eastAsia="宋体" w:cs="Times New Roman"/>
          <w:szCs w:val="21"/>
        </w:rPr>
        <w:t>32</w:t>
      </w:r>
      <w:r>
        <w:rPr>
          <w:rFonts w:hint="eastAsia" w:ascii="Times New Roman" w:hAnsi="Times New Roman" w:eastAsia="宋体" w:cs="Times New Roman"/>
          <w:szCs w:val="21"/>
        </w:rPr>
        <w:t>(</w:t>
      </w:r>
      <w:r>
        <w:rPr>
          <w:rFonts w:ascii="Times New Roman" w:hAnsi="Times New Roman" w:eastAsia="宋体" w:cs="Times New Roman"/>
          <w:szCs w:val="21"/>
        </w:rPr>
        <w:t>1</w:t>
      </w:r>
      <w:r>
        <w:rPr>
          <w:rFonts w:hint="eastAsia" w:ascii="Times New Roman" w:hAnsi="Times New Roman" w:eastAsia="宋体" w:cs="Times New Roman"/>
          <w:szCs w:val="21"/>
        </w:rPr>
        <w:t>):</w:t>
      </w:r>
      <w:r>
        <w:rPr>
          <w:rFonts w:ascii="Times New Roman" w:hAnsi="Times New Roman" w:eastAsia="宋体" w:cs="Times New Roman"/>
          <w:szCs w:val="21"/>
        </w:rPr>
        <w:t>256 - 262.</w:t>
      </w:r>
    </w:p>
    <w:p w14:paraId="2726B818">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rPr>
        <w:t>[9]Chang D W</w:t>
      </w:r>
      <w:r>
        <w:rPr>
          <w:rFonts w:hint="eastAsia" w:ascii="Times New Roman" w:hAnsi="Times New Roman" w:eastAsia="宋体" w:cs="Times New Roman"/>
          <w:szCs w:val="21"/>
        </w:rPr>
        <w:t>,</w:t>
      </w:r>
      <w:r>
        <w:rPr>
          <w:rFonts w:ascii="Times New Roman" w:hAnsi="Times New Roman" w:eastAsia="宋体" w:cs="Times New Roman"/>
          <w:szCs w:val="21"/>
        </w:rPr>
        <w:t>American Association for Respiratory Care</w:t>
      </w:r>
      <w:r>
        <w:rPr>
          <w:rFonts w:hint="eastAsia" w:ascii="Times New Roman" w:hAnsi="Times New Roman" w:eastAsia="宋体" w:cs="Times New Roman"/>
          <w:szCs w:val="21"/>
        </w:rPr>
        <w:t>(</w:t>
      </w:r>
      <w:r>
        <w:rPr>
          <w:rFonts w:ascii="Times New Roman" w:hAnsi="Times New Roman" w:eastAsia="宋体" w:cs="Times New Roman"/>
          <w:szCs w:val="21"/>
        </w:rPr>
        <w:t>AARC</w:t>
      </w:r>
      <w:r>
        <w:rPr>
          <w:rFonts w:hint="eastAsia" w:ascii="Times New Roman" w:hAnsi="Times New Roman" w:eastAsia="宋体" w:cs="Times New Roman"/>
          <w:szCs w:val="21"/>
        </w:rPr>
        <w:t>)</w:t>
      </w:r>
      <w:r>
        <w:rPr>
          <w:rFonts w:ascii="Times New Roman" w:hAnsi="Times New Roman" w:eastAsia="宋体" w:cs="Times New Roman"/>
          <w:szCs w:val="21"/>
        </w:rPr>
        <w:t>.AARC Clinical Practice Guideline</w:t>
      </w:r>
      <w:r>
        <w:rPr>
          <w:rFonts w:hint="eastAsia" w:ascii="Times New Roman" w:hAnsi="Times New Roman" w:eastAsia="宋体" w:cs="Times New Roman"/>
          <w:szCs w:val="21"/>
        </w:rPr>
        <w:t>:</w:t>
      </w:r>
      <w:r>
        <w:rPr>
          <w:rFonts w:ascii="Times New Roman" w:hAnsi="Times New Roman" w:eastAsia="宋体" w:cs="Times New Roman"/>
          <w:szCs w:val="21"/>
        </w:rPr>
        <w:t>in - hospital transport of the mechanically ventilated patient</w:t>
      </w:r>
      <w:r>
        <w:rPr>
          <w:rFonts w:hint="eastAsia" w:ascii="Times New Roman" w:hAnsi="Times New Roman" w:eastAsia="宋体" w:cs="Times New Roman"/>
          <w:szCs w:val="21"/>
        </w:rPr>
        <w:t>:</w:t>
      </w:r>
      <w:r>
        <w:rPr>
          <w:rFonts w:ascii="Times New Roman" w:hAnsi="Times New Roman" w:eastAsia="宋体" w:cs="Times New Roman"/>
          <w:szCs w:val="21"/>
        </w:rPr>
        <w:t>2002 revision &amp; update [J].Respir Care</w:t>
      </w:r>
      <w:r>
        <w:rPr>
          <w:rFonts w:hint="eastAsia" w:ascii="Times New Roman" w:hAnsi="Times New Roman" w:eastAsia="宋体" w:cs="Times New Roman"/>
          <w:szCs w:val="21"/>
        </w:rPr>
        <w:t>,</w:t>
      </w:r>
      <w:r>
        <w:rPr>
          <w:rFonts w:ascii="Times New Roman" w:hAnsi="Times New Roman" w:eastAsia="宋体" w:cs="Times New Roman"/>
          <w:szCs w:val="21"/>
        </w:rPr>
        <w:t>2002</w:t>
      </w:r>
      <w:r>
        <w:rPr>
          <w:rFonts w:hint="eastAsia" w:ascii="Times New Roman" w:hAnsi="Times New Roman" w:eastAsia="宋体" w:cs="Times New Roman"/>
          <w:szCs w:val="21"/>
        </w:rPr>
        <w:t>,</w:t>
      </w:r>
      <w:r>
        <w:rPr>
          <w:rFonts w:ascii="Times New Roman" w:hAnsi="Times New Roman" w:eastAsia="宋体" w:cs="Times New Roman"/>
          <w:szCs w:val="21"/>
        </w:rPr>
        <w:t>47</w:t>
      </w:r>
      <w:r>
        <w:rPr>
          <w:rFonts w:hint="eastAsia" w:ascii="Times New Roman" w:hAnsi="Times New Roman" w:eastAsia="宋体" w:cs="Times New Roman"/>
          <w:szCs w:val="21"/>
        </w:rPr>
        <w:t>(</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721-723.</w:t>
      </w:r>
    </w:p>
    <w:p w14:paraId="13714AB6">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rPr>
        <w:t>[10]Australasian College for Emergency Medicine.</w:t>
      </w:r>
      <w:r>
        <w:rPr>
          <w:rFonts w:hint="eastAsia" w:ascii="Times New Roman" w:hAnsi="Times New Roman" w:eastAsia="宋体" w:cs="Times New Roman"/>
          <w:szCs w:val="21"/>
        </w:rPr>
        <w:t xml:space="preserve"> </w:t>
      </w:r>
      <w:r>
        <w:rPr>
          <w:rFonts w:ascii="Times New Roman" w:hAnsi="Times New Roman" w:eastAsia="宋体" w:cs="Times New Roman"/>
          <w:szCs w:val="21"/>
        </w:rPr>
        <w:t>Guidelines for transport of critically ill patients [EB/OL].</w:t>
      </w:r>
      <w:r>
        <w:rPr>
          <w:rFonts w:hint="eastAsia" w:ascii="Times New Roman" w:hAnsi="Times New Roman" w:eastAsia="宋体" w:cs="Times New Roman"/>
          <w:szCs w:val="21"/>
        </w:rPr>
        <w:t>(</w:t>
      </w:r>
      <w:r>
        <w:rPr>
          <w:rFonts w:ascii="Times New Roman" w:hAnsi="Times New Roman" w:eastAsia="宋体" w:cs="Times New Roman"/>
          <w:szCs w:val="21"/>
        </w:rPr>
        <w:t>2015-08-15</w:t>
      </w:r>
      <w:r>
        <w:rPr>
          <w:rFonts w:hint="eastAsia" w:ascii="Times New Roman" w:hAnsi="Times New Roman" w:eastAsia="宋体" w:cs="Times New Roman"/>
          <w:szCs w:val="21"/>
        </w:rPr>
        <w:t>)[</w:t>
      </w:r>
      <w:r>
        <w:rPr>
          <w:rFonts w:ascii="Times New Roman" w:hAnsi="Times New Roman" w:eastAsia="宋体" w:cs="Times New Roman"/>
          <w:szCs w:val="21"/>
        </w:rPr>
        <w:t>2024-05-14</w:t>
      </w:r>
      <w:r>
        <w:rPr>
          <w:rFonts w:hint="eastAsia" w:ascii="Times New Roman" w:hAnsi="Times New Roman" w:eastAsia="宋体" w:cs="Times New Roman"/>
          <w:szCs w:val="21"/>
        </w:rPr>
        <w:t>]</w:t>
      </w:r>
      <w:r>
        <w:rPr>
          <w:rFonts w:ascii="Times New Roman" w:hAnsi="Times New Roman" w:eastAsia="宋体" w:cs="Times New Roman"/>
          <w:szCs w:val="21"/>
        </w:rPr>
        <w:t>.https://acem.org.au/getmedia/0daba691 - 5e60 - 4a88 - b6a8 - 24f2af3e5ebf/Guidelines_for_the_Transport_of_Critically_Ill_Patients.</w:t>
      </w:r>
    </w:p>
    <w:p w14:paraId="7C4BE15C">
      <w:pPr>
        <w:pStyle w:val="18"/>
        <w:wordWrap w:val="0"/>
        <w:ind w:firstLine="0" w:firstLineChars="0"/>
        <w:rPr>
          <w:rFonts w:ascii="Times New Roman" w:hAnsi="Times New Roman" w:eastAsia="宋体" w:cs="Times New Roman"/>
          <w:szCs w:val="21"/>
        </w:rPr>
      </w:pPr>
      <w:r>
        <w:rPr>
          <w:rFonts w:ascii="Times New Roman" w:hAnsi="Times New Roman" w:eastAsia="宋体" w:cs="Times New Roman"/>
          <w:szCs w:val="21"/>
          <w:lang w:val="fr-FR"/>
        </w:rPr>
        <w:t>[11]Robba C,</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Poole D,</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McNett M,</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et al.</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rPr>
        <w:t>Mechanical ventilation in patients with acute brain injury: recommendations of the European Society of Intensive Care Medicine consensus[J].</w:t>
      </w:r>
      <w:r>
        <w:rPr>
          <w:rFonts w:hint="eastAsia" w:ascii="Times New Roman" w:hAnsi="Times New Roman" w:eastAsia="宋体" w:cs="Times New Roman"/>
          <w:szCs w:val="21"/>
        </w:rPr>
        <w:t xml:space="preserve"> </w:t>
      </w:r>
      <w:r>
        <w:rPr>
          <w:rFonts w:ascii="Times New Roman" w:hAnsi="Times New Roman" w:eastAsia="宋体" w:cs="Times New Roman"/>
          <w:szCs w:val="21"/>
        </w:rPr>
        <w:t>Intensive Care Med,2020,46(12):2397-2410.</w:t>
      </w:r>
    </w:p>
    <w:p w14:paraId="06117DF0">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[12]成人体外膜肺氧合患者院内转运护理共识专家组</w:t>
      </w:r>
      <w:r>
        <w:rPr>
          <w:rFonts w:hint="eastAsia" w:ascii="Times New Roman" w:hAnsi="Times New Roman" w:eastAsia="宋体" w:cs="Times New Roman"/>
          <w:szCs w:val="21"/>
        </w:rPr>
        <w:t>.</w:t>
      </w:r>
      <w:r>
        <w:rPr>
          <w:rFonts w:ascii="Times New Roman" w:hAnsi="Times New Roman" w:eastAsia="宋体" w:cs="Times New Roman"/>
          <w:szCs w:val="21"/>
        </w:rPr>
        <w:t>成人体外膜肺氧合患者院内转运护理专家共识[J].中国临床医学</w:t>
      </w:r>
      <w:r>
        <w:rPr>
          <w:rFonts w:hint="eastAsia" w:ascii="Times New Roman" w:hAnsi="Times New Roman" w:eastAsia="宋体" w:cs="Times New Roman"/>
          <w:szCs w:val="21"/>
        </w:rPr>
        <w:t>,</w:t>
      </w:r>
      <w:r>
        <w:rPr>
          <w:rFonts w:ascii="Times New Roman" w:hAnsi="Times New Roman" w:eastAsia="宋体" w:cs="Times New Roman"/>
          <w:szCs w:val="21"/>
        </w:rPr>
        <w:t>2021,28(4):716-722.</w:t>
      </w:r>
    </w:p>
    <w:p w14:paraId="681908DF">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[13]金静芬</w:t>
      </w:r>
      <w:r>
        <w:rPr>
          <w:rFonts w:hint="eastAsia" w:ascii="Times New Roman" w:hAnsi="Times New Roman" w:eastAsia="宋体" w:cs="Times New Roman"/>
          <w:szCs w:val="21"/>
        </w:rPr>
        <w:t>,</w:t>
      </w:r>
      <w:r>
        <w:rPr>
          <w:rFonts w:ascii="Times New Roman" w:hAnsi="Times New Roman" w:eastAsia="宋体" w:cs="Times New Roman"/>
          <w:szCs w:val="21"/>
        </w:rPr>
        <w:t>封秀琴</w:t>
      </w:r>
      <w:r>
        <w:rPr>
          <w:rFonts w:hint="eastAsia" w:ascii="Times New Roman" w:hAnsi="Times New Roman" w:eastAsia="宋体" w:cs="Times New Roman"/>
          <w:szCs w:val="21"/>
        </w:rPr>
        <w:t>,</w:t>
      </w:r>
      <w:r>
        <w:rPr>
          <w:rFonts w:ascii="Times New Roman" w:hAnsi="Times New Roman" w:eastAsia="宋体" w:cs="Times New Roman"/>
          <w:szCs w:val="21"/>
        </w:rPr>
        <w:t>周文华</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呼吸道传染病预防控制急诊护理专家共识[J].中华急危重症护理杂志</w:t>
      </w:r>
      <w:r>
        <w:rPr>
          <w:rFonts w:hint="eastAsia" w:ascii="Times New Roman" w:hAnsi="Times New Roman" w:eastAsia="宋体" w:cs="Times New Roman"/>
          <w:szCs w:val="21"/>
        </w:rPr>
        <w:t>,</w:t>
      </w:r>
      <w:r>
        <w:rPr>
          <w:rFonts w:ascii="Times New Roman" w:hAnsi="Times New Roman" w:eastAsia="宋体" w:cs="Times New Roman"/>
          <w:szCs w:val="21"/>
        </w:rPr>
        <w:t>2020,1(4):371-375.</w:t>
      </w:r>
    </w:p>
    <w:p w14:paraId="2376450E">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[14]急诊危重症患者院内转运共识专家组</w:t>
      </w:r>
      <w:r>
        <w:rPr>
          <w:rFonts w:hint="eastAsia" w:ascii="Times New Roman" w:hAnsi="Times New Roman" w:eastAsia="宋体" w:cs="Times New Roman"/>
          <w:szCs w:val="21"/>
        </w:rPr>
        <w:t>.</w:t>
      </w:r>
      <w:r>
        <w:rPr>
          <w:rFonts w:ascii="Times New Roman" w:hAnsi="Times New Roman" w:eastAsia="宋体" w:cs="Times New Roman"/>
          <w:szCs w:val="21"/>
        </w:rPr>
        <w:t>急诊危重症患者院内转运共识</w:t>
      </w:r>
      <w:r>
        <w:rPr>
          <w:rFonts w:hint="eastAsia" w:ascii="Times New Roman" w:hAnsi="Times New Roman" w:eastAsia="宋体" w:cs="Times New Roman"/>
          <w:szCs w:val="21"/>
        </w:rPr>
        <w:t>:</w:t>
      </w:r>
      <w:r>
        <w:rPr>
          <w:rFonts w:ascii="Times New Roman" w:hAnsi="Times New Roman" w:eastAsia="宋体" w:cs="Times New Roman"/>
          <w:szCs w:val="21"/>
        </w:rPr>
        <w:t>标准化分级转运方案[J].中华急诊医学杂志</w:t>
      </w:r>
      <w:r>
        <w:rPr>
          <w:rFonts w:hint="eastAsia" w:ascii="Times New Roman" w:hAnsi="Times New Roman" w:eastAsia="宋体" w:cs="Times New Roman"/>
          <w:szCs w:val="21"/>
        </w:rPr>
        <w:t>,</w:t>
      </w:r>
      <w:r>
        <w:rPr>
          <w:rFonts w:ascii="Times New Roman" w:hAnsi="Times New Roman" w:eastAsia="宋体" w:cs="Times New Roman"/>
          <w:szCs w:val="21"/>
        </w:rPr>
        <w:t>2017,26(5):512-516.</w:t>
      </w:r>
    </w:p>
    <w:p w14:paraId="0B43EF19">
      <w:pPr>
        <w:pStyle w:val="18"/>
        <w:ind w:firstLine="0" w:firstLineChars="0"/>
        <w:rPr>
          <w:rFonts w:ascii="Times New Roman" w:hAnsi="Times New Roman" w:eastAsia="宋体" w:cs="Times New Roman"/>
          <w:szCs w:val="21"/>
          <w:lang w:val="fr-FR"/>
        </w:rPr>
      </w:pPr>
      <w:r>
        <w:rPr>
          <w:rFonts w:ascii="Times New Roman" w:hAnsi="Times New Roman" w:eastAsia="宋体" w:cs="Times New Roman"/>
          <w:szCs w:val="21"/>
          <w:lang w:val="fr-FR"/>
        </w:rPr>
        <w:t>[15]Quenot J P,Milési C,Cravoisy A,et al.Intrahospital transport of critically ill patients (excluding newborns) recommendations of the Sociétéde Réanimation de Langue Française (SRLF), the Société Française d’Anesthésie et de Réanimation (SFAR), and the SociétéFrançaise de Médecined’Urgence (SFMU)[J].Ann Intensive Care,2012,2(1):1-6.</w:t>
      </w:r>
    </w:p>
    <w:p w14:paraId="483850B9">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[16]李尊柱</w:t>
      </w:r>
      <w:r>
        <w:rPr>
          <w:rFonts w:hint="eastAsia" w:ascii="Times New Roman" w:hAnsi="Times New Roman" w:eastAsia="宋体" w:cs="Times New Roman"/>
          <w:szCs w:val="21"/>
        </w:rPr>
        <w:t>,</w:t>
      </w:r>
      <w:r>
        <w:rPr>
          <w:rFonts w:ascii="Times New Roman" w:hAnsi="Times New Roman" w:eastAsia="宋体" w:cs="Times New Roman"/>
          <w:szCs w:val="21"/>
        </w:rPr>
        <w:t>孙红</w:t>
      </w:r>
      <w:r>
        <w:rPr>
          <w:rFonts w:hint="eastAsia" w:ascii="Times New Roman" w:hAnsi="Times New Roman" w:eastAsia="宋体" w:cs="Times New Roman"/>
          <w:szCs w:val="21"/>
        </w:rPr>
        <w:t>,</w:t>
      </w:r>
      <w:r>
        <w:rPr>
          <w:rFonts w:ascii="Times New Roman" w:hAnsi="Times New Roman" w:eastAsia="宋体" w:cs="Times New Roman"/>
          <w:szCs w:val="21"/>
        </w:rPr>
        <w:t>崔文博</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新型冠状病毒肺炎重症、危重症患者院内转运专家共识[J].协和医学杂志</w:t>
      </w:r>
      <w:r>
        <w:rPr>
          <w:rFonts w:hint="eastAsia" w:ascii="Times New Roman" w:hAnsi="Times New Roman" w:eastAsia="宋体" w:cs="Times New Roman"/>
          <w:szCs w:val="21"/>
        </w:rPr>
        <w:t>,</w:t>
      </w:r>
      <w:r>
        <w:rPr>
          <w:rFonts w:ascii="Times New Roman" w:hAnsi="Times New Roman" w:eastAsia="宋体" w:cs="Times New Roman"/>
          <w:szCs w:val="21"/>
        </w:rPr>
        <w:t>2020,11(6):676-681.</w:t>
      </w:r>
    </w:p>
    <w:p w14:paraId="337D9D5A">
      <w:pPr>
        <w:pStyle w:val="18"/>
        <w:ind w:firstLine="0" w:firstLineChars="0"/>
        <w:rPr>
          <w:rFonts w:ascii="Times New Roman" w:hAnsi="Times New Roman" w:eastAsia="宋体" w:cs="Times New Roman"/>
          <w:szCs w:val="21"/>
        </w:rPr>
      </w:pPr>
      <w:r>
        <w:rPr>
          <w:rFonts w:ascii="Times New Roman" w:hAnsi="Times New Roman" w:eastAsia="宋体" w:cs="Times New Roman"/>
          <w:szCs w:val="21"/>
          <w:lang w:val="fr-FR"/>
        </w:rPr>
        <w:t>[17]Haydar B,</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Baetzel A,</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Elliott A,</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lang w:val="fr-FR"/>
        </w:rPr>
        <w:t>et al.</w:t>
      </w:r>
      <w:r>
        <w:rPr>
          <w:rFonts w:hint="eastAsia" w:ascii="Times New Roman" w:hAnsi="Times New Roman" w:eastAsia="宋体" w:cs="Times New Roman"/>
          <w:szCs w:val="21"/>
          <w:lang w:val="fr-FR"/>
        </w:rPr>
        <w:t xml:space="preserve"> </w:t>
      </w:r>
      <w:r>
        <w:rPr>
          <w:rFonts w:ascii="Times New Roman" w:hAnsi="Times New Roman" w:eastAsia="宋体" w:cs="Times New Roman"/>
          <w:szCs w:val="21"/>
        </w:rPr>
        <w:t>Adverse events during intrahospital transport of critically ill children: a systematic review [J].</w:t>
      </w:r>
      <w:r>
        <w:rPr>
          <w:rFonts w:hint="eastAsia" w:ascii="Times New Roman" w:hAnsi="Times New Roman" w:eastAsia="宋体" w:cs="Times New Roman"/>
          <w:szCs w:val="21"/>
        </w:rPr>
        <w:t xml:space="preserve"> </w:t>
      </w:r>
      <w:r>
        <w:rPr>
          <w:rFonts w:ascii="Times New Roman" w:hAnsi="Times New Roman" w:eastAsia="宋体" w:cs="Times New Roman"/>
          <w:szCs w:val="21"/>
        </w:rPr>
        <w:t>Anesth Analg,2020,131(4):1113-1145.</w:t>
      </w:r>
    </w:p>
    <w:p w14:paraId="750A5EDB">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[18]吴娟</w:t>
      </w:r>
      <w:r>
        <w:rPr>
          <w:rFonts w:hint="eastAsia" w:ascii="Times New Roman" w:hAnsi="Times New Roman" w:eastAsia="宋体" w:cs="Times New Roman"/>
          <w:szCs w:val="21"/>
        </w:rPr>
        <w:t>,</w:t>
      </w:r>
      <w:r>
        <w:rPr>
          <w:rFonts w:ascii="Times New Roman" w:hAnsi="Times New Roman" w:eastAsia="宋体" w:cs="Times New Roman"/>
          <w:szCs w:val="21"/>
        </w:rPr>
        <w:t>钱海兰</w:t>
      </w:r>
      <w:r>
        <w:rPr>
          <w:rFonts w:hint="eastAsia" w:ascii="Times New Roman" w:hAnsi="Times New Roman" w:eastAsia="宋体" w:cs="Times New Roman"/>
          <w:szCs w:val="21"/>
        </w:rPr>
        <w:t>,</w:t>
      </w:r>
      <w:r>
        <w:rPr>
          <w:rFonts w:ascii="Times New Roman" w:hAnsi="Times New Roman" w:eastAsia="宋体" w:cs="Times New Roman"/>
          <w:szCs w:val="21"/>
        </w:rPr>
        <w:t>胡雁</w:t>
      </w:r>
      <w:r>
        <w:rPr>
          <w:rFonts w:hint="eastAsia" w:ascii="Times New Roman" w:hAnsi="Times New Roman" w:eastAsia="宋体" w:cs="Times New Roman"/>
          <w:szCs w:val="21"/>
        </w:rPr>
        <w:t>,</w:t>
      </w:r>
      <w:r>
        <w:rPr>
          <w:rFonts w:ascii="Times New Roman" w:hAnsi="Times New Roman" w:eastAsia="宋体" w:cs="Times New Roman"/>
          <w:szCs w:val="21"/>
        </w:rPr>
        <w:t>等.ICU成人置管病人合理身体约束的最佳证据总结[J].循证护理</w:t>
      </w:r>
      <w:r>
        <w:rPr>
          <w:rFonts w:hint="eastAsia" w:ascii="Times New Roman" w:hAnsi="Times New Roman" w:eastAsia="宋体" w:cs="Times New Roman"/>
          <w:szCs w:val="21"/>
        </w:rPr>
        <w:t>,</w:t>
      </w:r>
      <w:r>
        <w:rPr>
          <w:rFonts w:ascii="Times New Roman" w:hAnsi="Times New Roman" w:eastAsia="宋体" w:cs="Times New Roman"/>
          <w:szCs w:val="21"/>
        </w:rPr>
        <w:t>2020,6(8):750-755.</w:t>
      </w:r>
    </w:p>
    <w:p w14:paraId="29E5FD9B">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[19]方洁瑜</w:t>
      </w:r>
      <w:r>
        <w:rPr>
          <w:rFonts w:hint="eastAsia" w:ascii="Times New Roman" w:hAnsi="Times New Roman" w:eastAsia="宋体" w:cs="Times New Roman"/>
          <w:szCs w:val="21"/>
        </w:rPr>
        <w:t>,</w:t>
      </w:r>
      <w:r>
        <w:rPr>
          <w:rFonts w:ascii="Times New Roman" w:hAnsi="Times New Roman" w:eastAsia="宋体" w:cs="Times New Roman"/>
          <w:szCs w:val="21"/>
        </w:rPr>
        <w:t>彭蕾</w:t>
      </w:r>
      <w:r>
        <w:rPr>
          <w:rFonts w:hint="eastAsia" w:ascii="Times New Roman" w:hAnsi="Times New Roman" w:eastAsia="宋体" w:cs="Times New Roman"/>
          <w:szCs w:val="21"/>
        </w:rPr>
        <w:t>.</w:t>
      </w:r>
      <w:r>
        <w:rPr>
          <w:rFonts w:ascii="Times New Roman" w:hAnsi="Times New Roman" w:eastAsia="宋体" w:cs="Times New Roman"/>
          <w:szCs w:val="21"/>
        </w:rPr>
        <w:t>成人多发伤院内转运管理的最佳证据总结[J].医药前沿</w:t>
      </w:r>
      <w:r>
        <w:rPr>
          <w:rFonts w:hint="eastAsia" w:ascii="Times New Roman" w:hAnsi="Times New Roman" w:eastAsia="宋体" w:cs="Times New Roman"/>
          <w:szCs w:val="21"/>
        </w:rPr>
        <w:t>,</w:t>
      </w:r>
      <w:r>
        <w:rPr>
          <w:rFonts w:ascii="Times New Roman" w:hAnsi="Times New Roman" w:eastAsia="宋体" w:cs="Times New Roman"/>
          <w:szCs w:val="21"/>
        </w:rPr>
        <w:t>2023</w:t>
      </w:r>
      <w:r>
        <w:rPr>
          <w:rFonts w:hint="eastAsia" w:ascii="Times New Roman" w:hAnsi="Times New Roman" w:eastAsia="宋体" w:cs="Times New Roman"/>
          <w:szCs w:val="21"/>
        </w:rPr>
        <w:t>,</w:t>
      </w:r>
      <w:r>
        <w:rPr>
          <w:rFonts w:ascii="Times New Roman" w:hAnsi="Times New Roman" w:eastAsia="宋体" w:cs="Times New Roman"/>
          <w:szCs w:val="21"/>
        </w:rPr>
        <w:t>13(15)</w:t>
      </w:r>
      <w:r>
        <w:rPr>
          <w:rFonts w:hint="eastAsia" w:ascii="Times New Roman" w:hAnsi="Times New Roman" w:eastAsia="宋体" w:cs="Times New Roman"/>
          <w:szCs w:val="21"/>
        </w:rPr>
        <w:t>:</w:t>
      </w:r>
      <w:r>
        <w:rPr>
          <w:rFonts w:ascii="Times New Roman" w:hAnsi="Times New Roman" w:eastAsia="宋体" w:cs="Times New Roman"/>
          <w:szCs w:val="21"/>
        </w:rPr>
        <w:t>8-12.</w:t>
      </w:r>
    </w:p>
    <w:p w14:paraId="773EFB7F">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[20]梁军利</w:t>
      </w:r>
      <w:r>
        <w:rPr>
          <w:rFonts w:hint="eastAsia" w:ascii="Times New Roman" w:hAnsi="Times New Roman" w:eastAsia="宋体" w:cs="Times New Roman"/>
          <w:szCs w:val="21"/>
        </w:rPr>
        <w:t>,</w:t>
      </w:r>
      <w:r>
        <w:rPr>
          <w:rFonts w:ascii="Times New Roman" w:hAnsi="Times New Roman" w:eastAsia="宋体" w:cs="Times New Roman"/>
          <w:szCs w:val="21"/>
        </w:rPr>
        <w:t>薛珊</w:t>
      </w:r>
      <w:r>
        <w:rPr>
          <w:rFonts w:hint="eastAsia" w:ascii="Times New Roman" w:hAnsi="Times New Roman" w:eastAsia="宋体" w:cs="Times New Roman"/>
          <w:szCs w:val="21"/>
        </w:rPr>
        <w:t>,</w:t>
      </w:r>
      <w:r>
        <w:rPr>
          <w:rFonts w:ascii="Times New Roman" w:hAnsi="Times New Roman" w:eastAsia="宋体" w:cs="Times New Roman"/>
          <w:szCs w:val="21"/>
        </w:rPr>
        <w:t>刘磊</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机械通气患儿气管插管非计划性拔管预防策略的最佳证据总结[J].中华护理杂志</w:t>
      </w:r>
      <w:r>
        <w:rPr>
          <w:rFonts w:hint="eastAsia" w:ascii="Times New Roman" w:hAnsi="Times New Roman" w:eastAsia="宋体" w:cs="Times New Roman"/>
          <w:szCs w:val="21"/>
        </w:rPr>
        <w:t>,</w:t>
      </w:r>
      <w:r>
        <w:rPr>
          <w:rFonts w:ascii="Times New Roman" w:hAnsi="Times New Roman" w:eastAsia="宋体" w:cs="Times New Roman"/>
          <w:szCs w:val="21"/>
        </w:rPr>
        <w:t>2022</w:t>
      </w:r>
      <w:r>
        <w:rPr>
          <w:rFonts w:hint="eastAsia" w:ascii="Times New Roman" w:hAnsi="Times New Roman" w:eastAsia="宋体" w:cs="Times New Roman"/>
          <w:szCs w:val="21"/>
        </w:rPr>
        <w:t>,</w:t>
      </w:r>
      <w:r>
        <w:rPr>
          <w:rFonts w:ascii="Times New Roman" w:hAnsi="Times New Roman" w:eastAsia="宋体" w:cs="Times New Roman"/>
          <w:szCs w:val="21"/>
        </w:rPr>
        <w:t>57(24)</w:t>
      </w:r>
      <w:r>
        <w:rPr>
          <w:rFonts w:hint="eastAsia" w:ascii="Times New Roman" w:hAnsi="Times New Roman" w:eastAsia="宋体" w:cs="Times New Roman"/>
          <w:szCs w:val="21"/>
        </w:rPr>
        <w:t>:</w:t>
      </w:r>
      <w:r>
        <w:rPr>
          <w:rFonts w:ascii="Times New Roman" w:hAnsi="Times New Roman" w:eastAsia="宋体" w:cs="Times New Roman"/>
          <w:szCs w:val="21"/>
        </w:rPr>
        <w:t>3046-3054.</w:t>
      </w:r>
    </w:p>
    <w:p w14:paraId="46432F52">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[21]侯亚甜</w:t>
      </w:r>
      <w:r>
        <w:rPr>
          <w:rFonts w:hint="eastAsia" w:ascii="Times New Roman" w:hAnsi="Times New Roman" w:eastAsia="宋体" w:cs="Times New Roman"/>
          <w:szCs w:val="21"/>
        </w:rPr>
        <w:t>,</w:t>
      </w:r>
      <w:r>
        <w:rPr>
          <w:rFonts w:ascii="Times New Roman" w:hAnsi="Times New Roman" w:eastAsia="宋体" w:cs="Times New Roman"/>
          <w:szCs w:val="21"/>
        </w:rPr>
        <w:t>陈思诺</w:t>
      </w:r>
      <w:r>
        <w:rPr>
          <w:rFonts w:hint="eastAsia" w:ascii="Times New Roman" w:hAnsi="Times New Roman" w:eastAsia="宋体" w:cs="Times New Roman"/>
          <w:szCs w:val="21"/>
        </w:rPr>
        <w:t>,</w:t>
      </w:r>
      <w:r>
        <w:rPr>
          <w:rFonts w:ascii="Times New Roman" w:hAnsi="Times New Roman" w:eastAsia="宋体" w:cs="Times New Roman"/>
          <w:szCs w:val="21"/>
        </w:rPr>
        <w:t>刘孟慧</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机械通气患者隐性误吸识别与预防的最佳证据总结[J].护理学报</w:t>
      </w:r>
      <w:r>
        <w:rPr>
          <w:rFonts w:hint="eastAsia" w:ascii="Times New Roman" w:hAnsi="Times New Roman" w:eastAsia="宋体" w:cs="Times New Roman"/>
          <w:szCs w:val="21"/>
        </w:rPr>
        <w:t>,</w:t>
      </w:r>
      <w:r>
        <w:rPr>
          <w:rFonts w:ascii="Times New Roman" w:hAnsi="Times New Roman" w:eastAsia="宋体" w:cs="Times New Roman"/>
          <w:szCs w:val="21"/>
        </w:rPr>
        <w:t>2023</w:t>
      </w:r>
      <w:r>
        <w:rPr>
          <w:rFonts w:hint="eastAsia" w:ascii="Times New Roman" w:hAnsi="Times New Roman" w:eastAsia="宋体" w:cs="Times New Roman"/>
          <w:szCs w:val="21"/>
        </w:rPr>
        <w:t>,</w:t>
      </w:r>
      <w:r>
        <w:rPr>
          <w:rFonts w:ascii="Times New Roman" w:hAnsi="Times New Roman" w:eastAsia="宋体" w:cs="Times New Roman"/>
          <w:szCs w:val="21"/>
        </w:rPr>
        <w:t>30(18)</w:t>
      </w:r>
      <w:r>
        <w:rPr>
          <w:rFonts w:hint="eastAsia" w:ascii="Times New Roman" w:hAnsi="Times New Roman" w:eastAsia="宋体" w:cs="Times New Roman"/>
          <w:szCs w:val="21"/>
        </w:rPr>
        <w:t>:</w:t>
      </w:r>
      <w:r>
        <w:rPr>
          <w:rFonts w:ascii="Times New Roman" w:hAnsi="Times New Roman" w:eastAsia="宋体" w:cs="Times New Roman"/>
          <w:szCs w:val="21"/>
        </w:rPr>
        <w:t>36-41.</w:t>
      </w:r>
    </w:p>
    <w:p w14:paraId="1A7B441E">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[22]邓先锋</w:t>
      </w:r>
      <w:r>
        <w:rPr>
          <w:rFonts w:hint="eastAsia" w:ascii="Times New Roman" w:hAnsi="Times New Roman" w:eastAsia="宋体" w:cs="Times New Roman"/>
          <w:szCs w:val="21"/>
        </w:rPr>
        <w:t>,</w:t>
      </w:r>
      <w:r>
        <w:rPr>
          <w:rFonts w:ascii="Times New Roman" w:hAnsi="Times New Roman" w:eastAsia="宋体" w:cs="Times New Roman"/>
          <w:szCs w:val="21"/>
        </w:rPr>
        <w:t>杨霞</w:t>
      </w:r>
      <w:r>
        <w:rPr>
          <w:rFonts w:hint="eastAsia" w:ascii="Times New Roman" w:hAnsi="Times New Roman" w:eastAsia="宋体" w:cs="Times New Roman"/>
          <w:szCs w:val="21"/>
        </w:rPr>
        <w:t>,</w:t>
      </w:r>
      <w:r>
        <w:rPr>
          <w:rFonts w:ascii="Times New Roman" w:hAnsi="Times New Roman" w:eastAsia="宋体" w:cs="Times New Roman"/>
          <w:szCs w:val="21"/>
        </w:rPr>
        <w:t>喻姣花</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急诊危重症患者院内转运安全管理最佳证据总结[J].护理学杂志</w:t>
      </w:r>
      <w:r>
        <w:rPr>
          <w:rFonts w:hint="eastAsia" w:ascii="Times New Roman" w:hAnsi="Times New Roman" w:eastAsia="宋体" w:cs="Times New Roman"/>
          <w:szCs w:val="21"/>
        </w:rPr>
        <w:t>,</w:t>
      </w:r>
      <w:r>
        <w:rPr>
          <w:rFonts w:ascii="Times New Roman" w:hAnsi="Times New Roman" w:eastAsia="宋体" w:cs="Times New Roman"/>
          <w:szCs w:val="21"/>
        </w:rPr>
        <w:t>2020</w:t>
      </w:r>
      <w:r>
        <w:rPr>
          <w:rFonts w:hint="eastAsia" w:ascii="Times New Roman" w:hAnsi="Times New Roman" w:eastAsia="宋体" w:cs="Times New Roman"/>
          <w:szCs w:val="21"/>
        </w:rPr>
        <w:t>,</w:t>
      </w:r>
      <w:r>
        <w:rPr>
          <w:rFonts w:ascii="Times New Roman" w:hAnsi="Times New Roman" w:eastAsia="宋体" w:cs="Times New Roman"/>
          <w:szCs w:val="21"/>
        </w:rPr>
        <w:t>35(19)</w:t>
      </w:r>
      <w:r>
        <w:rPr>
          <w:rFonts w:hint="eastAsia" w:ascii="Times New Roman" w:hAnsi="Times New Roman" w:eastAsia="宋体" w:cs="Times New Roman"/>
          <w:szCs w:val="21"/>
        </w:rPr>
        <w:t>:</w:t>
      </w:r>
      <w:r>
        <w:rPr>
          <w:rFonts w:ascii="Times New Roman" w:hAnsi="Times New Roman" w:eastAsia="宋体" w:cs="Times New Roman"/>
          <w:szCs w:val="21"/>
        </w:rPr>
        <w:t>56-60.</w:t>
      </w:r>
    </w:p>
    <w:p w14:paraId="05F0F8E3">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w:t>[23]陈闪闪</w:t>
      </w:r>
      <w:r>
        <w:rPr>
          <w:rFonts w:hint="eastAsia" w:ascii="Times New Roman" w:hAnsi="Times New Roman" w:eastAsia="宋体" w:cs="Times New Roman"/>
          <w:szCs w:val="21"/>
        </w:rPr>
        <w:t>,</w:t>
      </w:r>
      <w:r>
        <w:rPr>
          <w:rFonts w:ascii="Times New Roman" w:hAnsi="Times New Roman" w:eastAsia="宋体" w:cs="Times New Roman"/>
          <w:szCs w:val="21"/>
        </w:rPr>
        <w:t>孙育红</w:t>
      </w:r>
      <w:r>
        <w:rPr>
          <w:rFonts w:hint="eastAsia" w:ascii="Times New Roman" w:hAnsi="Times New Roman" w:eastAsia="宋体" w:cs="Times New Roman"/>
          <w:szCs w:val="21"/>
        </w:rPr>
        <w:t>,</w:t>
      </w:r>
      <w:r>
        <w:rPr>
          <w:rFonts w:ascii="Times New Roman" w:hAnsi="Times New Roman" w:eastAsia="宋体" w:cs="Times New Roman"/>
          <w:szCs w:val="21"/>
        </w:rPr>
        <w:t>郭红</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术后危重患者转运的最佳证据总结[J].中华现代护理杂志</w:t>
      </w:r>
      <w:r>
        <w:rPr>
          <w:rFonts w:hint="eastAsia" w:ascii="Times New Roman" w:hAnsi="Times New Roman" w:eastAsia="宋体" w:cs="Times New Roman"/>
          <w:szCs w:val="21"/>
        </w:rPr>
        <w:t>,</w:t>
      </w:r>
      <w:r>
        <w:rPr>
          <w:rFonts w:ascii="Times New Roman" w:hAnsi="Times New Roman" w:eastAsia="宋体" w:cs="Times New Roman"/>
          <w:szCs w:val="21"/>
        </w:rPr>
        <w:t>2022</w:t>
      </w:r>
      <w:r>
        <w:rPr>
          <w:rFonts w:hint="eastAsia" w:ascii="Times New Roman" w:hAnsi="Times New Roman" w:eastAsia="宋体" w:cs="Times New Roman"/>
          <w:szCs w:val="21"/>
        </w:rPr>
        <w:t>,</w:t>
      </w:r>
      <w:r>
        <w:rPr>
          <w:rFonts w:ascii="Times New Roman" w:hAnsi="Times New Roman" w:eastAsia="宋体" w:cs="Times New Roman"/>
          <w:szCs w:val="21"/>
        </w:rPr>
        <w:t>28(30)</w:t>
      </w:r>
      <w:r>
        <w:rPr>
          <w:rFonts w:hint="eastAsia" w:ascii="Times New Roman" w:hAnsi="Times New Roman" w:eastAsia="宋体" w:cs="Times New Roman"/>
          <w:szCs w:val="21"/>
        </w:rPr>
        <w:t>:</w:t>
      </w:r>
      <w:r>
        <w:rPr>
          <w:rFonts w:ascii="Times New Roman" w:hAnsi="Times New Roman" w:eastAsia="宋体" w:cs="Times New Roman"/>
          <w:szCs w:val="21"/>
        </w:rPr>
        <w:t>4167-4172.</w:t>
      </w:r>
    </w:p>
    <w:p w14:paraId="0888C29B">
      <w:pPr>
        <w:pStyle w:val="18"/>
        <w:ind w:firstLine="0" w:firstLineChars="0"/>
        <w:rPr>
          <w:rFonts w:ascii="Times New Roman" w:hAnsi="Times New Roman" w:eastAsia="宋体" w:cs="Times New Roman"/>
          <w:szCs w:val="21"/>
        </w:rPr>
      </w:pPr>
      <w:r>
        <w:rPr>
          <w:rFonts w:ascii="Times New Roman" w:hAnsi="Times New Roman" w:eastAsia="宋体" w:cs="Times New Roman"/>
          <w:szCs w:val="21"/>
        </w:rPr>
        <mc:AlternateContent>
          <mc:Choice Requires="wps">
            <w:drawing>
              <wp:anchor distT="0" distB="0" distL="114300" distR="114300" simplePos="0" relativeHeight="251667456" behindDoc="0" locked="0" layoutInCell="1" allowOverlap="1">
                <wp:simplePos x="0" y="0"/>
                <wp:positionH relativeFrom="column">
                  <wp:posOffset>2158365</wp:posOffset>
                </wp:positionH>
                <wp:positionV relativeFrom="paragraph">
                  <wp:posOffset>859155</wp:posOffset>
                </wp:positionV>
                <wp:extent cx="1195705" cy="0"/>
                <wp:effectExtent l="0" t="0" r="0" b="0"/>
                <wp:wrapNone/>
                <wp:docPr id="481656945" name="直接连接符 14"/>
                <wp:cNvGraphicFramePr/>
                <a:graphic xmlns:a="http://schemas.openxmlformats.org/drawingml/2006/main">
                  <a:graphicData uri="http://schemas.microsoft.com/office/word/2010/wordprocessingShape">
                    <wps:wsp>
                      <wps:cNvCnPr/>
                      <wps:spPr>
                        <a:xfrm>
                          <a:off x="0" y="0"/>
                          <a:ext cx="11957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14" o:spid="_x0000_s1026" o:spt="20" style="position:absolute;left:0pt;margin-left:169.95pt;margin-top:67.65pt;height:0pt;width:94.15pt;z-index:251667456;mso-width-relative:page;mso-height-relative:page;" filled="f" stroked="t" coordsize="21600,21600" o:gfxdata="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q&#10;/V9L1wAAAAsBAAAPAAAAAAAAAAEAIAAAACIAAABkcnMvZG93bnJldi54bWxQSwECFAAUAAAACACH&#10;TuJAgZHJW+wBAAC6AwAADgAAAAAAAAABACAAAAAmAQAAZHJzL2Uyb0RvYy54bWxQSwUGAAAAAAYA&#10;BgBZAQAAhAUAAAAA&#10;">
                <v:fill on="f" focussize="0,0"/>
                <v:stroke weight="0.5pt" color="#000000 [3200]" miterlimit="8" joinstyle="miter"/>
                <v:imagedata o:title=""/>
                <o:lock v:ext="edit" aspectratio="f"/>
              </v:line>
            </w:pict>
          </mc:Fallback>
        </mc:AlternateContent>
      </w:r>
      <w:r>
        <w:rPr>
          <w:rFonts w:ascii="Times New Roman" w:hAnsi="Times New Roman" w:eastAsia="宋体" w:cs="Times New Roman"/>
          <w:szCs w:val="21"/>
        </w:rPr>
        <w:t>[24]刘晁含</w:t>
      </w:r>
      <w:r>
        <w:rPr>
          <w:rFonts w:hint="eastAsia" w:ascii="Times New Roman" w:hAnsi="Times New Roman" w:eastAsia="宋体" w:cs="Times New Roman"/>
          <w:szCs w:val="21"/>
        </w:rPr>
        <w:t>,</w:t>
      </w:r>
      <w:r>
        <w:rPr>
          <w:rFonts w:ascii="Times New Roman" w:hAnsi="Times New Roman" w:eastAsia="宋体" w:cs="Times New Roman"/>
          <w:szCs w:val="21"/>
        </w:rPr>
        <w:t>付沫</w:t>
      </w:r>
      <w:r>
        <w:rPr>
          <w:rFonts w:hint="eastAsia" w:ascii="Times New Roman" w:hAnsi="Times New Roman" w:eastAsia="宋体" w:cs="Times New Roman"/>
          <w:szCs w:val="21"/>
        </w:rPr>
        <w:t>,</w:t>
      </w:r>
      <w:r>
        <w:rPr>
          <w:rFonts w:ascii="Times New Roman" w:hAnsi="Times New Roman" w:eastAsia="宋体" w:cs="Times New Roman"/>
          <w:szCs w:val="21"/>
        </w:rPr>
        <w:t>丁娟</w:t>
      </w:r>
      <w:r>
        <w:rPr>
          <w:rFonts w:hint="eastAsia" w:ascii="Times New Roman" w:hAnsi="Times New Roman" w:eastAsia="宋体" w:cs="Times New Roman"/>
          <w:szCs w:val="21"/>
        </w:rPr>
        <w:t>,</w:t>
      </w:r>
      <w:r>
        <w:rPr>
          <w:rFonts w:ascii="Times New Roman" w:hAnsi="Times New Roman" w:eastAsia="宋体" w:cs="Times New Roman"/>
          <w:szCs w:val="21"/>
        </w:rPr>
        <w:t>等</w:t>
      </w:r>
      <w:r>
        <w:rPr>
          <w:rFonts w:hint="eastAsia" w:ascii="Times New Roman" w:hAnsi="Times New Roman" w:eastAsia="宋体" w:cs="Times New Roman"/>
          <w:szCs w:val="21"/>
        </w:rPr>
        <w:t>.</w:t>
      </w:r>
      <w:r>
        <w:rPr>
          <w:rFonts w:ascii="Times New Roman" w:hAnsi="Times New Roman" w:eastAsia="宋体" w:cs="Times New Roman"/>
          <w:szCs w:val="21"/>
        </w:rPr>
        <w:t>危重患者院内转运的最佳证据总结[J].护</w:t>
      </w:r>
      <w:bookmarkStart w:id="16" w:name="_GoBack"/>
      <w:bookmarkEnd w:id="16"/>
      <w:r>
        <w:rPr>
          <w:rFonts w:ascii="Times New Roman" w:hAnsi="Times New Roman" w:eastAsia="宋体" w:cs="Times New Roman"/>
          <w:szCs w:val="21"/>
        </w:rPr>
        <w:t>理学报</w:t>
      </w:r>
      <w:r>
        <w:rPr>
          <w:rFonts w:hint="eastAsia" w:ascii="Times New Roman" w:hAnsi="Times New Roman" w:eastAsia="宋体" w:cs="Times New Roman"/>
          <w:szCs w:val="21"/>
        </w:rPr>
        <w:t>,</w:t>
      </w:r>
      <w:r>
        <w:rPr>
          <w:rFonts w:ascii="Times New Roman" w:hAnsi="Times New Roman" w:eastAsia="宋体" w:cs="Times New Roman"/>
          <w:szCs w:val="21"/>
        </w:rPr>
        <w:t>2020</w:t>
      </w:r>
      <w:r>
        <w:rPr>
          <w:rFonts w:hint="eastAsia" w:ascii="Times New Roman" w:hAnsi="Times New Roman" w:eastAsia="宋体" w:cs="Times New Roman"/>
          <w:szCs w:val="21"/>
        </w:rPr>
        <w:t>,</w:t>
      </w:r>
      <w:r>
        <w:rPr>
          <w:rFonts w:ascii="Times New Roman" w:hAnsi="Times New Roman" w:eastAsia="宋体" w:cs="Times New Roman"/>
          <w:szCs w:val="21"/>
        </w:rPr>
        <w:t>27(15)</w:t>
      </w:r>
      <w:r>
        <w:rPr>
          <w:rFonts w:hint="eastAsia" w:ascii="Times New Roman" w:hAnsi="Times New Roman" w:eastAsia="宋体" w:cs="Times New Roman"/>
          <w:szCs w:val="21"/>
        </w:rPr>
        <w:t>:</w:t>
      </w:r>
      <w:r>
        <w:rPr>
          <w:rFonts w:ascii="Times New Roman" w:hAnsi="Times New Roman" w:eastAsia="宋体" w:cs="Times New Roman"/>
          <w:szCs w:val="21"/>
        </w:rPr>
        <w:t>33-38.</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Times New Roman Regular">
    <w:altName w:val="Times New Roman"/>
    <w:panose1 w:val="00000000000000000000"/>
    <w:charset w:val="00"/>
    <w:family w:val="auto"/>
    <w:pitch w:val="default"/>
    <w:sig w:usb0="00000000" w:usb1="00000000" w:usb2="00000001" w:usb3="00000000" w:csb0="400001BF" w:csb1="DFF70000"/>
  </w:font>
  <w:font w:name="Heiti SC Medium">
    <w:altName w:val="宋体"/>
    <w:panose1 w:val="00000000000000000000"/>
    <w:charset w:val="86"/>
    <w:family w:val="auto"/>
    <w:pitch w:val="default"/>
    <w:sig w:usb0="00000000" w:usb1="00000000" w:usb2="00000000" w:usb3="00000000" w:csb0="203E0000"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D9B89">
    <w:pPr>
      <w:pStyle w:val="5"/>
      <w:jc w:val="right"/>
      <w:rPr>
        <w:rFonts w:hint="eastAsia"/>
      </w:rPr>
    </w:pP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E2B1E6">
                          <w:pPr>
                            <w:pStyle w:val="5"/>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70E2B1E6">
                    <w:pPr>
                      <w:pStyle w:val="5"/>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p w14:paraId="5244B3C1">
    <w:pPr>
      <w:pStyle w:val="5"/>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0D653">
    <w:pPr>
      <w:pStyle w:val="5"/>
      <w:jc w:val="right"/>
      <w:rPr>
        <w:rFonts w:hint="eastAsia"/>
      </w:rPr>
    </w:pPr>
    <w: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893BC8">
                          <w:pPr>
                            <w:pStyle w:val="5"/>
                            <w:rPr>
                              <w:rFonts w:hint="eastAsia"/>
                            </w:rPr>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49893BC8">
                    <w:pPr>
                      <w:pStyle w:val="5"/>
                      <w:rPr>
                        <w:rFonts w:hint="eastAsia"/>
                      </w:rPr>
                    </w:pPr>
                    <w:r>
                      <w:fldChar w:fldCharType="begin"/>
                    </w:r>
                    <w:r>
                      <w:instrText xml:space="preserve"> PAGE  \* MERGEFORMAT </w:instrText>
                    </w:r>
                    <w:r>
                      <w:fldChar w:fldCharType="separate"/>
                    </w:r>
                    <w:r>
                      <w:t>3</w:t>
                    </w:r>
                    <w:r>
                      <w:fldChar w:fldCharType="end"/>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inside</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284B4C">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68284B4C">
                    <w:pPr>
                      <w:rPr>
                        <w:rFonts w:hint="eastAsia"/>
                      </w:rPr>
                    </w:pP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70816">
    <w:pPr>
      <w:pStyle w:val="5"/>
      <w:tabs>
        <w:tab w:val="clear" w:pos="4153"/>
      </w:tabs>
      <w:rPr>
        <w:rFonts w:hint="eastAsia"/>
      </w:rPr>
    </w:pPr>
    <w: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719D21">
                          <w:pPr>
                            <w:pStyle w:val="5"/>
                            <w:rPr>
                              <w:rFonts w:hint="eastAsia"/>
                            </w:rPr>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0A719D21">
                    <w:pPr>
                      <w:pStyle w:val="5"/>
                      <w:rPr>
                        <w:rFonts w:hint="eastAsia"/>
                      </w:rPr>
                    </w:pPr>
                    <w:r>
                      <w:fldChar w:fldCharType="begin"/>
                    </w:r>
                    <w:r>
                      <w:instrText xml:space="preserve"> PAGE  \* MERGEFORMAT </w:instrText>
                    </w:r>
                    <w:r>
                      <w:fldChar w:fldCharType="separate"/>
                    </w:r>
                    <w:r>
                      <w:t>4</w:t>
                    </w:r>
                    <w:r>
                      <w:fldChar w:fldCharType="end"/>
                    </w:r>
                  </w:p>
                </w:txbxContent>
              </v:textbox>
            </v:shape>
          </w:pict>
        </mc:Fallback>
      </mc:AlternateContent>
    </w:r>
    <w:r>
      <w:rPr>
        <w:rFonts w:hint="eastAsia"/>
      </w:rP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DB903">
    <w:pPr>
      <w:pStyle w:val="5"/>
      <w:jc w:val="right"/>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CEFE1F">
                          <w:pPr>
                            <w:pStyle w:val="5"/>
                            <w:rPr>
                              <w:rFonts w:hint="eastAsia"/>
                            </w:rPr>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48CEFE1F">
                    <w:pPr>
                      <w:pStyle w:val="5"/>
                      <w:rPr>
                        <w:rFonts w:hint="eastAsia"/>
                      </w:rPr>
                    </w:pPr>
                    <w:r>
                      <w:fldChar w:fldCharType="begin"/>
                    </w:r>
                    <w:r>
                      <w:instrText xml:space="preserve"> PAGE  \* MERGEFORMAT </w:instrText>
                    </w:r>
                    <w:r>
                      <w:fldChar w:fldCharType="separate"/>
                    </w:r>
                    <w:r>
                      <w:t>5</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BE2C30">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UDPAE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UDPAEtAgAAVwQAAA4AAAAAAAAAAQAgAAAAHwEAAGRycy9lMm9Eb2MueG1sUEsFBgAAAAAG&#10;AAYAWQEAAL4FAAAAAA==&#10;">
              <v:fill on="f" focussize="0,0"/>
              <v:stroke on="f" weight="0.5pt"/>
              <v:imagedata o:title=""/>
              <o:lock v:ext="edit" aspectratio="f"/>
              <v:textbox inset="0mm,0mm,0mm,0mm" style="mso-fit-shape-to-text:t;">
                <w:txbxContent>
                  <w:p w14:paraId="09BE2C30">
                    <w:pPr>
                      <w:rPr>
                        <w:rFonts w:hint="eastAsia"/>
                      </w:rPr>
                    </w:pP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5CF52">
    <w:pPr>
      <w:pStyle w:val="5"/>
      <w:tabs>
        <w:tab w:val="clear" w:pos="4153"/>
      </w:tabs>
      <w:rPr>
        <w:rFonts w:hint="eastAsia"/>
      </w:rPr>
    </w:pPr>
    <w: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D210E8">
                          <w:pPr>
                            <w:pStyle w:val="5"/>
                            <w:rPr>
                              <w:rFonts w:hint="eastAsia"/>
                            </w:rPr>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44D210E8">
                    <w:pPr>
                      <w:pStyle w:val="5"/>
                      <w:rPr>
                        <w:rFonts w:hint="eastAsia"/>
                      </w:rPr>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E0868">
    <w:pPr>
      <w:pStyle w:val="5"/>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B098BE">
                          <w:pPr>
                            <w:pStyle w:val="5"/>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14B098BE">
                    <w:pPr>
                      <w:pStyle w:val="5"/>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7C2C5">
    <w:pPr>
      <w:pStyle w:val="5"/>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794A20">
                          <w:pPr>
                            <w:pStyle w:val="5"/>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39794A20">
                    <w:pPr>
                      <w:pStyle w:val="5"/>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A8DF8">
    <w:pPr>
      <w:pStyle w:val="5"/>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A978F">
    <w:pPr>
      <w:pStyle w:val="5"/>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CDC97">
    <w:pPr>
      <w:pStyle w:val="5"/>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87198">
    <w:pPr>
      <w:pStyle w:val="5"/>
      <w:jc w:val="right"/>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EECC79">
                          <w:pPr>
                            <w:pStyle w:val="5"/>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UqPGc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pSo8ZywCAABXBAAADgAAAAAAAAABACAAAAAfAQAAZHJzL2Uyb0RvYy54bWxQSwUGAAAAAAYA&#10;BgBZAQAAvQUAAAAA&#10;">
              <v:fill on="f" focussize="0,0"/>
              <v:stroke on="f" weight="0.5pt"/>
              <v:imagedata o:title=""/>
              <o:lock v:ext="edit" aspectratio="f"/>
              <v:textbox inset="0mm,0mm,0mm,0mm" style="mso-fit-shape-to-text:t;">
                <w:txbxContent>
                  <w:p w14:paraId="1FEECC79">
                    <w:pPr>
                      <w:pStyle w:val="5"/>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3F7AA897">
    <w:pPr>
      <w:pStyle w:val="5"/>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40AD8">
    <w:pPr>
      <w:pStyle w:val="5"/>
      <w:rPr>
        <w:rFonts w:hint="eastAsia"/>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17605A">
                          <w:pPr>
                            <w:pStyle w:val="5"/>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1C17605A">
                    <w:pPr>
                      <w:pStyle w:val="5"/>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517A1">
    <w:pPr>
      <w:pStyle w:val="5"/>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BE1CC">
    <w:pPr>
      <w:pStyle w:val="6"/>
      <w:pBdr>
        <w:bottom w:val="none" w:color="auto" w:sz="0" w:space="1"/>
      </w:pBdr>
      <w:jc w:val="righ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40D83">
    <w:pPr>
      <w:pStyle w:val="6"/>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E09E9">
    <w:pPr>
      <w:pStyle w:val="6"/>
      <w:pBdr>
        <w:bottom w:val="none" w:color="auto" w:sz="0" w:space="1"/>
      </w:pBdr>
      <w:jc w:val="left"/>
      <w:rPr>
        <w:rFonts w:ascii="Times New Roman" w:hAnsi="Times New Roman" w:eastAsia="宋体" w:cs="Times New Roman"/>
        <w:lang w:val="fr-FR"/>
      </w:rPr>
    </w:pPr>
    <w:r>
      <w:rPr>
        <w:rFonts w:ascii="Times New Roman" w:hAnsi="Times New Roman" w:eastAsia="宋体" w:cs="Times New Roman"/>
        <w:b/>
        <w:bCs/>
        <w:sz w:val="21"/>
        <w:szCs w:val="21"/>
        <w:lang w:val="fr-FR"/>
      </w:rPr>
      <w:t>T/CRHA</w:t>
    </w:r>
    <w:r>
      <w:rPr>
        <w:rFonts w:ascii="Times New Roman" w:hAnsi="Times New Roman" w:eastAsia="宋体" w:cs="Times New Roman"/>
        <w:lang w:val="fr-FR"/>
      </w:rPr>
      <w:t xml:space="preserve"> </w:t>
    </w:r>
    <w:r>
      <w:rPr>
        <w:rFonts w:hint="eastAsia" w:ascii="黑体" w:hAnsi="黑体" w:eastAsia="黑体" w:cs="黑体"/>
        <w:sz w:val="21"/>
        <w:szCs w:val="21"/>
        <w:lang w:val="fr-FR"/>
      </w:rPr>
      <w:t>XXX—202X</w:t>
    </w:r>
  </w:p>
  <w:p w14:paraId="3A8F26B5">
    <w:pPr>
      <w:rPr>
        <w:rFonts w:hint="eastAsia"/>
        <w:lang w:val="fr-F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C2E46">
    <w:pPr>
      <w:pStyle w:val="6"/>
      <w:pBdr>
        <w:bottom w:val="none" w:color="auto" w:sz="0" w:space="1"/>
      </w:pBdr>
      <w:jc w:val="left"/>
      <w:rPr>
        <w:rFonts w:hint="eastAsia"/>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FAAF5E"/>
    <w:multiLevelType w:val="multilevel"/>
    <w:tmpl w:val="FEFAAF5E"/>
    <w:lvl w:ilvl="0" w:tentative="0">
      <w:start w:val="1"/>
      <w:numFmt w:val="decimal"/>
      <w:lvlText w:val="%1"/>
      <w:lvlJc w:val="left"/>
      <w:pPr>
        <w:ind w:left="0" w:firstLine="0"/>
      </w:pPr>
      <w:rPr>
        <w:rFonts w:hint="default" w:ascii="黑体" w:hAnsi="黑体" w:eastAsia="黑体" w:cs="Heiti SC Medium"/>
        <w:i w:val="0"/>
        <w:szCs w:val="21"/>
      </w:rPr>
    </w:lvl>
    <w:lvl w:ilvl="1" w:tentative="0">
      <w:start w:val="1"/>
      <w:numFmt w:val="decimal"/>
      <w:lvlText w:val="%1.%2"/>
      <w:lvlJc w:val="left"/>
      <w:pPr>
        <w:ind w:left="0" w:firstLine="0"/>
      </w:pPr>
      <w:rPr>
        <w:rFonts w:hint="default" w:ascii="黑体" w:hAnsi="黑体" w:eastAsia="黑体" w:cs="黑体"/>
        <w:b w:val="0"/>
        <w:bCs w:val="0"/>
        <w:szCs w:val="21"/>
      </w:rPr>
    </w:lvl>
    <w:lvl w:ilvl="2" w:tentative="0">
      <w:start w:val="1"/>
      <w:numFmt w:val="decimal"/>
      <w:lvlText w:val="%1.%2.%3"/>
      <w:lvlJc w:val="left"/>
      <w:pPr>
        <w:ind w:left="0" w:firstLine="0"/>
      </w:pPr>
      <w:rPr>
        <w:rFonts w:hint="default" w:ascii="黑体" w:hAnsi="黑体" w:eastAsia="黑体" w:cs="黑体"/>
        <w:b w:val="0"/>
        <w:bCs w:val="0"/>
      </w:rPr>
    </w:lvl>
    <w:lvl w:ilvl="3" w:tentative="0">
      <w:start w:val="1"/>
      <w:numFmt w:val="decimal"/>
      <w:lvlText w:val="%1.%2.%3.%4"/>
      <w:lvlJc w:val="left"/>
      <w:pPr>
        <w:ind w:left="284" w:hanging="284"/>
      </w:pPr>
      <w:rPr>
        <w:rFonts w:hint="default" w:ascii="黑体" w:hAnsi="黑体" w:eastAsia="黑体" w:cs="黑体"/>
      </w:rPr>
    </w:lvl>
    <w:lvl w:ilvl="4" w:tentative="0">
      <w:start w:val="1"/>
      <w:numFmt w:val="decimal"/>
      <w:lvlText w:val="%1.%2.%3.%4.%5."/>
      <w:lvlJc w:val="left"/>
      <w:pPr>
        <w:ind w:left="0" w:firstLine="0"/>
      </w:pPr>
      <w:rPr>
        <w:rFonts w:hint="eastAsia"/>
      </w:rPr>
    </w:lvl>
    <w:lvl w:ilvl="5" w:tentative="0">
      <w:start w:val="1"/>
      <w:numFmt w:val="decimal"/>
      <w:lvlText w:val="%1.%2.%3.%4.%5.%6."/>
      <w:lvlJc w:val="left"/>
      <w:pPr>
        <w:ind w:left="0" w:firstLine="0"/>
      </w:pPr>
      <w:rPr>
        <w:rFonts w:hint="eastAsia"/>
      </w:rPr>
    </w:lvl>
    <w:lvl w:ilvl="6" w:tentative="0">
      <w:start w:val="1"/>
      <w:numFmt w:val="decimal"/>
      <w:lvlText w:val="%1.%2.%3.%4.%5.%6.%7."/>
      <w:lvlJc w:val="left"/>
      <w:pPr>
        <w:ind w:left="284" w:hanging="284"/>
      </w:pPr>
      <w:rPr>
        <w:rFonts w:hint="eastAsia"/>
      </w:rPr>
    </w:lvl>
    <w:lvl w:ilvl="7" w:tentative="0">
      <w:start w:val="1"/>
      <w:numFmt w:val="decimal"/>
      <w:lvlText w:val="%1.%2.%3.%4.%5.%6.%7.%8."/>
      <w:lvlJc w:val="left"/>
      <w:pPr>
        <w:ind w:left="284" w:hanging="284"/>
      </w:pPr>
      <w:rPr>
        <w:rFonts w:hint="eastAsia"/>
      </w:rPr>
    </w:lvl>
    <w:lvl w:ilvl="8" w:tentative="0">
      <w:start w:val="1"/>
      <w:numFmt w:val="decimal"/>
      <w:lvlText w:val="%1.%2.%3.%4.%5.%6.%7.%8.%9."/>
      <w:lvlJc w:val="left"/>
      <w:pPr>
        <w:ind w:left="284" w:hanging="2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420"/>
  <w:evenAndOddHeaders w:val="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FmMDJjZGU0YzYzNjgxMjg1NzBlNDNlZWZkY2IyNjMifQ=="/>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z55zesf5zzvs0eave8vaf9nvrdsvdwa5zpa&quot;&gt;Lib-2021-CZS&lt;record-ids&gt;&lt;item&gt;365&lt;/item&gt;&lt;item&gt;367&lt;/item&gt;&lt;item&gt;372&lt;/item&gt;&lt;item&gt;379&lt;/item&gt;&lt;item&gt;385&lt;/item&gt;&lt;item&gt;395&lt;/item&gt;&lt;item&gt;410&lt;/item&gt;&lt;item&gt;414&lt;/item&gt;&lt;item&gt;437&lt;/item&gt;&lt;item&gt;439&lt;/item&gt;&lt;item&gt;440&lt;/item&gt;&lt;item&gt;442&lt;/item&gt;&lt;item&gt;444&lt;/item&gt;&lt;item&gt;445&lt;/item&gt;&lt;item&gt;446&lt;/item&gt;&lt;item&gt;447&lt;/item&gt;&lt;item&gt;448&lt;/item&gt;&lt;item&gt;449&lt;/item&gt;&lt;item&gt;450&lt;/item&gt;&lt;item&gt;451&lt;/item&gt;&lt;item&gt;452&lt;/item&gt;&lt;item&gt;453&lt;/item&gt;&lt;item&gt;454&lt;/item&gt;&lt;/record-ids&gt;&lt;/item&gt;&lt;/Libraries&gt;"/>
  </w:docVars>
  <w:rsids>
    <w:rsidRoot w:val="004833E2"/>
    <w:rsid w:val="00005D15"/>
    <w:rsid w:val="00006072"/>
    <w:rsid w:val="00010792"/>
    <w:rsid w:val="000126AC"/>
    <w:rsid w:val="00013176"/>
    <w:rsid w:val="00021587"/>
    <w:rsid w:val="0002453B"/>
    <w:rsid w:val="0002547B"/>
    <w:rsid w:val="0002663B"/>
    <w:rsid w:val="00027EDC"/>
    <w:rsid w:val="000304DE"/>
    <w:rsid w:val="00033458"/>
    <w:rsid w:val="000377DA"/>
    <w:rsid w:val="00041138"/>
    <w:rsid w:val="00041949"/>
    <w:rsid w:val="00053BBD"/>
    <w:rsid w:val="0005409C"/>
    <w:rsid w:val="000548DC"/>
    <w:rsid w:val="00056A60"/>
    <w:rsid w:val="0005763E"/>
    <w:rsid w:val="00057B09"/>
    <w:rsid w:val="0006275C"/>
    <w:rsid w:val="00066840"/>
    <w:rsid w:val="00072491"/>
    <w:rsid w:val="00072815"/>
    <w:rsid w:val="00073AC5"/>
    <w:rsid w:val="000771FC"/>
    <w:rsid w:val="00081E09"/>
    <w:rsid w:val="000824FD"/>
    <w:rsid w:val="000830A8"/>
    <w:rsid w:val="0008659B"/>
    <w:rsid w:val="000870BE"/>
    <w:rsid w:val="00095271"/>
    <w:rsid w:val="000A10B7"/>
    <w:rsid w:val="000A144A"/>
    <w:rsid w:val="000A2D37"/>
    <w:rsid w:val="000A3E0D"/>
    <w:rsid w:val="000A3FAE"/>
    <w:rsid w:val="000B12BE"/>
    <w:rsid w:val="000B54AC"/>
    <w:rsid w:val="000B5A07"/>
    <w:rsid w:val="000C032C"/>
    <w:rsid w:val="000C73CA"/>
    <w:rsid w:val="000D38BE"/>
    <w:rsid w:val="000D3B34"/>
    <w:rsid w:val="000D4494"/>
    <w:rsid w:val="000D74F8"/>
    <w:rsid w:val="000E1B7B"/>
    <w:rsid w:val="000E24EC"/>
    <w:rsid w:val="000E2CC9"/>
    <w:rsid w:val="000E3A43"/>
    <w:rsid w:val="000E4609"/>
    <w:rsid w:val="000E506C"/>
    <w:rsid w:val="000E5DF9"/>
    <w:rsid w:val="000E674A"/>
    <w:rsid w:val="000F0451"/>
    <w:rsid w:val="000F2F90"/>
    <w:rsid w:val="000F3302"/>
    <w:rsid w:val="00104AB0"/>
    <w:rsid w:val="00105858"/>
    <w:rsid w:val="00110C41"/>
    <w:rsid w:val="00113BFA"/>
    <w:rsid w:val="00114735"/>
    <w:rsid w:val="0011477A"/>
    <w:rsid w:val="00116438"/>
    <w:rsid w:val="0011708B"/>
    <w:rsid w:val="00121EE3"/>
    <w:rsid w:val="001248BA"/>
    <w:rsid w:val="001270E5"/>
    <w:rsid w:val="0012776E"/>
    <w:rsid w:val="001302FE"/>
    <w:rsid w:val="001354DB"/>
    <w:rsid w:val="00135D3F"/>
    <w:rsid w:val="00136B06"/>
    <w:rsid w:val="0015254C"/>
    <w:rsid w:val="00153874"/>
    <w:rsid w:val="001545CB"/>
    <w:rsid w:val="00172DF1"/>
    <w:rsid w:val="00173FC5"/>
    <w:rsid w:val="00177C9E"/>
    <w:rsid w:val="0018623D"/>
    <w:rsid w:val="00191DFD"/>
    <w:rsid w:val="00192EBC"/>
    <w:rsid w:val="00193CC8"/>
    <w:rsid w:val="00193D37"/>
    <w:rsid w:val="00193DB4"/>
    <w:rsid w:val="001A0393"/>
    <w:rsid w:val="001A22EE"/>
    <w:rsid w:val="001A3586"/>
    <w:rsid w:val="001A5115"/>
    <w:rsid w:val="001A56CB"/>
    <w:rsid w:val="001A7742"/>
    <w:rsid w:val="001B2C09"/>
    <w:rsid w:val="001B6FBB"/>
    <w:rsid w:val="001E186D"/>
    <w:rsid w:val="001E637A"/>
    <w:rsid w:val="001E64A9"/>
    <w:rsid w:val="001E6E82"/>
    <w:rsid w:val="001E74EF"/>
    <w:rsid w:val="001E781A"/>
    <w:rsid w:val="001F3A00"/>
    <w:rsid w:val="00201D5E"/>
    <w:rsid w:val="00206199"/>
    <w:rsid w:val="002100B3"/>
    <w:rsid w:val="00211CEC"/>
    <w:rsid w:val="002120B7"/>
    <w:rsid w:val="00214163"/>
    <w:rsid w:val="00214910"/>
    <w:rsid w:val="0021602E"/>
    <w:rsid w:val="00217F4A"/>
    <w:rsid w:val="0022139D"/>
    <w:rsid w:val="00222A03"/>
    <w:rsid w:val="002257B9"/>
    <w:rsid w:val="002262E4"/>
    <w:rsid w:val="0022631D"/>
    <w:rsid w:val="00231B51"/>
    <w:rsid w:val="0024007A"/>
    <w:rsid w:val="00243155"/>
    <w:rsid w:val="00244993"/>
    <w:rsid w:val="00244CDC"/>
    <w:rsid w:val="00245436"/>
    <w:rsid w:val="00247092"/>
    <w:rsid w:val="0025110E"/>
    <w:rsid w:val="00251F14"/>
    <w:rsid w:val="00252505"/>
    <w:rsid w:val="00252F69"/>
    <w:rsid w:val="00257E6E"/>
    <w:rsid w:val="00260405"/>
    <w:rsid w:val="00264453"/>
    <w:rsid w:val="002664EC"/>
    <w:rsid w:val="002754A5"/>
    <w:rsid w:val="002774C4"/>
    <w:rsid w:val="00284BE6"/>
    <w:rsid w:val="00285401"/>
    <w:rsid w:val="00287B4E"/>
    <w:rsid w:val="0029058B"/>
    <w:rsid w:val="002A747A"/>
    <w:rsid w:val="002B2A24"/>
    <w:rsid w:val="002B3A01"/>
    <w:rsid w:val="002B4433"/>
    <w:rsid w:val="002B7DDF"/>
    <w:rsid w:val="002C5170"/>
    <w:rsid w:val="002D4EE4"/>
    <w:rsid w:val="002D7DD8"/>
    <w:rsid w:val="002E3D25"/>
    <w:rsid w:val="002E64C1"/>
    <w:rsid w:val="002E754E"/>
    <w:rsid w:val="002F2B77"/>
    <w:rsid w:val="002F34DA"/>
    <w:rsid w:val="002F7767"/>
    <w:rsid w:val="003029FB"/>
    <w:rsid w:val="00311695"/>
    <w:rsid w:val="0031175E"/>
    <w:rsid w:val="00315F43"/>
    <w:rsid w:val="003256F7"/>
    <w:rsid w:val="00327512"/>
    <w:rsid w:val="00327862"/>
    <w:rsid w:val="00331CC2"/>
    <w:rsid w:val="0033219D"/>
    <w:rsid w:val="0033587F"/>
    <w:rsid w:val="003400F5"/>
    <w:rsid w:val="00343D89"/>
    <w:rsid w:val="00345620"/>
    <w:rsid w:val="00347CB2"/>
    <w:rsid w:val="00352252"/>
    <w:rsid w:val="003523E1"/>
    <w:rsid w:val="0035267F"/>
    <w:rsid w:val="003527C8"/>
    <w:rsid w:val="00356C7D"/>
    <w:rsid w:val="00360423"/>
    <w:rsid w:val="00361449"/>
    <w:rsid w:val="003639D4"/>
    <w:rsid w:val="003668B4"/>
    <w:rsid w:val="00370221"/>
    <w:rsid w:val="003703BE"/>
    <w:rsid w:val="00373ED5"/>
    <w:rsid w:val="00387294"/>
    <w:rsid w:val="00390258"/>
    <w:rsid w:val="003906E6"/>
    <w:rsid w:val="00390962"/>
    <w:rsid w:val="00392044"/>
    <w:rsid w:val="00393573"/>
    <w:rsid w:val="00393AE0"/>
    <w:rsid w:val="003979DD"/>
    <w:rsid w:val="003A3B44"/>
    <w:rsid w:val="003A4197"/>
    <w:rsid w:val="003A4C7C"/>
    <w:rsid w:val="003A4FB7"/>
    <w:rsid w:val="003B055C"/>
    <w:rsid w:val="003B7750"/>
    <w:rsid w:val="003C036C"/>
    <w:rsid w:val="003C0938"/>
    <w:rsid w:val="003C1481"/>
    <w:rsid w:val="003C5E4C"/>
    <w:rsid w:val="003C76BA"/>
    <w:rsid w:val="003C7AE8"/>
    <w:rsid w:val="003D05AD"/>
    <w:rsid w:val="003D3BDD"/>
    <w:rsid w:val="003D5F18"/>
    <w:rsid w:val="003D705C"/>
    <w:rsid w:val="003D7F21"/>
    <w:rsid w:val="003E37B5"/>
    <w:rsid w:val="003E61AA"/>
    <w:rsid w:val="003E71CC"/>
    <w:rsid w:val="003F1381"/>
    <w:rsid w:val="003F2AD8"/>
    <w:rsid w:val="004065F6"/>
    <w:rsid w:val="0040710E"/>
    <w:rsid w:val="0041083D"/>
    <w:rsid w:val="004165A5"/>
    <w:rsid w:val="00417131"/>
    <w:rsid w:val="0042069E"/>
    <w:rsid w:val="004218BD"/>
    <w:rsid w:val="00422DA8"/>
    <w:rsid w:val="00425509"/>
    <w:rsid w:val="0043034C"/>
    <w:rsid w:val="00433002"/>
    <w:rsid w:val="00434575"/>
    <w:rsid w:val="00436831"/>
    <w:rsid w:val="0044366C"/>
    <w:rsid w:val="004447DF"/>
    <w:rsid w:val="0045238F"/>
    <w:rsid w:val="00453FDA"/>
    <w:rsid w:val="004552E8"/>
    <w:rsid w:val="004564E4"/>
    <w:rsid w:val="00463CEE"/>
    <w:rsid w:val="004678FD"/>
    <w:rsid w:val="00472C4F"/>
    <w:rsid w:val="00474290"/>
    <w:rsid w:val="00475E70"/>
    <w:rsid w:val="004763DD"/>
    <w:rsid w:val="0048130D"/>
    <w:rsid w:val="004827C7"/>
    <w:rsid w:val="004833E2"/>
    <w:rsid w:val="0049165F"/>
    <w:rsid w:val="00493599"/>
    <w:rsid w:val="004A48C8"/>
    <w:rsid w:val="004A5FED"/>
    <w:rsid w:val="004A6F6F"/>
    <w:rsid w:val="004B3892"/>
    <w:rsid w:val="004C52AF"/>
    <w:rsid w:val="004C57D2"/>
    <w:rsid w:val="004C7695"/>
    <w:rsid w:val="004D1A69"/>
    <w:rsid w:val="004D3B8F"/>
    <w:rsid w:val="004E1256"/>
    <w:rsid w:val="004E4111"/>
    <w:rsid w:val="004F0C60"/>
    <w:rsid w:val="004F2091"/>
    <w:rsid w:val="004F2362"/>
    <w:rsid w:val="004F5102"/>
    <w:rsid w:val="004F78EB"/>
    <w:rsid w:val="005002C5"/>
    <w:rsid w:val="0050659A"/>
    <w:rsid w:val="00506993"/>
    <w:rsid w:val="00506E46"/>
    <w:rsid w:val="00512B61"/>
    <w:rsid w:val="00516FA2"/>
    <w:rsid w:val="00524D29"/>
    <w:rsid w:val="00525095"/>
    <w:rsid w:val="00525AD4"/>
    <w:rsid w:val="0053058A"/>
    <w:rsid w:val="00536034"/>
    <w:rsid w:val="00537219"/>
    <w:rsid w:val="005400EA"/>
    <w:rsid w:val="005419C0"/>
    <w:rsid w:val="0054235F"/>
    <w:rsid w:val="005438FE"/>
    <w:rsid w:val="00546117"/>
    <w:rsid w:val="00546C16"/>
    <w:rsid w:val="00555BCC"/>
    <w:rsid w:val="00562781"/>
    <w:rsid w:val="005641B7"/>
    <w:rsid w:val="005702B0"/>
    <w:rsid w:val="0057249C"/>
    <w:rsid w:val="0057395C"/>
    <w:rsid w:val="00573B86"/>
    <w:rsid w:val="00575A68"/>
    <w:rsid w:val="005824EC"/>
    <w:rsid w:val="0058363A"/>
    <w:rsid w:val="0058407E"/>
    <w:rsid w:val="00585107"/>
    <w:rsid w:val="0059091B"/>
    <w:rsid w:val="00592122"/>
    <w:rsid w:val="0059283F"/>
    <w:rsid w:val="005943A5"/>
    <w:rsid w:val="00597064"/>
    <w:rsid w:val="00597654"/>
    <w:rsid w:val="005B0F1D"/>
    <w:rsid w:val="005B12AD"/>
    <w:rsid w:val="005B1835"/>
    <w:rsid w:val="005B49DF"/>
    <w:rsid w:val="005B604B"/>
    <w:rsid w:val="005C0011"/>
    <w:rsid w:val="005C04C3"/>
    <w:rsid w:val="005C197C"/>
    <w:rsid w:val="005C32E8"/>
    <w:rsid w:val="005C6025"/>
    <w:rsid w:val="005C7387"/>
    <w:rsid w:val="005D131B"/>
    <w:rsid w:val="005D63D2"/>
    <w:rsid w:val="005D653B"/>
    <w:rsid w:val="005D7B2D"/>
    <w:rsid w:val="005D7CF6"/>
    <w:rsid w:val="005E3C6E"/>
    <w:rsid w:val="005E515E"/>
    <w:rsid w:val="005E5E1C"/>
    <w:rsid w:val="005E5F98"/>
    <w:rsid w:val="005E6163"/>
    <w:rsid w:val="005F0F3A"/>
    <w:rsid w:val="005F43C8"/>
    <w:rsid w:val="005F46DC"/>
    <w:rsid w:val="005F7559"/>
    <w:rsid w:val="00606253"/>
    <w:rsid w:val="00611C44"/>
    <w:rsid w:val="00615DB0"/>
    <w:rsid w:val="00617CBE"/>
    <w:rsid w:val="00620574"/>
    <w:rsid w:val="00632C53"/>
    <w:rsid w:val="006333F0"/>
    <w:rsid w:val="0063386D"/>
    <w:rsid w:val="00633AF5"/>
    <w:rsid w:val="00633B40"/>
    <w:rsid w:val="0063405C"/>
    <w:rsid w:val="006367B9"/>
    <w:rsid w:val="006376F3"/>
    <w:rsid w:val="006421D1"/>
    <w:rsid w:val="00647139"/>
    <w:rsid w:val="00647B91"/>
    <w:rsid w:val="00652BCD"/>
    <w:rsid w:val="0065301E"/>
    <w:rsid w:val="00656AE6"/>
    <w:rsid w:val="006620AD"/>
    <w:rsid w:val="00671068"/>
    <w:rsid w:val="00677299"/>
    <w:rsid w:val="00680A19"/>
    <w:rsid w:val="00681BC9"/>
    <w:rsid w:val="00682CE5"/>
    <w:rsid w:val="006849DC"/>
    <w:rsid w:val="006862D2"/>
    <w:rsid w:val="00687E06"/>
    <w:rsid w:val="00691370"/>
    <w:rsid w:val="00692694"/>
    <w:rsid w:val="00693BC4"/>
    <w:rsid w:val="006945F7"/>
    <w:rsid w:val="006963AC"/>
    <w:rsid w:val="006972E5"/>
    <w:rsid w:val="006A6223"/>
    <w:rsid w:val="006A68DF"/>
    <w:rsid w:val="006A6C6C"/>
    <w:rsid w:val="006B03C3"/>
    <w:rsid w:val="006B1439"/>
    <w:rsid w:val="006B1F0E"/>
    <w:rsid w:val="006B7B8E"/>
    <w:rsid w:val="006C1353"/>
    <w:rsid w:val="006C496E"/>
    <w:rsid w:val="006C5897"/>
    <w:rsid w:val="006C60F7"/>
    <w:rsid w:val="006C77DE"/>
    <w:rsid w:val="006D034C"/>
    <w:rsid w:val="006E02A6"/>
    <w:rsid w:val="006E0380"/>
    <w:rsid w:val="006E3885"/>
    <w:rsid w:val="006E40C6"/>
    <w:rsid w:val="006E6A7A"/>
    <w:rsid w:val="006E7CFD"/>
    <w:rsid w:val="006F41C4"/>
    <w:rsid w:val="006F6546"/>
    <w:rsid w:val="006F6C5D"/>
    <w:rsid w:val="0070163A"/>
    <w:rsid w:val="007070BE"/>
    <w:rsid w:val="00711FCA"/>
    <w:rsid w:val="0071225A"/>
    <w:rsid w:val="007176F3"/>
    <w:rsid w:val="0072244C"/>
    <w:rsid w:val="00725D22"/>
    <w:rsid w:val="00730FDB"/>
    <w:rsid w:val="00731871"/>
    <w:rsid w:val="00732AEA"/>
    <w:rsid w:val="0073579A"/>
    <w:rsid w:val="00742B1E"/>
    <w:rsid w:val="007535CD"/>
    <w:rsid w:val="00754C92"/>
    <w:rsid w:val="0075609C"/>
    <w:rsid w:val="00756885"/>
    <w:rsid w:val="00760557"/>
    <w:rsid w:val="0076787C"/>
    <w:rsid w:val="00770073"/>
    <w:rsid w:val="00773291"/>
    <w:rsid w:val="00774E1D"/>
    <w:rsid w:val="00786659"/>
    <w:rsid w:val="00786BDC"/>
    <w:rsid w:val="00787609"/>
    <w:rsid w:val="00792A02"/>
    <w:rsid w:val="007941DD"/>
    <w:rsid w:val="007964BB"/>
    <w:rsid w:val="00797BF9"/>
    <w:rsid w:val="007A4113"/>
    <w:rsid w:val="007A6239"/>
    <w:rsid w:val="007A7289"/>
    <w:rsid w:val="007B236A"/>
    <w:rsid w:val="007B238D"/>
    <w:rsid w:val="007B398A"/>
    <w:rsid w:val="007B5435"/>
    <w:rsid w:val="007B582A"/>
    <w:rsid w:val="007C112A"/>
    <w:rsid w:val="007C29C5"/>
    <w:rsid w:val="007C2EA9"/>
    <w:rsid w:val="007D0F89"/>
    <w:rsid w:val="007D4F08"/>
    <w:rsid w:val="007D792F"/>
    <w:rsid w:val="007D7D68"/>
    <w:rsid w:val="007E0FB8"/>
    <w:rsid w:val="007E3E71"/>
    <w:rsid w:val="007E7EE7"/>
    <w:rsid w:val="007F401F"/>
    <w:rsid w:val="007F443D"/>
    <w:rsid w:val="00801891"/>
    <w:rsid w:val="00805B23"/>
    <w:rsid w:val="0080621A"/>
    <w:rsid w:val="0080715F"/>
    <w:rsid w:val="00813A2D"/>
    <w:rsid w:val="00813B00"/>
    <w:rsid w:val="00813CCB"/>
    <w:rsid w:val="00814E62"/>
    <w:rsid w:val="008168A2"/>
    <w:rsid w:val="008177AE"/>
    <w:rsid w:val="00820B03"/>
    <w:rsid w:val="008219FA"/>
    <w:rsid w:val="00821AFB"/>
    <w:rsid w:val="00822479"/>
    <w:rsid w:val="00822B1E"/>
    <w:rsid w:val="00822FBC"/>
    <w:rsid w:val="008232A0"/>
    <w:rsid w:val="00824E3F"/>
    <w:rsid w:val="0082597C"/>
    <w:rsid w:val="00825E6F"/>
    <w:rsid w:val="0082758F"/>
    <w:rsid w:val="00832AF6"/>
    <w:rsid w:val="008353FC"/>
    <w:rsid w:val="00836652"/>
    <w:rsid w:val="0083672E"/>
    <w:rsid w:val="008369FF"/>
    <w:rsid w:val="00840D9A"/>
    <w:rsid w:val="008420AD"/>
    <w:rsid w:val="008449E3"/>
    <w:rsid w:val="00845B2F"/>
    <w:rsid w:val="0084793F"/>
    <w:rsid w:val="008501F2"/>
    <w:rsid w:val="008553AE"/>
    <w:rsid w:val="008560D4"/>
    <w:rsid w:val="0086056F"/>
    <w:rsid w:val="00860685"/>
    <w:rsid w:val="00860C2B"/>
    <w:rsid w:val="00863FCC"/>
    <w:rsid w:val="008664B3"/>
    <w:rsid w:val="00871670"/>
    <w:rsid w:val="008736D9"/>
    <w:rsid w:val="008762A1"/>
    <w:rsid w:val="00881D53"/>
    <w:rsid w:val="00882EC1"/>
    <w:rsid w:val="00887AA4"/>
    <w:rsid w:val="00891494"/>
    <w:rsid w:val="00891CB1"/>
    <w:rsid w:val="008920B2"/>
    <w:rsid w:val="00895010"/>
    <w:rsid w:val="00896950"/>
    <w:rsid w:val="008A07AC"/>
    <w:rsid w:val="008A0A97"/>
    <w:rsid w:val="008A4DC1"/>
    <w:rsid w:val="008A5C55"/>
    <w:rsid w:val="008A5DB2"/>
    <w:rsid w:val="008A5FD2"/>
    <w:rsid w:val="008B0383"/>
    <w:rsid w:val="008B4528"/>
    <w:rsid w:val="008B58AE"/>
    <w:rsid w:val="008B5A83"/>
    <w:rsid w:val="008B65FF"/>
    <w:rsid w:val="008B7BD5"/>
    <w:rsid w:val="008C0A0A"/>
    <w:rsid w:val="008C1287"/>
    <w:rsid w:val="008C57A8"/>
    <w:rsid w:val="008C5F0B"/>
    <w:rsid w:val="008C7770"/>
    <w:rsid w:val="008C7B4E"/>
    <w:rsid w:val="008D2276"/>
    <w:rsid w:val="008E5ED9"/>
    <w:rsid w:val="008F004E"/>
    <w:rsid w:val="008F02E4"/>
    <w:rsid w:val="008F5578"/>
    <w:rsid w:val="008F71CB"/>
    <w:rsid w:val="00902A9C"/>
    <w:rsid w:val="009047DF"/>
    <w:rsid w:val="0090541E"/>
    <w:rsid w:val="00905491"/>
    <w:rsid w:val="009131B7"/>
    <w:rsid w:val="00913C5D"/>
    <w:rsid w:val="00914112"/>
    <w:rsid w:val="00914A77"/>
    <w:rsid w:val="00914D58"/>
    <w:rsid w:val="00916B4A"/>
    <w:rsid w:val="00920570"/>
    <w:rsid w:val="00925F87"/>
    <w:rsid w:val="009319AF"/>
    <w:rsid w:val="0093620A"/>
    <w:rsid w:val="009417FB"/>
    <w:rsid w:val="00941E08"/>
    <w:rsid w:val="00953BEB"/>
    <w:rsid w:val="009559BA"/>
    <w:rsid w:val="00956AF5"/>
    <w:rsid w:val="0096348D"/>
    <w:rsid w:val="00966453"/>
    <w:rsid w:val="00966FDA"/>
    <w:rsid w:val="00974E52"/>
    <w:rsid w:val="00986BAD"/>
    <w:rsid w:val="0099233B"/>
    <w:rsid w:val="00993146"/>
    <w:rsid w:val="00994BB5"/>
    <w:rsid w:val="00996E5C"/>
    <w:rsid w:val="009977E5"/>
    <w:rsid w:val="00997BBE"/>
    <w:rsid w:val="009A4D49"/>
    <w:rsid w:val="009B316A"/>
    <w:rsid w:val="009B34F9"/>
    <w:rsid w:val="009B7ED1"/>
    <w:rsid w:val="009C0A1C"/>
    <w:rsid w:val="009C4D87"/>
    <w:rsid w:val="009C6404"/>
    <w:rsid w:val="009D02FA"/>
    <w:rsid w:val="009D159C"/>
    <w:rsid w:val="009D39B7"/>
    <w:rsid w:val="009D56A9"/>
    <w:rsid w:val="009D56DE"/>
    <w:rsid w:val="009E2F00"/>
    <w:rsid w:val="009E40F6"/>
    <w:rsid w:val="009E57FD"/>
    <w:rsid w:val="009E6710"/>
    <w:rsid w:val="009E792A"/>
    <w:rsid w:val="009E7E3D"/>
    <w:rsid w:val="009F05EF"/>
    <w:rsid w:val="009F3A5F"/>
    <w:rsid w:val="00A1116F"/>
    <w:rsid w:val="00A1166C"/>
    <w:rsid w:val="00A11D8F"/>
    <w:rsid w:val="00A142CC"/>
    <w:rsid w:val="00A15B1A"/>
    <w:rsid w:val="00A16649"/>
    <w:rsid w:val="00A16E1B"/>
    <w:rsid w:val="00A23B56"/>
    <w:rsid w:val="00A24727"/>
    <w:rsid w:val="00A328D6"/>
    <w:rsid w:val="00A349C8"/>
    <w:rsid w:val="00A41BFF"/>
    <w:rsid w:val="00A4287E"/>
    <w:rsid w:val="00A45393"/>
    <w:rsid w:val="00A47318"/>
    <w:rsid w:val="00A533EE"/>
    <w:rsid w:val="00A5515E"/>
    <w:rsid w:val="00A562AD"/>
    <w:rsid w:val="00A5638E"/>
    <w:rsid w:val="00A63B7D"/>
    <w:rsid w:val="00A67DE3"/>
    <w:rsid w:val="00A7062A"/>
    <w:rsid w:val="00A73985"/>
    <w:rsid w:val="00A74C0B"/>
    <w:rsid w:val="00A758C1"/>
    <w:rsid w:val="00A7732C"/>
    <w:rsid w:val="00A77ECE"/>
    <w:rsid w:val="00A82F9A"/>
    <w:rsid w:val="00A8449E"/>
    <w:rsid w:val="00A855FC"/>
    <w:rsid w:val="00A85C55"/>
    <w:rsid w:val="00A90D6F"/>
    <w:rsid w:val="00A91C1B"/>
    <w:rsid w:val="00A93C6F"/>
    <w:rsid w:val="00A944E8"/>
    <w:rsid w:val="00A96831"/>
    <w:rsid w:val="00A96ACA"/>
    <w:rsid w:val="00AA0743"/>
    <w:rsid w:val="00AA4039"/>
    <w:rsid w:val="00AA4FE3"/>
    <w:rsid w:val="00AA7737"/>
    <w:rsid w:val="00AB34D1"/>
    <w:rsid w:val="00AB638B"/>
    <w:rsid w:val="00AB7E42"/>
    <w:rsid w:val="00AC2F03"/>
    <w:rsid w:val="00AC6A90"/>
    <w:rsid w:val="00AD0063"/>
    <w:rsid w:val="00AD160F"/>
    <w:rsid w:val="00AE1A22"/>
    <w:rsid w:val="00AE2575"/>
    <w:rsid w:val="00AE5A09"/>
    <w:rsid w:val="00AE728D"/>
    <w:rsid w:val="00AF06BC"/>
    <w:rsid w:val="00AF1AF8"/>
    <w:rsid w:val="00AF3627"/>
    <w:rsid w:val="00AF3A15"/>
    <w:rsid w:val="00B01B00"/>
    <w:rsid w:val="00B02FE8"/>
    <w:rsid w:val="00B03358"/>
    <w:rsid w:val="00B04673"/>
    <w:rsid w:val="00B056B0"/>
    <w:rsid w:val="00B065C4"/>
    <w:rsid w:val="00B06795"/>
    <w:rsid w:val="00B068CF"/>
    <w:rsid w:val="00B1046E"/>
    <w:rsid w:val="00B110A2"/>
    <w:rsid w:val="00B120F4"/>
    <w:rsid w:val="00B12278"/>
    <w:rsid w:val="00B1359C"/>
    <w:rsid w:val="00B2156E"/>
    <w:rsid w:val="00B22991"/>
    <w:rsid w:val="00B22A55"/>
    <w:rsid w:val="00B2632D"/>
    <w:rsid w:val="00B3015E"/>
    <w:rsid w:val="00B30BE8"/>
    <w:rsid w:val="00B32582"/>
    <w:rsid w:val="00B35A32"/>
    <w:rsid w:val="00B410C7"/>
    <w:rsid w:val="00B41B0F"/>
    <w:rsid w:val="00B43F6E"/>
    <w:rsid w:val="00B440A9"/>
    <w:rsid w:val="00B467F0"/>
    <w:rsid w:val="00B4734E"/>
    <w:rsid w:val="00B477D4"/>
    <w:rsid w:val="00B577A8"/>
    <w:rsid w:val="00B62C00"/>
    <w:rsid w:val="00B64D06"/>
    <w:rsid w:val="00B67C87"/>
    <w:rsid w:val="00B70CD1"/>
    <w:rsid w:val="00B71CEF"/>
    <w:rsid w:val="00B7612D"/>
    <w:rsid w:val="00B80205"/>
    <w:rsid w:val="00B82E58"/>
    <w:rsid w:val="00B85397"/>
    <w:rsid w:val="00B85BB1"/>
    <w:rsid w:val="00B85F1A"/>
    <w:rsid w:val="00B872B5"/>
    <w:rsid w:val="00B8785F"/>
    <w:rsid w:val="00B91590"/>
    <w:rsid w:val="00B931BE"/>
    <w:rsid w:val="00B9676D"/>
    <w:rsid w:val="00B96E4E"/>
    <w:rsid w:val="00B96F07"/>
    <w:rsid w:val="00B9752F"/>
    <w:rsid w:val="00B97B02"/>
    <w:rsid w:val="00BA7DB6"/>
    <w:rsid w:val="00BB0777"/>
    <w:rsid w:val="00BB0847"/>
    <w:rsid w:val="00BB57EB"/>
    <w:rsid w:val="00BB74CE"/>
    <w:rsid w:val="00BB7A0B"/>
    <w:rsid w:val="00BC09DF"/>
    <w:rsid w:val="00BC0E99"/>
    <w:rsid w:val="00BC5FDD"/>
    <w:rsid w:val="00BC70BD"/>
    <w:rsid w:val="00BC7BE5"/>
    <w:rsid w:val="00BD2124"/>
    <w:rsid w:val="00BD2127"/>
    <w:rsid w:val="00BD25F8"/>
    <w:rsid w:val="00BD2B0D"/>
    <w:rsid w:val="00BD379D"/>
    <w:rsid w:val="00BE6460"/>
    <w:rsid w:val="00BE7804"/>
    <w:rsid w:val="00BF1635"/>
    <w:rsid w:val="00BF1C4E"/>
    <w:rsid w:val="00BF1FD0"/>
    <w:rsid w:val="00BF5080"/>
    <w:rsid w:val="00BF5996"/>
    <w:rsid w:val="00BF5D82"/>
    <w:rsid w:val="00C02BEE"/>
    <w:rsid w:val="00C125CC"/>
    <w:rsid w:val="00C145DC"/>
    <w:rsid w:val="00C149A0"/>
    <w:rsid w:val="00C305CE"/>
    <w:rsid w:val="00C33380"/>
    <w:rsid w:val="00C35772"/>
    <w:rsid w:val="00C361DA"/>
    <w:rsid w:val="00C41C4F"/>
    <w:rsid w:val="00C42980"/>
    <w:rsid w:val="00C432B8"/>
    <w:rsid w:val="00C44BE6"/>
    <w:rsid w:val="00C4716F"/>
    <w:rsid w:val="00C547A8"/>
    <w:rsid w:val="00C54D92"/>
    <w:rsid w:val="00C55A5E"/>
    <w:rsid w:val="00C57D9D"/>
    <w:rsid w:val="00C669A6"/>
    <w:rsid w:val="00C67A63"/>
    <w:rsid w:val="00C74316"/>
    <w:rsid w:val="00C74FAD"/>
    <w:rsid w:val="00C8003B"/>
    <w:rsid w:val="00C80209"/>
    <w:rsid w:val="00C81392"/>
    <w:rsid w:val="00C82EA3"/>
    <w:rsid w:val="00C8377A"/>
    <w:rsid w:val="00C84565"/>
    <w:rsid w:val="00C8639E"/>
    <w:rsid w:val="00C91631"/>
    <w:rsid w:val="00C933C9"/>
    <w:rsid w:val="00C94331"/>
    <w:rsid w:val="00C96D61"/>
    <w:rsid w:val="00CA0A0F"/>
    <w:rsid w:val="00CA2AB5"/>
    <w:rsid w:val="00CA35B1"/>
    <w:rsid w:val="00CB396B"/>
    <w:rsid w:val="00CB40A9"/>
    <w:rsid w:val="00CB4F35"/>
    <w:rsid w:val="00CC1FAE"/>
    <w:rsid w:val="00CC1FD6"/>
    <w:rsid w:val="00CC27BA"/>
    <w:rsid w:val="00CC54A6"/>
    <w:rsid w:val="00CC77BA"/>
    <w:rsid w:val="00CC7853"/>
    <w:rsid w:val="00CD0BD3"/>
    <w:rsid w:val="00CD0CF9"/>
    <w:rsid w:val="00CD14E7"/>
    <w:rsid w:val="00CD1D1A"/>
    <w:rsid w:val="00CD42FA"/>
    <w:rsid w:val="00CE20D1"/>
    <w:rsid w:val="00CE3D4C"/>
    <w:rsid w:val="00CE613D"/>
    <w:rsid w:val="00CF0035"/>
    <w:rsid w:val="00CF16D7"/>
    <w:rsid w:val="00CF5064"/>
    <w:rsid w:val="00CF574B"/>
    <w:rsid w:val="00CF7D5C"/>
    <w:rsid w:val="00D003E4"/>
    <w:rsid w:val="00D02D09"/>
    <w:rsid w:val="00D031C9"/>
    <w:rsid w:val="00D035B0"/>
    <w:rsid w:val="00D058BD"/>
    <w:rsid w:val="00D0653F"/>
    <w:rsid w:val="00D06AE6"/>
    <w:rsid w:val="00D138F3"/>
    <w:rsid w:val="00D151E2"/>
    <w:rsid w:val="00D1550B"/>
    <w:rsid w:val="00D167E5"/>
    <w:rsid w:val="00D224CE"/>
    <w:rsid w:val="00D23475"/>
    <w:rsid w:val="00D25A1A"/>
    <w:rsid w:val="00D26334"/>
    <w:rsid w:val="00D30C94"/>
    <w:rsid w:val="00D34670"/>
    <w:rsid w:val="00D426BC"/>
    <w:rsid w:val="00D44C91"/>
    <w:rsid w:val="00D50D97"/>
    <w:rsid w:val="00D51E17"/>
    <w:rsid w:val="00D55895"/>
    <w:rsid w:val="00D56BC6"/>
    <w:rsid w:val="00D6204A"/>
    <w:rsid w:val="00D620A4"/>
    <w:rsid w:val="00D62350"/>
    <w:rsid w:val="00D64CB0"/>
    <w:rsid w:val="00D70E26"/>
    <w:rsid w:val="00D71C09"/>
    <w:rsid w:val="00D74072"/>
    <w:rsid w:val="00D81903"/>
    <w:rsid w:val="00D81C75"/>
    <w:rsid w:val="00D83260"/>
    <w:rsid w:val="00D87ADD"/>
    <w:rsid w:val="00D94F5F"/>
    <w:rsid w:val="00D95652"/>
    <w:rsid w:val="00D9567E"/>
    <w:rsid w:val="00DB7F17"/>
    <w:rsid w:val="00DC0E13"/>
    <w:rsid w:val="00DC1BFC"/>
    <w:rsid w:val="00DC43B6"/>
    <w:rsid w:val="00DC51BD"/>
    <w:rsid w:val="00DC7A56"/>
    <w:rsid w:val="00DC7E6D"/>
    <w:rsid w:val="00DD15CF"/>
    <w:rsid w:val="00DD17C6"/>
    <w:rsid w:val="00DD227A"/>
    <w:rsid w:val="00DD227F"/>
    <w:rsid w:val="00DD55DD"/>
    <w:rsid w:val="00DD6879"/>
    <w:rsid w:val="00DE0EB6"/>
    <w:rsid w:val="00DE299F"/>
    <w:rsid w:val="00DE2B7B"/>
    <w:rsid w:val="00DE31CD"/>
    <w:rsid w:val="00DF015E"/>
    <w:rsid w:val="00DF663D"/>
    <w:rsid w:val="00E00BFE"/>
    <w:rsid w:val="00E011BA"/>
    <w:rsid w:val="00E01280"/>
    <w:rsid w:val="00E01DD3"/>
    <w:rsid w:val="00E0339B"/>
    <w:rsid w:val="00E04D39"/>
    <w:rsid w:val="00E0660B"/>
    <w:rsid w:val="00E07C8E"/>
    <w:rsid w:val="00E1642E"/>
    <w:rsid w:val="00E222C0"/>
    <w:rsid w:val="00E22B4B"/>
    <w:rsid w:val="00E267F4"/>
    <w:rsid w:val="00E32E0E"/>
    <w:rsid w:val="00E33AD8"/>
    <w:rsid w:val="00E3444A"/>
    <w:rsid w:val="00E35731"/>
    <w:rsid w:val="00E35937"/>
    <w:rsid w:val="00E35CC7"/>
    <w:rsid w:val="00E36FF4"/>
    <w:rsid w:val="00E405BC"/>
    <w:rsid w:val="00E40A0F"/>
    <w:rsid w:val="00E4121E"/>
    <w:rsid w:val="00E43BB0"/>
    <w:rsid w:val="00E44751"/>
    <w:rsid w:val="00E52592"/>
    <w:rsid w:val="00E5547E"/>
    <w:rsid w:val="00E623F0"/>
    <w:rsid w:val="00E62CE8"/>
    <w:rsid w:val="00E65ACA"/>
    <w:rsid w:val="00E70BD7"/>
    <w:rsid w:val="00E77497"/>
    <w:rsid w:val="00E7799F"/>
    <w:rsid w:val="00E821F9"/>
    <w:rsid w:val="00E85332"/>
    <w:rsid w:val="00E86844"/>
    <w:rsid w:val="00E87234"/>
    <w:rsid w:val="00E875AB"/>
    <w:rsid w:val="00E90824"/>
    <w:rsid w:val="00E91330"/>
    <w:rsid w:val="00E95ED8"/>
    <w:rsid w:val="00EA0126"/>
    <w:rsid w:val="00EA132E"/>
    <w:rsid w:val="00EA1CA6"/>
    <w:rsid w:val="00EA6744"/>
    <w:rsid w:val="00EA6D69"/>
    <w:rsid w:val="00EB0BEA"/>
    <w:rsid w:val="00EB3901"/>
    <w:rsid w:val="00EB6CD2"/>
    <w:rsid w:val="00EB78C2"/>
    <w:rsid w:val="00EC033F"/>
    <w:rsid w:val="00EC1EDA"/>
    <w:rsid w:val="00EC32D6"/>
    <w:rsid w:val="00EC4E98"/>
    <w:rsid w:val="00EC5C1D"/>
    <w:rsid w:val="00EC695D"/>
    <w:rsid w:val="00ED621F"/>
    <w:rsid w:val="00EE01DE"/>
    <w:rsid w:val="00EE2ECE"/>
    <w:rsid w:val="00EE5689"/>
    <w:rsid w:val="00EF2A4E"/>
    <w:rsid w:val="00EF5BBF"/>
    <w:rsid w:val="00EF680F"/>
    <w:rsid w:val="00F0034D"/>
    <w:rsid w:val="00F01FE7"/>
    <w:rsid w:val="00F22547"/>
    <w:rsid w:val="00F22E0E"/>
    <w:rsid w:val="00F23836"/>
    <w:rsid w:val="00F24572"/>
    <w:rsid w:val="00F259CE"/>
    <w:rsid w:val="00F31C2A"/>
    <w:rsid w:val="00F34BCC"/>
    <w:rsid w:val="00F358F1"/>
    <w:rsid w:val="00F37817"/>
    <w:rsid w:val="00F40722"/>
    <w:rsid w:val="00F41668"/>
    <w:rsid w:val="00F427D8"/>
    <w:rsid w:val="00F43524"/>
    <w:rsid w:val="00F50D06"/>
    <w:rsid w:val="00F52BCE"/>
    <w:rsid w:val="00F52ECB"/>
    <w:rsid w:val="00F532B2"/>
    <w:rsid w:val="00F63116"/>
    <w:rsid w:val="00F723C8"/>
    <w:rsid w:val="00F83532"/>
    <w:rsid w:val="00F860A5"/>
    <w:rsid w:val="00F90C52"/>
    <w:rsid w:val="00F924A4"/>
    <w:rsid w:val="00F93198"/>
    <w:rsid w:val="00F94C16"/>
    <w:rsid w:val="00FA0B28"/>
    <w:rsid w:val="00FA3145"/>
    <w:rsid w:val="00FA4A60"/>
    <w:rsid w:val="00FB1DB2"/>
    <w:rsid w:val="00FB3CBC"/>
    <w:rsid w:val="00FB518B"/>
    <w:rsid w:val="00FC143E"/>
    <w:rsid w:val="00FC1648"/>
    <w:rsid w:val="00FC3737"/>
    <w:rsid w:val="00FC3CB9"/>
    <w:rsid w:val="00FC420A"/>
    <w:rsid w:val="00FC51AE"/>
    <w:rsid w:val="00FD072F"/>
    <w:rsid w:val="00FD3142"/>
    <w:rsid w:val="00FD794C"/>
    <w:rsid w:val="00FE39F2"/>
    <w:rsid w:val="00FE6472"/>
    <w:rsid w:val="00FE6B1E"/>
    <w:rsid w:val="00FF1E6D"/>
    <w:rsid w:val="00FF46F9"/>
    <w:rsid w:val="00FF7904"/>
    <w:rsid w:val="01041951"/>
    <w:rsid w:val="03552531"/>
    <w:rsid w:val="05E40C54"/>
    <w:rsid w:val="06A42377"/>
    <w:rsid w:val="06EF0075"/>
    <w:rsid w:val="07587E1D"/>
    <w:rsid w:val="07FF55A6"/>
    <w:rsid w:val="09BFF58D"/>
    <w:rsid w:val="0AF9CB7F"/>
    <w:rsid w:val="0D8E7608"/>
    <w:rsid w:val="0DE2E20A"/>
    <w:rsid w:val="0F877EC3"/>
    <w:rsid w:val="0FFBFA23"/>
    <w:rsid w:val="117D361B"/>
    <w:rsid w:val="13836007"/>
    <w:rsid w:val="13A14AC4"/>
    <w:rsid w:val="1469579C"/>
    <w:rsid w:val="14CF8828"/>
    <w:rsid w:val="150C03F7"/>
    <w:rsid w:val="1648725E"/>
    <w:rsid w:val="17C76AD9"/>
    <w:rsid w:val="17DC8EB5"/>
    <w:rsid w:val="1C571C62"/>
    <w:rsid w:val="1D5E7B70"/>
    <w:rsid w:val="1EEB7D15"/>
    <w:rsid w:val="1EEBCCC7"/>
    <w:rsid w:val="1EECF599"/>
    <w:rsid w:val="1FA01160"/>
    <w:rsid w:val="1FCD8FC6"/>
    <w:rsid w:val="1FCDD6BD"/>
    <w:rsid w:val="1FF7E206"/>
    <w:rsid w:val="1FFF7AD8"/>
    <w:rsid w:val="1FFF9536"/>
    <w:rsid w:val="206E0FC8"/>
    <w:rsid w:val="23B02BC5"/>
    <w:rsid w:val="252A0011"/>
    <w:rsid w:val="25B96A7C"/>
    <w:rsid w:val="25FE5651"/>
    <w:rsid w:val="26472A30"/>
    <w:rsid w:val="274779FD"/>
    <w:rsid w:val="27BF9B59"/>
    <w:rsid w:val="27DBFDD6"/>
    <w:rsid w:val="27ED0B8C"/>
    <w:rsid w:val="27FFC94E"/>
    <w:rsid w:val="2ACB3B4E"/>
    <w:rsid w:val="2B57C27B"/>
    <w:rsid w:val="2C7F7314"/>
    <w:rsid w:val="2D5D6C5F"/>
    <w:rsid w:val="2D7F6141"/>
    <w:rsid w:val="2DABC1DB"/>
    <w:rsid w:val="2E47409D"/>
    <w:rsid w:val="2E974F35"/>
    <w:rsid w:val="2EBA83B6"/>
    <w:rsid w:val="2EBFE105"/>
    <w:rsid w:val="2EDE3273"/>
    <w:rsid w:val="2F0B10C1"/>
    <w:rsid w:val="2F67B57D"/>
    <w:rsid w:val="2FE2982B"/>
    <w:rsid w:val="2FF13541"/>
    <w:rsid w:val="2FFB4FBA"/>
    <w:rsid w:val="329D1D1C"/>
    <w:rsid w:val="33F4F581"/>
    <w:rsid w:val="34803EC8"/>
    <w:rsid w:val="34B9379B"/>
    <w:rsid w:val="356882FA"/>
    <w:rsid w:val="35D7DA61"/>
    <w:rsid w:val="35E772E4"/>
    <w:rsid w:val="35FF0C53"/>
    <w:rsid w:val="36DF0454"/>
    <w:rsid w:val="377DFAF6"/>
    <w:rsid w:val="37D3BDE5"/>
    <w:rsid w:val="37F3D8EB"/>
    <w:rsid w:val="37FF53FD"/>
    <w:rsid w:val="38DC1BFB"/>
    <w:rsid w:val="39023EF1"/>
    <w:rsid w:val="3AD0F29D"/>
    <w:rsid w:val="3AFE4F7B"/>
    <w:rsid w:val="3B51422B"/>
    <w:rsid w:val="3B75DEA1"/>
    <w:rsid w:val="3B946996"/>
    <w:rsid w:val="3BEFAD86"/>
    <w:rsid w:val="3BFE4D61"/>
    <w:rsid w:val="3BFF069C"/>
    <w:rsid w:val="3DF88FAB"/>
    <w:rsid w:val="3DFBEB42"/>
    <w:rsid w:val="3DFEE5C6"/>
    <w:rsid w:val="3EAE7781"/>
    <w:rsid w:val="3EBB1779"/>
    <w:rsid w:val="3EFFAA5B"/>
    <w:rsid w:val="3F3F4D3E"/>
    <w:rsid w:val="3F3FD6A6"/>
    <w:rsid w:val="3F63B36E"/>
    <w:rsid w:val="3F735782"/>
    <w:rsid w:val="3F779754"/>
    <w:rsid w:val="3F77B85E"/>
    <w:rsid w:val="3F9A6224"/>
    <w:rsid w:val="3FA78228"/>
    <w:rsid w:val="3FC39052"/>
    <w:rsid w:val="3FCA3682"/>
    <w:rsid w:val="3FD322AF"/>
    <w:rsid w:val="3FDE7411"/>
    <w:rsid w:val="3FDF1CFC"/>
    <w:rsid w:val="3FF57B71"/>
    <w:rsid w:val="3FFFEBF1"/>
    <w:rsid w:val="4132612F"/>
    <w:rsid w:val="413A3D72"/>
    <w:rsid w:val="43A23DD3"/>
    <w:rsid w:val="43B12F69"/>
    <w:rsid w:val="456A4DC4"/>
    <w:rsid w:val="4687467B"/>
    <w:rsid w:val="46BDFC0F"/>
    <w:rsid w:val="474D42E3"/>
    <w:rsid w:val="477B8510"/>
    <w:rsid w:val="49A2495C"/>
    <w:rsid w:val="49B137A1"/>
    <w:rsid w:val="4A603B63"/>
    <w:rsid w:val="4AFD7705"/>
    <w:rsid w:val="4B32B7BE"/>
    <w:rsid w:val="4BC13157"/>
    <w:rsid w:val="4C303B79"/>
    <w:rsid w:val="4F5A104C"/>
    <w:rsid w:val="4FCF84C6"/>
    <w:rsid w:val="4FF74621"/>
    <w:rsid w:val="4FFFA30E"/>
    <w:rsid w:val="529BF997"/>
    <w:rsid w:val="52EF26D4"/>
    <w:rsid w:val="5439223A"/>
    <w:rsid w:val="54FE5D76"/>
    <w:rsid w:val="553F0BCB"/>
    <w:rsid w:val="55DDF303"/>
    <w:rsid w:val="56AFFF61"/>
    <w:rsid w:val="56B56D53"/>
    <w:rsid w:val="56EF00BB"/>
    <w:rsid w:val="577C39AC"/>
    <w:rsid w:val="57BD268E"/>
    <w:rsid w:val="57C3DECF"/>
    <w:rsid w:val="57DAB99E"/>
    <w:rsid w:val="57E042B3"/>
    <w:rsid w:val="59FDB972"/>
    <w:rsid w:val="5A224D9C"/>
    <w:rsid w:val="5A76DD3F"/>
    <w:rsid w:val="5B3FA7DB"/>
    <w:rsid w:val="5BDA3B1D"/>
    <w:rsid w:val="5BEFC8F5"/>
    <w:rsid w:val="5BFF5EE6"/>
    <w:rsid w:val="5C696B87"/>
    <w:rsid w:val="5CC7B70A"/>
    <w:rsid w:val="5CDDDDFA"/>
    <w:rsid w:val="5CDF1E8F"/>
    <w:rsid w:val="5CEF126F"/>
    <w:rsid w:val="5D002955"/>
    <w:rsid w:val="5DAB167E"/>
    <w:rsid w:val="5DF3928F"/>
    <w:rsid w:val="5DFDDA6C"/>
    <w:rsid w:val="5E67D882"/>
    <w:rsid w:val="5E7B024E"/>
    <w:rsid w:val="5ED9A06C"/>
    <w:rsid w:val="5EFBDD89"/>
    <w:rsid w:val="5F3E6461"/>
    <w:rsid w:val="5F47457D"/>
    <w:rsid w:val="5F7EAD2F"/>
    <w:rsid w:val="5F97B6FA"/>
    <w:rsid w:val="5FB590F7"/>
    <w:rsid w:val="5FBFE898"/>
    <w:rsid w:val="5FE343E7"/>
    <w:rsid w:val="5FF7F267"/>
    <w:rsid w:val="5FFF2713"/>
    <w:rsid w:val="5FFF4976"/>
    <w:rsid w:val="60732830"/>
    <w:rsid w:val="608B2B3B"/>
    <w:rsid w:val="61452CD9"/>
    <w:rsid w:val="62FBAE8F"/>
    <w:rsid w:val="637B65B7"/>
    <w:rsid w:val="638D8ED5"/>
    <w:rsid w:val="63D77402"/>
    <w:rsid w:val="63DE1DF7"/>
    <w:rsid w:val="643A9390"/>
    <w:rsid w:val="650F518F"/>
    <w:rsid w:val="653AAF3D"/>
    <w:rsid w:val="65A7A820"/>
    <w:rsid w:val="65FB218B"/>
    <w:rsid w:val="66CEA55F"/>
    <w:rsid w:val="66CF6171"/>
    <w:rsid w:val="678D25CA"/>
    <w:rsid w:val="67B7CDE4"/>
    <w:rsid w:val="67BFDBF2"/>
    <w:rsid w:val="67DB58ED"/>
    <w:rsid w:val="67DB9B95"/>
    <w:rsid w:val="67DF3532"/>
    <w:rsid w:val="67F374FE"/>
    <w:rsid w:val="67F74E46"/>
    <w:rsid w:val="67FDC481"/>
    <w:rsid w:val="68964C95"/>
    <w:rsid w:val="69EEC4DE"/>
    <w:rsid w:val="69FD5198"/>
    <w:rsid w:val="6B3D3FCC"/>
    <w:rsid w:val="6B3F6833"/>
    <w:rsid w:val="6B9E13F1"/>
    <w:rsid w:val="6BA320EC"/>
    <w:rsid w:val="6BB7A394"/>
    <w:rsid w:val="6BDB86DC"/>
    <w:rsid w:val="6BE6D5BC"/>
    <w:rsid w:val="6BEB0305"/>
    <w:rsid w:val="6BFD3637"/>
    <w:rsid w:val="6BFFEE1F"/>
    <w:rsid w:val="6C2142DB"/>
    <w:rsid w:val="6CF73209"/>
    <w:rsid w:val="6CFF845E"/>
    <w:rsid w:val="6D3D0918"/>
    <w:rsid w:val="6D76639E"/>
    <w:rsid w:val="6D77302E"/>
    <w:rsid w:val="6DEFA443"/>
    <w:rsid w:val="6DFB1475"/>
    <w:rsid w:val="6DFE51B5"/>
    <w:rsid w:val="6DFF2A55"/>
    <w:rsid w:val="6E6E73C3"/>
    <w:rsid w:val="6E77B92C"/>
    <w:rsid w:val="6EBBEF1C"/>
    <w:rsid w:val="6EEDC3AC"/>
    <w:rsid w:val="6EEFF53F"/>
    <w:rsid w:val="6EFB9647"/>
    <w:rsid w:val="6EFD050C"/>
    <w:rsid w:val="6F1DE16B"/>
    <w:rsid w:val="6F7F4857"/>
    <w:rsid w:val="6F9B4FEC"/>
    <w:rsid w:val="6FB092A4"/>
    <w:rsid w:val="6FB7EB2F"/>
    <w:rsid w:val="6FBF0ABA"/>
    <w:rsid w:val="6FE1A627"/>
    <w:rsid w:val="6FE561F1"/>
    <w:rsid w:val="6FED4A9F"/>
    <w:rsid w:val="70120D53"/>
    <w:rsid w:val="701E08C7"/>
    <w:rsid w:val="70932323"/>
    <w:rsid w:val="70F6043C"/>
    <w:rsid w:val="71BA887E"/>
    <w:rsid w:val="7336A051"/>
    <w:rsid w:val="736FF48F"/>
    <w:rsid w:val="73BFE89C"/>
    <w:rsid w:val="73D5F11A"/>
    <w:rsid w:val="73EE9517"/>
    <w:rsid w:val="73FF28D6"/>
    <w:rsid w:val="73FF3D73"/>
    <w:rsid w:val="73FF5A58"/>
    <w:rsid w:val="73FFC81F"/>
    <w:rsid w:val="74322378"/>
    <w:rsid w:val="744F80E9"/>
    <w:rsid w:val="747FBCFF"/>
    <w:rsid w:val="754049A5"/>
    <w:rsid w:val="7567F5A0"/>
    <w:rsid w:val="75E7CC27"/>
    <w:rsid w:val="763E4180"/>
    <w:rsid w:val="76A44746"/>
    <w:rsid w:val="76A77EB2"/>
    <w:rsid w:val="76AFE3BC"/>
    <w:rsid w:val="76B740EE"/>
    <w:rsid w:val="76CE761F"/>
    <w:rsid w:val="76FF0615"/>
    <w:rsid w:val="76FF3045"/>
    <w:rsid w:val="775F0493"/>
    <w:rsid w:val="776BCA31"/>
    <w:rsid w:val="7773610B"/>
    <w:rsid w:val="77AFCE9C"/>
    <w:rsid w:val="77B1AC56"/>
    <w:rsid w:val="77BB9422"/>
    <w:rsid w:val="77BE5AEC"/>
    <w:rsid w:val="77E2F4BE"/>
    <w:rsid w:val="77EB2634"/>
    <w:rsid w:val="77EF46C9"/>
    <w:rsid w:val="77F701E8"/>
    <w:rsid w:val="77F771BA"/>
    <w:rsid w:val="77F87313"/>
    <w:rsid w:val="77FA952F"/>
    <w:rsid w:val="77FB871C"/>
    <w:rsid w:val="77FF273D"/>
    <w:rsid w:val="7957CB3D"/>
    <w:rsid w:val="79BBB0C4"/>
    <w:rsid w:val="79EF86AB"/>
    <w:rsid w:val="79F72DBD"/>
    <w:rsid w:val="79FF0B8C"/>
    <w:rsid w:val="7ABEDCBE"/>
    <w:rsid w:val="7ABFDFF9"/>
    <w:rsid w:val="7ACC7DC7"/>
    <w:rsid w:val="7ADFE63F"/>
    <w:rsid w:val="7B5F131A"/>
    <w:rsid w:val="7B6D037A"/>
    <w:rsid w:val="7BB7DC9F"/>
    <w:rsid w:val="7BC70249"/>
    <w:rsid w:val="7BDA7E0C"/>
    <w:rsid w:val="7BEF890A"/>
    <w:rsid w:val="7BF2B331"/>
    <w:rsid w:val="7BF6BFE0"/>
    <w:rsid w:val="7BF6ED53"/>
    <w:rsid w:val="7BFD09D1"/>
    <w:rsid w:val="7C51F104"/>
    <w:rsid w:val="7C5ECD63"/>
    <w:rsid w:val="7C7951F7"/>
    <w:rsid w:val="7CE7AFCA"/>
    <w:rsid w:val="7CEFB9F3"/>
    <w:rsid w:val="7D54B62F"/>
    <w:rsid w:val="7D5FD52C"/>
    <w:rsid w:val="7D7E2432"/>
    <w:rsid w:val="7DB72299"/>
    <w:rsid w:val="7DBD1071"/>
    <w:rsid w:val="7DBE30DD"/>
    <w:rsid w:val="7DBEBA1A"/>
    <w:rsid w:val="7DFB7D29"/>
    <w:rsid w:val="7DFFD46C"/>
    <w:rsid w:val="7E5B3516"/>
    <w:rsid w:val="7E6F588C"/>
    <w:rsid w:val="7E72F96C"/>
    <w:rsid w:val="7E7D2227"/>
    <w:rsid w:val="7E7FD5B1"/>
    <w:rsid w:val="7E7FE764"/>
    <w:rsid w:val="7E932AB6"/>
    <w:rsid w:val="7EAD2122"/>
    <w:rsid w:val="7EB31F5D"/>
    <w:rsid w:val="7EBAB298"/>
    <w:rsid w:val="7EBAD6F0"/>
    <w:rsid w:val="7EDE4E67"/>
    <w:rsid w:val="7EF70F6F"/>
    <w:rsid w:val="7EFA8663"/>
    <w:rsid w:val="7EFB7D49"/>
    <w:rsid w:val="7EFB8D4A"/>
    <w:rsid w:val="7EFE0128"/>
    <w:rsid w:val="7EFF1A5B"/>
    <w:rsid w:val="7EFF5D72"/>
    <w:rsid w:val="7F1F2C2D"/>
    <w:rsid w:val="7F3BCD5F"/>
    <w:rsid w:val="7F3EC093"/>
    <w:rsid w:val="7F3F825E"/>
    <w:rsid w:val="7F4FC5AF"/>
    <w:rsid w:val="7F57C327"/>
    <w:rsid w:val="7F5F8882"/>
    <w:rsid w:val="7F6A27F5"/>
    <w:rsid w:val="7F77D0AC"/>
    <w:rsid w:val="7F793105"/>
    <w:rsid w:val="7F7A7C1D"/>
    <w:rsid w:val="7F8BD1ED"/>
    <w:rsid w:val="7FB6FB67"/>
    <w:rsid w:val="7FB73C89"/>
    <w:rsid w:val="7FBFA307"/>
    <w:rsid w:val="7FCC7FC5"/>
    <w:rsid w:val="7FD6B34C"/>
    <w:rsid w:val="7FDD38D1"/>
    <w:rsid w:val="7FDE0CF7"/>
    <w:rsid w:val="7FDF3743"/>
    <w:rsid w:val="7FDFB370"/>
    <w:rsid w:val="7FDFFA00"/>
    <w:rsid w:val="7FE3281C"/>
    <w:rsid w:val="7FE41ABD"/>
    <w:rsid w:val="7FE53CAF"/>
    <w:rsid w:val="7FEF642B"/>
    <w:rsid w:val="7FEF91DD"/>
    <w:rsid w:val="7FEFDD74"/>
    <w:rsid w:val="7FF382B2"/>
    <w:rsid w:val="7FF4EBAA"/>
    <w:rsid w:val="7FF73337"/>
    <w:rsid w:val="7FF76688"/>
    <w:rsid w:val="7FF9894C"/>
    <w:rsid w:val="7FFF1FB0"/>
    <w:rsid w:val="7FFF5836"/>
    <w:rsid w:val="7FFF6AD3"/>
    <w:rsid w:val="7FFF83B9"/>
    <w:rsid w:val="7FFF9477"/>
    <w:rsid w:val="7FFFF835"/>
    <w:rsid w:val="7FFFFB43"/>
    <w:rsid w:val="8B5FB5B9"/>
    <w:rsid w:val="8DA6E625"/>
    <w:rsid w:val="8DED579F"/>
    <w:rsid w:val="8FFFB1F6"/>
    <w:rsid w:val="977C000A"/>
    <w:rsid w:val="97BDEC35"/>
    <w:rsid w:val="9BDEE3BD"/>
    <w:rsid w:val="9BFD44DF"/>
    <w:rsid w:val="9D79E015"/>
    <w:rsid w:val="9DB35556"/>
    <w:rsid w:val="9E7E07E6"/>
    <w:rsid w:val="9FDF867D"/>
    <w:rsid w:val="9FFBF23D"/>
    <w:rsid w:val="9FFDCA93"/>
    <w:rsid w:val="9FFF8467"/>
    <w:rsid w:val="A26DD9D6"/>
    <w:rsid w:val="A35D9341"/>
    <w:rsid w:val="A56F5B47"/>
    <w:rsid w:val="A5B6ADBE"/>
    <w:rsid w:val="A9E97E21"/>
    <w:rsid w:val="A9ED1610"/>
    <w:rsid w:val="AAD54762"/>
    <w:rsid w:val="ABDC981D"/>
    <w:rsid w:val="ADBFCBB0"/>
    <w:rsid w:val="ADF5624D"/>
    <w:rsid w:val="AF76D434"/>
    <w:rsid w:val="AF7775B0"/>
    <w:rsid w:val="AF7F1075"/>
    <w:rsid w:val="AF7F473F"/>
    <w:rsid w:val="AFBED1D7"/>
    <w:rsid w:val="AFDBD2F8"/>
    <w:rsid w:val="AFE7BC2A"/>
    <w:rsid w:val="AFF75963"/>
    <w:rsid w:val="AFFFEAE2"/>
    <w:rsid w:val="B3ADBE49"/>
    <w:rsid w:val="B5EA1AD9"/>
    <w:rsid w:val="B6FDD1C4"/>
    <w:rsid w:val="B73D31BA"/>
    <w:rsid w:val="B77C07DE"/>
    <w:rsid w:val="B7FEACA5"/>
    <w:rsid w:val="B8BF8B32"/>
    <w:rsid w:val="B97ACBC4"/>
    <w:rsid w:val="B9F8986F"/>
    <w:rsid w:val="BB7B8637"/>
    <w:rsid w:val="BB9787D1"/>
    <w:rsid w:val="BBBF00BA"/>
    <w:rsid w:val="BBF14120"/>
    <w:rsid w:val="BBF7C76C"/>
    <w:rsid w:val="BBFD0A8D"/>
    <w:rsid w:val="BBFF9DBC"/>
    <w:rsid w:val="BC353F50"/>
    <w:rsid w:val="BC6DFD54"/>
    <w:rsid w:val="BCB3D1B8"/>
    <w:rsid w:val="BD737697"/>
    <w:rsid w:val="BD7D13F2"/>
    <w:rsid w:val="BDB12EC1"/>
    <w:rsid w:val="BDEF22DC"/>
    <w:rsid w:val="BDF694EE"/>
    <w:rsid w:val="BDFEFC6A"/>
    <w:rsid w:val="BDFF4812"/>
    <w:rsid w:val="BDFFA9B5"/>
    <w:rsid w:val="BE572272"/>
    <w:rsid w:val="BE9710C0"/>
    <w:rsid w:val="BEB7C902"/>
    <w:rsid w:val="BEE96587"/>
    <w:rsid w:val="BEEF7700"/>
    <w:rsid w:val="BEF9AD9B"/>
    <w:rsid w:val="BEFBAED3"/>
    <w:rsid w:val="BEFF45DC"/>
    <w:rsid w:val="BF37DC18"/>
    <w:rsid w:val="BF67B975"/>
    <w:rsid w:val="BF73506B"/>
    <w:rsid w:val="BFB74157"/>
    <w:rsid w:val="BFEEF4E8"/>
    <w:rsid w:val="BFF248F8"/>
    <w:rsid w:val="BFFB02FB"/>
    <w:rsid w:val="BFFB41A0"/>
    <w:rsid w:val="BFFD8E2E"/>
    <w:rsid w:val="BFFE26F9"/>
    <w:rsid w:val="C25BE136"/>
    <w:rsid w:val="C5AB89FF"/>
    <w:rsid w:val="C5BF87CC"/>
    <w:rsid w:val="C76B4974"/>
    <w:rsid w:val="C99529EE"/>
    <w:rsid w:val="C99EEB5B"/>
    <w:rsid w:val="CB9FBE0F"/>
    <w:rsid w:val="CBB9AC31"/>
    <w:rsid w:val="CD7AEEC1"/>
    <w:rsid w:val="CE774039"/>
    <w:rsid w:val="CF3FC941"/>
    <w:rsid w:val="CF9F53B2"/>
    <w:rsid w:val="CFBD95AA"/>
    <w:rsid w:val="CFFF2DDC"/>
    <w:rsid w:val="D1BE45FF"/>
    <w:rsid w:val="D1BFA2BE"/>
    <w:rsid w:val="D35755F7"/>
    <w:rsid w:val="D3BF909B"/>
    <w:rsid w:val="D65A91C0"/>
    <w:rsid w:val="D6FFF236"/>
    <w:rsid w:val="D73E2811"/>
    <w:rsid w:val="D7AFEBA0"/>
    <w:rsid w:val="D7AFF575"/>
    <w:rsid w:val="D7DBDA6E"/>
    <w:rsid w:val="D7F3AF1A"/>
    <w:rsid w:val="D9BE52F6"/>
    <w:rsid w:val="DA978AED"/>
    <w:rsid w:val="DBBDF453"/>
    <w:rsid w:val="DBCC2E1E"/>
    <w:rsid w:val="DBEFA18A"/>
    <w:rsid w:val="DBFE6DEC"/>
    <w:rsid w:val="DBFF2576"/>
    <w:rsid w:val="DC470EAE"/>
    <w:rsid w:val="DCF7812D"/>
    <w:rsid w:val="DCFE2DF6"/>
    <w:rsid w:val="DD7F5DEA"/>
    <w:rsid w:val="DDFB2BC6"/>
    <w:rsid w:val="DDFF99D1"/>
    <w:rsid w:val="DEBFEA9C"/>
    <w:rsid w:val="DEE31D29"/>
    <w:rsid w:val="DEFA3AB3"/>
    <w:rsid w:val="DEFF2DCB"/>
    <w:rsid w:val="DF3FDC0F"/>
    <w:rsid w:val="DF628239"/>
    <w:rsid w:val="DF733E30"/>
    <w:rsid w:val="DF7E8516"/>
    <w:rsid w:val="DF90251A"/>
    <w:rsid w:val="DFBF1210"/>
    <w:rsid w:val="DFBF523B"/>
    <w:rsid w:val="DFC7D186"/>
    <w:rsid w:val="DFDFF3B8"/>
    <w:rsid w:val="DFDFF4A6"/>
    <w:rsid w:val="DFFBE4D3"/>
    <w:rsid w:val="DFFF0CA2"/>
    <w:rsid w:val="DFFF7351"/>
    <w:rsid w:val="DFFFB8F1"/>
    <w:rsid w:val="E1E561BD"/>
    <w:rsid w:val="E367E823"/>
    <w:rsid w:val="E3E63E72"/>
    <w:rsid w:val="E5D5E37C"/>
    <w:rsid w:val="E6370390"/>
    <w:rsid w:val="E6BFB045"/>
    <w:rsid w:val="E6CF52A3"/>
    <w:rsid w:val="E6EEBEAD"/>
    <w:rsid w:val="E6F7B37D"/>
    <w:rsid w:val="E7EB286F"/>
    <w:rsid w:val="EABF8F6B"/>
    <w:rsid w:val="EAFEAE33"/>
    <w:rsid w:val="EB577B96"/>
    <w:rsid w:val="EB7D4577"/>
    <w:rsid w:val="EB7FC761"/>
    <w:rsid w:val="EBB70F1F"/>
    <w:rsid w:val="EBB72B68"/>
    <w:rsid w:val="EBCDF98C"/>
    <w:rsid w:val="EDBF7DDB"/>
    <w:rsid w:val="EDEA7AC4"/>
    <w:rsid w:val="EDFB981D"/>
    <w:rsid w:val="EDFD4191"/>
    <w:rsid w:val="EDFF14D2"/>
    <w:rsid w:val="EDFFB12C"/>
    <w:rsid w:val="EE7B5B19"/>
    <w:rsid w:val="EE7E4D99"/>
    <w:rsid w:val="EEA25924"/>
    <w:rsid w:val="EEBF039F"/>
    <w:rsid w:val="EED16975"/>
    <w:rsid w:val="EEDF5638"/>
    <w:rsid w:val="EEF9200F"/>
    <w:rsid w:val="EF5DA857"/>
    <w:rsid w:val="EF67EEEE"/>
    <w:rsid w:val="EF6EB489"/>
    <w:rsid w:val="EF7EFBF1"/>
    <w:rsid w:val="EFBA9A76"/>
    <w:rsid w:val="EFD927CC"/>
    <w:rsid w:val="EFDF028E"/>
    <w:rsid w:val="EFE517BA"/>
    <w:rsid w:val="EFE57F5C"/>
    <w:rsid w:val="EFED95D1"/>
    <w:rsid w:val="EFEF23DE"/>
    <w:rsid w:val="EFF7F5C5"/>
    <w:rsid w:val="EFFE941B"/>
    <w:rsid w:val="EFFF7ABB"/>
    <w:rsid w:val="EFFFAD75"/>
    <w:rsid w:val="F0CF3C29"/>
    <w:rsid w:val="F0D3B6F5"/>
    <w:rsid w:val="F3DF7F73"/>
    <w:rsid w:val="F3F93FC2"/>
    <w:rsid w:val="F4DF5EF7"/>
    <w:rsid w:val="F59B687D"/>
    <w:rsid w:val="F63D405D"/>
    <w:rsid w:val="F6ED4574"/>
    <w:rsid w:val="F6FEA412"/>
    <w:rsid w:val="F6FF16B1"/>
    <w:rsid w:val="F717C3CF"/>
    <w:rsid w:val="F72D0256"/>
    <w:rsid w:val="F737B157"/>
    <w:rsid w:val="F75E1F8E"/>
    <w:rsid w:val="F769E095"/>
    <w:rsid w:val="F77CD147"/>
    <w:rsid w:val="F7AFB785"/>
    <w:rsid w:val="F7B59465"/>
    <w:rsid w:val="F7BFFD49"/>
    <w:rsid w:val="F7F32EF7"/>
    <w:rsid w:val="F7F983BC"/>
    <w:rsid w:val="F7FAB8C2"/>
    <w:rsid w:val="F7FE7631"/>
    <w:rsid w:val="F7FF1459"/>
    <w:rsid w:val="F7FFA820"/>
    <w:rsid w:val="F7FFFF50"/>
    <w:rsid w:val="F8BD3666"/>
    <w:rsid w:val="F93A58EB"/>
    <w:rsid w:val="F95F9C13"/>
    <w:rsid w:val="F9DF906C"/>
    <w:rsid w:val="FA323E9E"/>
    <w:rsid w:val="FA3FC95F"/>
    <w:rsid w:val="FA5BEB96"/>
    <w:rsid w:val="FAABDBF6"/>
    <w:rsid w:val="FABE302D"/>
    <w:rsid w:val="FAEFF2F1"/>
    <w:rsid w:val="FAFFF8A6"/>
    <w:rsid w:val="FB279AA8"/>
    <w:rsid w:val="FBB6A5B3"/>
    <w:rsid w:val="FBEB6D01"/>
    <w:rsid w:val="FBFAFE74"/>
    <w:rsid w:val="FBFB5881"/>
    <w:rsid w:val="FBFD8357"/>
    <w:rsid w:val="FBFF5693"/>
    <w:rsid w:val="FC7E05AD"/>
    <w:rsid w:val="FC9EE2A9"/>
    <w:rsid w:val="FCEE9CDB"/>
    <w:rsid w:val="FCFF23E6"/>
    <w:rsid w:val="FCFFD8E8"/>
    <w:rsid w:val="FD3D89D8"/>
    <w:rsid w:val="FD8FD0DF"/>
    <w:rsid w:val="FD9FF825"/>
    <w:rsid w:val="FDDD4817"/>
    <w:rsid w:val="FDDF5F41"/>
    <w:rsid w:val="FDDFFEBF"/>
    <w:rsid w:val="FDF71AA7"/>
    <w:rsid w:val="FDFBC9E8"/>
    <w:rsid w:val="FDFC7599"/>
    <w:rsid w:val="FDFD8526"/>
    <w:rsid w:val="FE6BE64C"/>
    <w:rsid w:val="FEB77CAB"/>
    <w:rsid w:val="FEB7E32E"/>
    <w:rsid w:val="FEBB0896"/>
    <w:rsid w:val="FECE9D98"/>
    <w:rsid w:val="FEDB0C60"/>
    <w:rsid w:val="FEE78773"/>
    <w:rsid w:val="FEEF6E16"/>
    <w:rsid w:val="FEFBDCD7"/>
    <w:rsid w:val="FEFF4084"/>
    <w:rsid w:val="FEFFA116"/>
    <w:rsid w:val="FEFFA524"/>
    <w:rsid w:val="FEFFDD5B"/>
    <w:rsid w:val="FF17D614"/>
    <w:rsid w:val="FF1FDFA4"/>
    <w:rsid w:val="FF2EAC74"/>
    <w:rsid w:val="FF3E3E40"/>
    <w:rsid w:val="FF47BACC"/>
    <w:rsid w:val="FF4E6845"/>
    <w:rsid w:val="FF4F2539"/>
    <w:rsid w:val="FF4FFFA8"/>
    <w:rsid w:val="FF6F1F89"/>
    <w:rsid w:val="FF7DA52F"/>
    <w:rsid w:val="FF7F15DA"/>
    <w:rsid w:val="FF9F318E"/>
    <w:rsid w:val="FFAF937C"/>
    <w:rsid w:val="FFB72F3B"/>
    <w:rsid w:val="FFB72F5D"/>
    <w:rsid w:val="FFBBC396"/>
    <w:rsid w:val="FFBF9E2A"/>
    <w:rsid w:val="FFCC088A"/>
    <w:rsid w:val="FFCF752B"/>
    <w:rsid w:val="FFDBED71"/>
    <w:rsid w:val="FFDCDEAF"/>
    <w:rsid w:val="FFDE4E49"/>
    <w:rsid w:val="FFDFFCEC"/>
    <w:rsid w:val="FFEC0C3E"/>
    <w:rsid w:val="FFEDBF1C"/>
    <w:rsid w:val="FFEF0DF5"/>
    <w:rsid w:val="FFEF1709"/>
    <w:rsid w:val="FFF55D45"/>
    <w:rsid w:val="FFF5C635"/>
    <w:rsid w:val="FFFADE54"/>
    <w:rsid w:val="FFFB97AD"/>
    <w:rsid w:val="FFFBDC2F"/>
    <w:rsid w:val="FFFD54CE"/>
    <w:rsid w:val="FFFDE322"/>
    <w:rsid w:val="FFFECDFA"/>
    <w:rsid w:val="FFFF2830"/>
    <w:rsid w:val="FFFF4811"/>
    <w:rsid w:val="FFFF9988"/>
    <w:rsid w:val="FFFFB1EF"/>
    <w:rsid w:val="FFFFC2E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spacing w:before="340" w:after="330" w:line="578" w:lineRule="auto"/>
      <w:outlineLvl w:val="0"/>
    </w:pPr>
    <w:rPr>
      <w:b/>
      <w:bCs/>
      <w:kern w:val="44"/>
      <w:sz w:val="44"/>
      <w:szCs w:val="44"/>
    </w:rPr>
  </w:style>
  <w:style w:type="character" w:default="1" w:styleId="13">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7"/>
    <w:unhideWhenUsed/>
    <w:qFormat/>
    <w:uiPriority w:val="99"/>
    <w:pPr>
      <w:jc w:val="left"/>
    </w:pPr>
  </w:style>
  <w:style w:type="paragraph" w:styleId="4">
    <w:name w:val="Balloon Text"/>
    <w:basedOn w:val="1"/>
    <w:link w:val="29"/>
    <w:unhideWhenUsed/>
    <w:qFormat/>
    <w:uiPriority w:val="99"/>
    <w:rPr>
      <w:sz w:val="18"/>
      <w:szCs w:val="18"/>
    </w:rPr>
  </w:style>
  <w:style w:type="paragraph" w:styleId="5">
    <w:name w:val="footer"/>
    <w:basedOn w:val="1"/>
    <w:link w:val="20"/>
    <w:autoRedefine/>
    <w:unhideWhenUsed/>
    <w:qFormat/>
    <w:uiPriority w:val="99"/>
    <w:pPr>
      <w:tabs>
        <w:tab w:val="center" w:pos="4153"/>
        <w:tab w:val="right" w:pos="8306"/>
      </w:tabs>
      <w:snapToGrid w:val="0"/>
      <w:jc w:val="left"/>
    </w:pPr>
    <w:rPr>
      <w:sz w:val="18"/>
      <w:szCs w:val="18"/>
    </w:rPr>
  </w:style>
  <w:style w:type="paragraph" w:styleId="6">
    <w:name w:val="header"/>
    <w:basedOn w:val="1"/>
    <w:link w:val="19"/>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autoRedefine/>
    <w:unhideWhenUsed/>
    <w:qFormat/>
    <w:uiPriority w:val="39"/>
  </w:style>
  <w:style w:type="paragraph" w:styleId="8">
    <w:name w:val="HTML Preformatted"/>
    <w:basedOn w:val="1"/>
    <w:link w:val="31"/>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3"/>
    <w:next w:val="3"/>
    <w:link w:val="28"/>
    <w:autoRedefine/>
    <w:unhideWhenUsed/>
    <w:qFormat/>
    <w:uiPriority w:val="99"/>
    <w:rPr>
      <w:b/>
      <w:bCs/>
    </w:rPr>
  </w:style>
  <w:style w:type="table" w:styleId="12">
    <w:name w:val="Table Grid"/>
    <w:basedOn w:val="11"/>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22"/>
    <w:rPr>
      <w:b/>
    </w:rPr>
  </w:style>
  <w:style w:type="character" w:styleId="15">
    <w:name w:val="Emphasis"/>
    <w:basedOn w:val="13"/>
    <w:autoRedefine/>
    <w:qFormat/>
    <w:uiPriority w:val="20"/>
    <w:rPr>
      <w:i/>
      <w:iCs/>
    </w:rPr>
  </w:style>
  <w:style w:type="character" w:styleId="16">
    <w:name w:val="Hyperlink"/>
    <w:basedOn w:val="13"/>
    <w:autoRedefine/>
    <w:unhideWhenUsed/>
    <w:qFormat/>
    <w:uiPriority w:val="99"/>
    <w:rPr>
      <w:color w:val="0563C1" w:themeColor="hyperlink"/>
      <w:u w:val="single"/>
      <w14:textFill>
        <w14:solidFill>
          <w14:schemeClr w14:val="hlink"/>
        </w14:solidFill>
      </w14:textFill>
    </w:rPr>
  </w:style>
  <w:style w:type="character" w:styleId="17">
    <w:name w:val="annotation reference"/>
    <w:basedOn w:val="13"/>
    <w:autoRedefine/>
    <w:unhideWhenUsed/>
    <w:qFormat/>
    <w:uiPriority w:val="99"/>
    <w:rPr>
      <w:sz w:val="21"/>
      <w:szCs w:val="21"/>
    </w:rPr>
  </w:style>
  <w:style w:type="paragraph" w:customStyle="1" w:styleId="18">
    <w:name w:val="列出段落1"/>
    <w:basedOn w:val="1"/>
    <w:link w:val="22"/>
    <w:autoRedefine/>
    <w:qFormat/>
    <w:uiPriority w:val="34"/>
    <w:pPr>
      <w:ind w:firstLine="420" w:firstLineChars="200"/>
    </w:pPr>
  </w:style>
  <w:style w:type="character" w:customStyle="1" w:styleId="19">
    <w:name w:val="页眉 字符"/>
    <w:basedOn w:val="13"/>
    <w:link w:val="6"/>
    <w:autoRedefine/>
    <w:qFormat/>
    <w:uiPriority w:val="99"/>
    <w:rPr>
      <w:sz w:val="18"/>
      <w:szCs w:val="18"/>
    </w:rPr>
  </w:style>
  <w:style w:type="character" w:customStyle="1" w:styleId="20">
    <w:name w:val="页脚 字符"/>
    <w:basedOn w:val="13"/>
    <w:link w:val="5"/>
    <w:autoRedefine/>
    <w:qFormat/>
    <w:uiPriority w:val="99"/>
    <w:rPr>
      <w:sz w:val="18"/>
      <w:szCs w:val="18"/>
    </w:rPr>
  </w:style>
  <w:style w:type="paragraph" w:customStyle="1" w:styleId="21">
    <w:name w:val="EndNote Bibliography Title"/>
    <w:basedOn w:val="1"/>
    <w:link w:val="23"/>
    <w:autoRedefine/>
    <w:qFormat/>
    <w:uiPriority w:val="0"/>
    <w:pPr>
      <w:jc w:val="center"/>
    </w:pPr>
    <w:rPr>
      <w:rFonts w:ascii="等线" w:hAnsi="等线" w:eastAsia="等线"/>
      <w:sz w:val="20"/>
    </w:rPr>
  </w:style>
  <w:style w:type="character" w:customStyle="1" w:styleId="22">
    <w:name w:val="列出段落 Char"/>
    <w:basedOn w:val="13"/>
    <w:link w:val="18"/>
    <w:autoRedefine/>
    <w:qFormat/>
    <w:uiPriority w:val="34"/>
  </w:style>
  <w:style w:type="character" w:customStyle="1" w:styleId="23">
    <w:name w:val="EndNote Bibliography Title 字符"/>
    <w:basedOn w:val="22"/>
    <w:link w:val="21"/>
    <w:autoRedefine/>
    <w:qFormat/>
    <w:uiPriority w:val="0"/>
    <w:rPr>
      <w:rFonts w:ascii="等线" w:hAnsi="等线" w:eastAsia="等线"/>
      <w:sz w:val="20"/>
    </w:rPr>
  </w:style>
  <w:style w:type="paragraph" w:customStyle="1" w:styleId="24">
    <w:name w:val="EndNote Bibliography"/>
    <w:basedOn w:val="1"/>
    <w:link w:val="25"/>
    <w:autoRedefine/>
    <w:qFormat/>
    <w:uiPriority w:val="0"/>
    <w:rPr>
      <w:rFonts w:ascii="等线" w:hAnsi="等线" w:eastAsia="等线"/>
      <w:sz w:val="20"/>
    </w:rPr>
  </w:style>
  <w:style w:type="character" w:customStyle="1" w:styleId="25">
    <w:name w:val="EndNote Bibliography 字符"/>
    <w:basedOn w:val="22"/>
    <w:link w:val="24"/>
    <w:autoRedefine/>
    <w:qFormat/>
    <w:uiPriority w:val="0"/>
    <w:rPr>
      <w:rFonts w:ascii="等线" w:hAnsi="等线" w:eastAsia="等线"/>
      <w:sz w:val="20"/>
    </w:rPr>
  </w:style>
  <w:style w:type="character" w:customStyle="1" w:styleId="26">
    <w:name w:val="未处理的提及1"/>
    <w:basedOn w:val="13"/>
    <w:autoRedefine/>
    <w:unhideWhenUsed/>
    <w:qFormat/>
    <w:uiPriority w:val="99"/>
    <w:rPr>
      <w:color w:val="605E5C"/>
      <w:shd w:val="clear" w:color="auto" w:fill="E1DFDD"/>
    </w:rPr>
  </w:style>
  <w:style w:type="character" w:customStyle="1" w:styleId="27">
    <w:name w:val="批注文字 字符"/>
    <w:basedOn w:val="13"/>
    <w:link w:val="3"/>
    <w:autoRedefine/>
    <w:semiHidden/>
    <w:qFormat/>
    <w:uiPriority w:val="99"/>
  </w:style>
  <w:style w:type="character" w:customStyle="1" w:styleId="28">
    <w:name w:val="批注主题 字符"/>
    <w:basedOn w:val="27"/>
    <w:link w:val="10"/>
    <w:autoRedefine/>
    <w:semiHidden/>
    <w:qFormat/>
    <w:uiPriority w:val="99"/>
    <w:rPr>
      <w:b/>
      <w:bCs/>
    </w:rPr>
  </w:style>
  <w:style w:type="character" w:customStyle="1" w:styleId="29">
    <w:name w:val="批注框文本 字符"/>
    <w:basedOn w:val="13"/>
    <w:link w:val="4"/>
    <w:autoRedefine/>
    <w:semiHidden/>
    <w:qFormat/>
    <w:uiPriority w:val="99"/>
    <w:rPr>
      <w:sz w:val="18"/>
      <w:szCs w:val="18"/>
    </w:rPr>
  </w:style>
  <w:style w:type="paragraph" w:customStyle="1" w:styleId="30">
    <w:name w:val="修订1"/>
    <w:autoRedefine/>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HTML 预设格式 字符"/>
    <w:basedOn w:val="13"/>
    <w:link w:val="8"/>
    <w:autoRedefine/>
    <w:semiHidden/>
    <w:qFormat/>
    <w:uiPriority w:val="99"/>
    <w:rPr>
      <w:rFonts w:ascii="宋体" w:hAnsi="宋体" w:eastAsia="宋体" w:cs="宋体"/>
      <w:kern w:val="0"/>
      <w:sz w:val="24"/>
      <w:szCs w:val="24"/>
    </w:rPr>
  </w:style>
  <w:style w:type="character" w:customStyle="1" w:styleId="32">
    <w:name w:val="y2iqfc"/>
    <w:basedOn w:val="13"/>
    <w:autoRedefine/>
    <w:qFormat/>
    <w:uiPriority w:val="0"/>
  </w:style>
  <w:style w:type="character" w:customStyle="1" w:styleId="33">
    <w:name w:val="inner-text-paragraph-org"/>
    <w:basedOn w:val="13"/>
    <w:autoRedefine/>
    <w:qFormat/>
    <w:uiPriority w:val="0"/>
  </w:style>
  <w:style w:type="character" w:customStyle="1" w:styleId="34">
    <w:name w:val="未处理的提及2"/>
    <w:basedOn w:val="13"/>
    <w:autoRedefine/>
    <w:unhideWhenUsed/>
    <w:qFormat/>
    <w:uiPriority w:val="99"/>
    <w:rPr>
      <w:color w:val="605E5C"/>
      <w:shd w:val="clear" w:color="auto" w:fill="E1DFDD"/>
    </w:rPr>
  </w:style>
  <w:style w:type="character" w:customStyle="1" w:styleId="35">
    <w:name w:val="列表段落 字符1"/>
    <w:basedOn w:val="13"/>
    <w:autoRedefine/>
    <w:qFormat/>
    <w:uiPriority w:val="34"/>
  </w:style>
  <w:style w:type="paragraph" w:customStyle="1" w:styleId="36">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37">
    <w:name w:val="Heading #2|1"/>
    <w:basedOn w:val="1"/>
    <w:autoRedefine/>
    <w:qFormat/>
    <w:uiPriority w:val="0"/>
    <w:pPr>
      <w:spacing w:after="400"/>
      <w:ind w:hanging="780"/>
      <w:jc w:val="left"/>
      <w:outlineLvl w:val="1"/>
    </w:pPr>
    <w:rPr>
      <w:rFonts w:ascii="宋体" w:hAnsi="宋体" w:eastAsia="宋体" w:cs="宋体"/>
      <w:kern w:val="0"/>
      <w:sz w:val="40"/>
      <w:szCs w:val="40"/>
      <w:lang w:val="zh-TW" w:eastAsia="zh-TW" w:bidi="zh-TW"/>
    </w:rPr>
  </w:style>
  <w:style w:type="paragraph" w:customStyle="1" w:styleId="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39">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0">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41">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42">
    <w:name w:val="发布部门"/>
    <w:next w:val="43"/>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tabs>
        <w:tab w:val="center" w:pos="4768"/>
      </w:tabs>
      <w:jc w:val="center"/>
      <w:pPrChange w:id="0" w:author="腾 王" w:date="2026-04-02T20:44:00Z">
        <w:pPr>
          <w:framePr w:w="7938" w:h="1134" w:hRule="exact" w:hSpace="125" w:vSpace="181" w:wrap="around" w:vAnchor="page" w:hAnchor="page" w:x="2150" w:y="14630" w:anchorLock="1"/>
          <w:jc w:val="center"/>
        </w:pPr>
      </w:pPrChange>
    </w:pPr>
    <w:rPr>
      <w:rFonts w:ascii="黑体" w:hAnsi="黑体" w:eastAsia="黑体" w:cs="黑体"/>
      <w:bCs/>
      <w:spacing w:val="20"/>
      <w:sz w:val="28"/>
      <w:szCs w:val="28"/>
      <w:lang w:val="en-US" w:eastAsia="zh-CN" w:bidi="ar-SA"/>
      <w:rPrChange w:id="1" w:author="腾 王" w:date="2026-04-02T20:44:00Z">
        <w:rPr>
          <w:rFonts w:ascii="宋体" w:eastAsia="宋体"/>
          <w:b/>
          <w:spacing w:val="20"/>
          <w:w w:val="135"/>
          <w:sz w:val="28"/>
          <w:lang w:val="en-US" w:eastAsia="zh-CN" w:bidi="ar-SA"/>
        </w:rPr>
      </w:rPrChange>
    </w:rPr>
  </w:style>
  <w:style w:type="paragraph" w:customStyle="1" w:styleId="43">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44">
    <w:name w:val="其他发布日期"/>
    <w:basedOn w:val="45"/>
    <w:autoRedefine/>
    <w:qFormat/>
    <w:uiPriority w:val="0"/>
    <w:pPr>
      <w:framePr w:w="9331" w:wrap="around" w:vAnchor="page" w:x="1491" w:y="15121"/>
      <w:jc w:val="center"/>
      <w:pPrChange w:id="2" w:author="腾 王" w:date="2026-04-02T20:45:00Z">
        <w:pPr>
          <w:framePr w:w="3997" w:h="471" w:hRule="exact" w:vSpace="181" w:wrap="around" w:vAnchor="page" w:hAnchor="text" w:x="1419" w:y="14097" w:anchorLock="1"/>
        </w:pPr>
      </w:pPrChange>
    </w:pPr>
    <w:rPr>
      <w:rPrChange w:id="3" w:author="腾 王" w:date="2026-04-02T20:45:00Z">
        <w:rPr>
          <w:rFonts w:eastAsia="黑体"/>
          <w:sz w:val="28"/>
          <w:lang w:val="en-US" w:eastAsia="zh-CN" w:bidi="ar-SA"/>
        </w:rPr>
      </w:rPrChange>
    </w:rPr>
  </w:style>
  <w:style w:type="paragraph" w:customStyle="1" w:styleId="45">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46">
    <w:name w:val="样式1"/>
    <w:basedOn w:val="1"/>
    <w:next w:val="7"/>
    <w:autoRedefine/>
    <w:qFormat/>
    <w:uiPriority w:val="0"/>
  </w:style>
  <w:style w:type="paragraph" w:customStyle="1" w:styleId="47">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paragraph" w:customStyle="1" w:styleId="48">
    <w:name w:val="Revision"/>
    <w:hidden/>
    <w:unhideWhenUsed/>
    <w:uiPriority w:val="99"/>
    <w:rPr>
      <w:rFonts w:asciiTheme="minorHAnsi" w:hAnsiTheme="minorHAnsi" w:eastAsiaTheme="minorEastAsia" w:cstheme="minorBidi"/>
      <w:kern w:val="2"/>
      <w:sz w:val="21"/>
      <w:szCs w:val="22"/>
      <w:lang w:val="en-US" w:eastAsia="zh-CN" w:bidi="ar-SA"/>
    </w:rPr>
  </w:style>
  <w:style w:type="character" w:customStyle="1" w:styleId="49">
    <w:name w:val="标题 1 字符"/>
    <w:basedOn w:val="13"/>
    <w:link w:val="2"/>
    <w:qFormat/>
    <w:uiPriority w:val="9"/>
    <w:rPr>
      <w:rFonts w:asciiTheme="minorHAnsi" w:hAnsiTheme="minorHAnsi" w:eastAsiaTheme="minorEastAsia" w:cstheme="minorBidi"/>
      <w:b/>
      <w:bCs/>
      <w:kern w:val="44"/>
      <w:sz w:val="44"/>
      <w:szCs w:val="44"/>
    </w:rPr>
  </w:style>
  <w:style w:type="paragraph" w:customStyle="1" w:styleId="50">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header" Target="header4.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3DF1E9-F584-4FE3-BB22-4F59C532533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11</Pages>
  <Words>2229</Words>
  <Characters>2725</Characters>
  <Lines>56</Lines>
  <Paragraphs>15</Paragraphs>
  <TotalTime>76</TotalTime>
  <ScaleCrop>false</ScaleCrop>
  <LinksUpToDate>false</LinksUpToDate>
  <CharactersWithSpaces>2904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2022-01-21T16:44:00Z</dcterms:created>
  <dc:creator>Family</dc:creator>
  <cp:lastModifiedBy>J</cp:lastModifiedBy>
  <cp:lastPrinted>2021-11-01T11:40:00Z</cp:lastPrinted>
  <dcterms:modified xsi:type="dcterms:W3CDTF">2026-04-24T03:52:07Z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6EDB3107261BA9FDB2F3B8681D3F7640_43</vt:lpwstr>
  </property>
  <property fmtid="{D5CDD505-2E9C-101B-9397-08002B2CF9AE}" pid="4" name="KSOTemplateDocerSaveRecord">
    <vt:lpwstr>eyJoZGlkIjoiMTFmMDJjZGU0YzYzNjgxMjg1NzBlNDNlZWZkY2IyNjMiLCJ1c2VySWQiOiIxMzc2MzQzNjk3In0=</vt:lpwstr>
  </property>
</Properties>
</file>