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6B912">
      <w:pPr>
        <w:pStyle w:val="36"/>
        <w:framePr w:wrap="around" w:vAnchor="page" w:hAnchor="page" w:x="1821" w:y="739"/>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3D96D456">
      <w:pPr>
        <w:pStyle w:val="36"/>
        <w:framePr w:wrap="around" w:vAnchor="page" w:hAnchor="page" w:x="1821" w:y="739"/>
        <w:rPr>
          <w:rFonts w:ascii="Times New Roman"/>
          <w:b/>
          <w:bCs/>
        </w:rPr>
      </w:pPr>
      <w:r>
        <w:rPr>
          <w:rFonts w:hint="eastAsia" w:ascii="Times New Roman"/>
          <w:b/>
          <w:bCs/>
        </w:rPr>
        <w:t>CCS C 05</w:t>
      </w:r>
    </w:p>
    <w:p w14:paraId="5E5CB730">
      <w:pPr>
        <w:pStyle w:val="40"/>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12"/>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02910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25ECA560">
            <w:pPr>
              <w:pStyle w:val="38"/>
              <w:framePr w:wrap="around" w:x="1382" w:y="3031"/>
              <w:rPr>
                <w:lang w:val="fr-FR"/>
              </w:rPr>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lang w:val="fr-FR"/>
              </w:rPr>
              <w:t>RHA</w:t>
            </w:r>
            <w:bookmarkEnd w:id="0"/>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11CB0E40">
      <w:pPr>
        <w:pStyle w:val="38"/>
        <w:framePr w:wrap="around" w:x="1382" w:y="3031"/>
        <w:jc w:val="center"/>
        <w:rPr>
          <w:lang w:val="fr-FR"/>
        </w:rPr>
      </w:pPr>
      <w:r>
        <w:rPr>
          <w:rFonts w:hint="eastAsia"/>
          <w:lang w:val="fr-FR"/>
        </w:rPr>
        <w:t>————————————————————————————————————————</w:t>
      </w:r>
    </w:p>
    <w:p w14:paraId="35EE5723">
      <w:pPr>
        <w:pStyle w:val="38"/>
        <w:framePr w:wrap="around" w:x="1382" w:y="3031"/>
        <w:rPr>
          <w:lang w:val="fr-FR"/>
        </w:rPr>
      </w:pPr>
    </w:p>
    <w:p w14:paraId="586B5734">
      <w:pPr>
        <w:pStyle w:val="37"/>
        <w:framePr w:h="4868" w:hRule="exact" w:wrap="around"/>
        <w:outlineLvl w:val="9"/>
        <w:rPr>
          <w:rFonts w:hint="eastAsia"/>
          <w:sz w:val="52"/>
          <w:szCs w:val="52"/>
        </w:rPr>
      </w:pPr>
      <w:bookmarkStart w:id="1" w:name="StdEnglishName"/>
      <w:r>
        <w:rPr>
          <w:rFonts w:hint="eastAsia"/>
          <w:sz w:val="52"/>
          <w:szCs w:val="52"/>
        </w:rPr>
        <w:t>非心脏手术围术期老年综合评估标准与规范</w:t>
      </w:r>
    </w:p>
    <w:p w14:paraId="28FD51B7">
      <w:pPr>
        <w:pStyle w:val="37"/>
        <w:framePr w:h="4868" w:hRule="exact" w:wrap="around"/>
        <w:outlineLvl w:val="9"/>
        <w:rPr>
          <w:rFonts w:ascii="Times New Roman" w:hAnsi="Times New Roman" w:cs="Times New Roman"/>
          <w:b w:val="0"/>
          <w:bCs w:val="0"/>
          <w:sz w:val="28"/>
          <w:szCs w:val="28"/>
        </w:rPr>
      </w:pPr>
      <w:bookmarkStart w:id="2" w:name="OLE_LINK11"/>
      <w:r>
        <w:rPr>
          <w:rFonts w:ascii="Times New Roman" w:hAnsi="Times New Roman" w:cs="Times New Roman"/>
          <w:b w:val="0"/>
          <w:bCs w:val="0"/>
          <w:sz w:val="28"/>
          <w:szCs w:val="28"/>
        </w:rPr>
        <w:t>Geriatric comprehensive assessment standards and specifications of perioperative elderly patients undergoing non cardiac surgery</w:t>
      </w:r>
    </w:p>
    <w:bookmarkEnd w:id="2"/>
    <w:p w14:paraId="19349B92">
      <w:pPr>
        <w:pStyle w:val="37"/>
        <w:framePr w:h="4868" w:hRule="exact" w:wrap="around"/>
        <w:outlineLvl w:val="9"/>
        <w:rPr>
          <w:rFonts w:ascii="Times New Roman" w:hAnsi="Times New Roman" w:cs="Times New Roman"/>
          <w:b w:val="0"/>
          <w:bCs w:val="0"/>
          <w:sz w:val="28"/>
          <w:szCs w:val="28"/>
        </w:rPr>
      </w:pPr>
      <w:r>
        <w:rPr>
          <w:rFonts w:hint="eastAsia" w:ascii="Times New Roman" w:hAnsi="Times New Roman" w:cs="Times New Roman"/>
          <w:b w:val="0"/>
          <w:bCs w:val="0"/>
          <w:sz w:val="28"/>
          <w:szCs w:val="28"/>
        </w:rPr>
        <w:t>（</w:t>
      </w:r>
      <w:r>
        <w:rPr>
          <w:rFonts w:hint="eastAsia" w:ascii="Times New Roman" w:hAnsi="Times New Roman" w:cs="Times New Roman"/>
          <w:b w:val="0"/>
          <w:bCs w:val="0"/>
          <w:sz w:val="28"/>
          <w:szCs w:val="28"/>
        </w:rPr>
        <w:t>征求意见</w:t>
      </w:r>
      <w:r>
        <w:rPr>
          <w:rFonts w:hint="eastAsia" w:ascii="Times New Roman" w:hAnsi="Times New Roman" w:cs="Times New Roman"/>
          <w:b w:val="0"/>
          <w:bCs w:val="0"/>
          <w:sz w:val="28"/>
          <w:szCs w:val="28"/>
        </w:rPr>
        <w:t>稿）</w:t>
      </w:r>
    </w:p>
    <w:p w14:paraId="1240EB76">
      <w:pPr>
        <w:pStyle w:val="44"/>
        <w:framePr w:w="9331" w:wrap="around" w:hAnchor="page" w:x="1341" w:y="15101"/>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p w14:paraId="5F95C2EA">
      <w:pPr>
        <w:pStyle w:val="42"/>
        <w:framePr w:wrap="around" w:x="1296" w:y="15561"/>
        <w:rPr>
          <w:rFonts w:hint="eastAsia"/>
          <w:b/>
          <w:sz w:val="28"/>
          <w:szCs w:val="28"/>
        </w:rPr>
      </w:pPr>
      <w:r>
        <w:rPr>
          <w:rFonts w:hint="eastAsia"/>
          <w:sz w:val="28"/>
          <w:szCs w:val="28"/>
        </w:rPr>
        <w:t>中国研究型医院学会 发布</w:t>
      </w:r>
      <w:bookmarkEnd w:id="1"/>
    </w:p>
    <w:p w14:paraId="0F637BEE">
      <w:pPr>
        <w:rPr>
          <w:rFonts w:hint="eastAsia" w:eastAsia="宋体"/>
        </w:rPr>
      </w:pPr>
      <w:r>
        <w:rPr>
          <w:rFonts w:hint="eastAsia" w:eastAsia="宋体"/>
        </w:rPr>
        <w:drawing>
          <wp:anchor distT="0" distB="0" distL="114300" distR="114300" simplePos="0" relativeHeight="251665408" behindDoc="0" locked="0" layoutInCell="1" allowOverlap="1">
            <wp:simplePos x="0" y="0"/>
            <wp:positionH relativeFrom="column">
              <wp:posOffset>4546600</wp:posOffset>
            </wp:positionH>
            <wp:positionV relativeFrom="paragraph">
              <wp:posOffset>-485140</wp:posOffset>
            </wp:positionV>
            <wp:extent cx="1076325" cy="1040130"/>
            <wp:effectExtent l="0" t="0" r="5715" b="1143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18"/>
                    <a:stretch>
                      <a:fillRect/>
                    </a:stretch>
                  </pic:blipFill>
                  <pic:spPr>
                    <a:xfrm>
                      <a:off x="0" y="0"/>
                      <a:ext cx="1076325" cy="1040130"/>
                    </a:xfrm>
                    <a:prstGeom prst="rect">
                      <a:avLst/>
                    </a:prstGeom>
                  </pic:spPr>
                </pic:pic>
              </a:graphicData>
            </a:graphic>
          </wp:anchor>
        </w:drawing>
      </w:r>
    </w:p>
    <w:p w14:paraId="769602AB">
      <w:pPr>
        <w:spacing w:line="360" w:lineRule="auto"/>
        <w:jc w:val="center"/>
        <w:rPr>
          <w:rFonts w:hint="eastAsia" w:ascii="宋体" w:hAnsi="宋体" w:eastAsia="宋体" w:cs="Times New Roman"/>
          <w:bCs/>
          <w:sz w:val="24"/>
          <w:szCs w:val="24"/>
        </w:rPr>
      </w:pPr>
    </w:p>
    <w:p w14:paraId="73F15693">
      <w:pPr>
        <w:widowControl/>
        <w:spacing w:line="360" w:lineRule="auto"/>
        <w:jc w:val="center"/>
        <w:rPr>
          <w:rFonts w:hint="eastAsia" w:ascii="黑体" w:hAnsi="黑体" w:eastAsia="黑体" w:cs="黑体"/>
          <w:sz w:val="32"/>
          <w:szCs w:val="32"/>
        </w:rPr>
        <w:sectPr>
          <w:footerReference r:id="rId6" w:type="first"/>
          <w:headerReference r:id="rId3" w:type="default"/>
          <w:footerReference r:id="rId5" w:type="default"/>
          <w:headerReference r:id="rId4" w:type="even"/>
          <w:pgSz w:w="11906" w:h="16838"/>
          <w:pgMar w:top="1100" w:right="1800" w:bottom="1100" w:left="1800" w:header="851" w:footer="992" w:gutter="0"/>
          <w:pgNumType w:fmt="upperRoman" w:start="0"/>
          <w:cols w:space="425" w:num="1"/>
          <w:docGrid w:type="lines" w:linePitch="312" w:charSpace="0"/>
        </w:sectPr>
      </w:pPr>
    </w:p>
    <w:p w14:paraId="0732F075">
      <w:pPr>
        <w:widowControl/>
        <w:spacing w:before="312" w:beforeLines="100" w:after="312" w:afterLines="100" w:line="240" w:lineRule="auto"/>
        <w:jc w:val="center"/>
        <w:rPr>
          <w:rFonts w:hint="eastAsia" w:ascii="黑体" w:hAnsi="黑体" w:eastAsia="黑体" w:cs="黑体"/>
          <w:sz w:val="32"/>
          <w:szCs w:val="32"/>
        </w:rPr>
      </w:pPr>
      <w:r>
        <w:rPr>
          <w:rFonts w:hint="eastAsia" w:ascii="黑体" w:hAnsi="黑体" w:eastAsia="黑体" w:cs="黑体"/>
          <w:sz w:val="32"/>
          <w:szCs w:val="32"/>
        </w:rPr>
        <w:t>目  次</w:t>
      </w:r>
    </w:p>
    <w:sdt>
      <w:sdtPr>
        <w:rPr>
          <w:lang w:val="zh-CN"/>
        </w:rPr>
        <w:id w:val="-534423875"/>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14:paraId="2F9A5642">
          <w:pPr>
            <w:pStyle w:val="51"/>
            <w:rPr>
              <w:rFonts w:hint="eastAsia"/>
              <w:sz w:val="21"/>
              <w:szCs w:val="21"/>
            </w:rPr>
          </w:pPr>
        </w:p>
        <w:p w14:paraId="002EA2B8">
          <w:pPr>
            <w:pStyle w:val="8"/>
            <w:tabs>
              <w:tab w:val="right" w:leader="dot" w:pos="8296"/>
            </w:tabs>
            <w:rPr>
              <w:rFonts w:hint="default" w:ascii="Times New Roman" w:hAnsi="Times New Roman" w:eastAsia="宋体" w:cs="Times New Roman"/>
              <w:sz w:val="22"/>
              <w:szCs w:val="24"/>
              <w14:ligatures w14:val="standardContextual"/>
            </w:rPr>
          </w:pPr>
          <w:r>
            <w:rPr>
              <w:rFonts w:ascii="Times New Roman" w:hAnsi="Times New Roman" w:eastAsia="宋体" w:cs="Times New Roman"/>
            </w:rPr>
            <w:fldChar w:fldCharType="begin"/>
          </w:r>
          <w:r>
            <w:rPr>
              <w:rFonts w:ascii="Times New Roman" w:hAnsi="Times New Roman" w:eastAsia="宋体" w:cs="Times New Roman"/>
            </w:rPr>
            <w:instrText xml:space="preserve"> TOC \o "1-3" \h \z \u </w:instrText>
          </w:r>
          <w:r>
            <w:rPr>
              <w:rFonts w:hint="default" w:ascii="Times New Roman" w:hAnsi="Times New Roman" w:eastAsia="宋体" w:cs="Times New Roman"/>
            </w:rPr>
            <w:fldChar w:fldCharType="separate"/>
          </w: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"_Toc226880795"</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rPr>
            <w:t>前言</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_Toc226880795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II</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82512C3">
          <w:pPr>
            <w:pStyle w:val="8"/>
            <w:tabs>
              <w:tab w:val="left" w:pos="3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"_Toc226880796"</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1</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范围</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_Toc226880796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14D72DE">
          <w:pPr>
            <w:pStyle w:val="8"/>
            <w:tabs>
              <w:tab w:val="left" w:pos="3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"_Toc226880797"</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2</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规范性引用文件</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_Toc226880797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733CA769">
          <w:pPr>
            <w:pStyle w:val="8"/>
            <w:tabs>
              <w:tab w:val="left" w:pos="3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"_Toc226880798"</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3</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术语和定义</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_Toc226880798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78EF67B8">
          <w:pPr>
            <w:pStyle w:val="8"/>
            <w:tabs>
              <w:tab w:val="left" w:pos="3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"_Toc226880799"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4</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缩略语</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_Toc226880799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36AF25C">
          <w:pPr>
            <w:pStyle w:val="8"/>
            <w:tabs>
              <w:tab w:val="left" w:pos="335"/>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"_Toc226880800"</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5</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评估内容</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_Toc226880800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8E07849">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"_Toc226880801"</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参考文献</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_Toc226880801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hint="default" w:ascii="Times New Roman" w:hAnsi="Times New Roman" w:eastAsia="宋体" w:cs="Times New Roman"/>
            </w:rPr>
            <w:t>19</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EEBE44A">
          <w:pPr>
            <w:rPr>
              <w:rFonts w:hint="eastAsia"/>
            </w:rPr>
          </w:pPr>
          <w:r>
            <w:rPr>
              <w:rFonts w:ascii="Times New Roman" w:hAnsi="Times New Roman" w:eastAsia="宋体" w:cs="Times New Roman"/>
              <w:b/>
              <w:bCs/>
              <w:lang w:val="zh-CN"/>
            </w:rPr>
            <w:fldChar w:fldCharType="end"/>
          </w:r>
        </w:p>
      </w:sdtContent>
    </w:sdt>
    <w:p w14:paraId="1CF05DB5">
      <w:pPr>
        <w:pStyle w:val="8"/>
        <w:jc w:val="center"/>
        <w:rPr>
          <w:rFonts w:hint="eastAsia" w:ascii="黑体" w:hAnsi="黑体" w:eastAsia="黑体" w:cs="黑体"/>
          <w:sz w:val="32"/>
          <w:szCs w:val="32"/>
        </w:rPr>
        <w:sectPr>
          <w:headerReference r:id="rId7" w:type="first"/>
          <w:footerReference r:id="rId10" w:type="first"/>
          <w:footerReference r:id="rId8" w:type="default"/>
          <w:footerReference r:id="rId9" w:type="even"/>
          <w:pgSz w:w="11906" w:h="16838"/>
          <w:pgMar w:top="1440" w:right="1800" w:bottom="1440" w:left="1800" w:header="851" w:footer="992" w:gutter="0"/>
          <w:pgNumType w:fmt="upperRoman" w:start="1"/>
          <w:cols w:space="425" w:num="1"/>
          <w:titlePg/>
          <w:docGrid w:type="lines" w:linePitch="312" w:charSpace="0"/>
        </w:sectPr>
      </w:pPr>
    </w:p>
    <w:p w14:paraId="4C47BAF3">
      <w:pPr>
        <w:pStyle w:val="8"/>
        <w:spacing w:before="312" w:beforeLines="100" w:after="312" w:afterLines="100"/>
        <w:jc w:val="center"/>
        <w:outlineLvl w:val="0"/>
        <w:rPr>
          <w:rFonts w:hint="eastAsia" w:ascii="黑体" w:hAnsi="黑体" w:eastAsia="黑体" w:cs="黑体"/>
          <w:sz w:val="32"/>
          <w:szCs w:val="32"/>
        </w:rPr>
      </w:pPr>
      <w:bookmarkStart w:id="3" w:name="_Toc226880795"/>
      <w:r>
        <w:rPr>
          <w:rFonts w:hint="eastAsia" w:ascii="黑体" w:hAnsi="黑体" w:eastAsia="黑体" w:cs="黑体"/>
          <w:sz w:val="32"/>
          <w:szCs w:val="32"/>
        </w:rPr>
        <w:t>前  言</w:t>
      </w:r>
      <w:bookmarkEnd w:id="3"/>
    </w:p>
    <w:p w14:paraId="6C305D5E">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本文件按照GB/T 1.1</w:t>
      </w:r>
      <w:r>
        <w:rPr>
          <w:rFonts w:hint="eastAsia" w:ascii="Times New Roman" w:hAnsi="Times New Roman" w:eastAsia="宋体" w:cs="Times New Roman"/>
          <w:szCs w:val="21"/>
        </w:rPr>
        <w:t>-</w:t>
      </w:r>
      <w:r>
        <w:rPr>
          <w:rFonts w:hint="eastAsia" w:ascii="Times New Roman" w:hAnsi="Times New Roman" w:eastAsia="宋体" w:cs="Times New Roman"/>
          <w:szCs w:val="21"/>
        </w:rPr>
        <w:t>2020</w:t>
      </w:r>
      <w:r>
        <w:rPr>
          <w:rFonts w:hint="eastAsia" w:ascii="Times New Roman" w:hAnsi="Times New Roman" w:eastAsia="宋体" w:cs="Times New Roman"/>
          <w:szCs w:val="21"/>
        </w:rPr>
        <w:t xml:space="preserve"> </w:t>
      </w:r>
      <w:r>
        <w:rPr>
          <w:rFonts w:hint="eastAsia" w:ascii="Times New Roman" w:hAnsi="Times New Roman" w:eastAsia="宋体" w:cs="Times New Roman"/>
          <w:szCs w:val="21"/>
        </w:rPr>
        <w:t>《标准化工作导则 第1部分：标准化文件的结构和起草规则》的规定起草。</w:t>
      </w:r>
    </w:p>
    <w:p w14:paraId="167AD3F7">
      <w:pPr>
        <w:pStyle w:val="47"/>
        <w:spacing w:line="240" w:lineRule="auto"/>
        <w:rPr>
          <w:rFonts w:hint="eastAsia" w:ascii="Times New Roman" w:hAnsi="Times New Roman"/>
        </w:rPr>
      </w:pPr>
      <w:r>
        <w:rPr>
          <w:rFonts w:hint="eastAsia"/>
        </w:rPr>
        <w:t>请注意本文件的某些内容可能涉及专利。本文件的发布机构不承担识别专利的责任。</w:t>
      </w:r>
    </w:p>
    <w:p w14:paraId="0122651B">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本文件由中国研究型医院</w:t>
      </w:r>
      <w:r>
        <w:rPr>
          <w:rFonts w:hint="eastAsia" w:ascii="Times New Roman" w:hAnsi="Times New Roman" w:eastAsia="宋体" w:cs="Times New Roman"/>
          <w:kern w:val="0"/>
          <w:szCs w:val="21"/>
        </w:rPr>
        <w:t>学会医疗质量管理与评价专业委员会提出</w:t>
      </w:r>
      <w:r>
        <w:rPr>
          <w:rFonts w:hint="eastAsia" w:ascii="Times New Roman" w:hAnsi="Times New Roman" w:eastAsia="宋体" w:cs="Times New Roman"/>
          <w:szCs w:val="21"/>
        </w:rPr>
        <w:t>。</w:t>
      </w:r>
    </w:p>
    <w:p w14:paraId="1F8D5D08">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本文件由中国研究型医院学会归口。</w:t>
      </w:r>
    </w:p>
    <w:p w14:paraId="5C52A1C2">
      <w:pPr>
        <w:ind w:firstLine="420" w:firstLineChars="200"/>
        <w:rPr>
          <w:rFonts w:hint="eastAsia" w:ascii="Times New Roman" w:hAnsi="Times New Roman" w:eastAsia="宋体" w:cs="Times New Roman"/>
          <w:szCs w:val="21"/>
          <w:lang w:eastAsia="zh-CN"/>
        </w:rPr>
      </w:pPr>
      <w:r>
        <w:rPr>
          <w:rFonts w:hint="eastAsia" w:ascii="Times New Roman" w:hAnsi="Times New Roman" w:eastAsia="宋体" w:cs="Times New Roman"/>
          <w:szCs w:val="21"/>
        </w:rPr>
        <w:t>本文件起草单位：</w:t>
      </w:r>
      <w:r>
        <w:rPr>
          <w:rFonts w:hint="eastAsia" w:ascii="Times New Roman" w:hAnsi="Times New Roman" w:eastAsia="宋体" w:cs="Times New Roman"/>
          <w:szCs w:val="21"/>
          <w:lang w:eastAsia="zh-CN"/>
        </w:rPr>
        <w:t>。</w:t>
      </w:r>
    </w:p>
    <w:p w14:paraId="068E58CC">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本文件主要起草人：。</w:t>
      </w:r>
    </w:p>
    <w:p w14:paraId="1DF12D11">
      <w:pPr>
        <w:ind w:firstLine="420" w:firstLineChars="200"/>
        <w:rPr>
          <w:rFonts w:hint="eastAsia" w:ascii="宋体" w:hAnsi="宋体" w:eastAsia="宋体" w:cs="Times New Roman"/>
          <w:szCs w:val="21"/>
        </w:rPr>
        <w:sectPr>
          <w:footerReference r:id="rId13" w:type="first"/>
          <w:footerReference r:id="rId11" w:type="default"/>
          <w:footerReference r:id="rId12" w:type="even"/>
          <w:pgSz w:w="11906" w:h="16838"/>
          <w:pgMar w:top="1440" w:right="1800" w:bottom="1440" w:left="1800" w:header="851" w:footer="992" w:gutter="0"/>
          <w:pgNumType w:fmt="upperRoman"/>
          <w:cols w:space="425" w:num="1"/>
          <w:docGrid w:type="lines" w:linePitch="312" w:charSpace="0"/>
        </w:sectPr>
      </w:pPr>
      <w:r>
        <w:rPr>
          <w:rFonts w:hint="eastAsia" w:ascii="宋体" w:hAnsi="宋体" w:eastAsia="宋体" w:cs="Times New Roman"/>
          <w:szCs w:val="21"/>
        </w:rPr>
        <w:br w:type="page"/>
      </w:r>
      <w:bookmarkStart w:id="21" w:name="_GoBack"/>
      <w:bookmarkEnd w:id="21"/>
    </w:p>
    <w:p w14:paraId="485AA1AE">
      <w:pPr>
        <w:spacing w:before="0" w:beforeLines="-2147483648" w:after="0" w:afterLines="-2147483648"/>
        <w:jc w:val="center"/>
        <w:rPr>
          <w:rFonts w:hint="eastAsia" w:ascii="黑体" w:hAnsi="黑体" w:eastAsia="黑体" w:cs="黑体"/>
          <w:sz w:val="28"/>
          <w:szCs w:val="28"/>
        </w:rPr>
      </w:pPr>
      <w:r>
        <w:rPr>
          <w:rFonts w:hint="eastAsia" w:ascii="黑体" w:hAnsi="黑体" w:eastAsia="黑体" w:cs="黑体"/>
          <w:sz w:val="32"/>
          <w:szCs w:val="32"/>
        </w:rPr>
        <w:t>非心脏手术围术期老年综合评估标准与规范</w:t>
      </w:r>
    </w:p>
    <w:p w14:paraId="57F970C1">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4" w:name="_Toc226880796"/>
      <w:r>
        <w:rPr>
          <w:rFonts w:hint="eastAsia" w:ascii="黑体" w:hAnsi="黑体" w:eastAsia="黑体" w:cs="黑体"/>
          <w:bCs/>
          <w:szCs w:val="21"/>
        </w:rPr>
        <w:t>范围</w:t>
      </w:r>
      <w:bookmarkEnd w:id="4"/>
    </w:p>
    <w:p w14:paraId="17678ADC">
      <w:pPr>
        <w:ind w:firstLine="420" w:firstLineChars="200"/>
        <w:jc w:val="both"/>
        <w:rPr>
          <w:rFonts w:hint="eastAsia" w:ascii="宋体" w:hAnsi="宋体" w:eastAsia="宋体" w:cs="宋体"/>
          <w:szCs w:val="21"/>
        </w:rPr>
      </w:pPr>
      <w:r>
        <w:rPr>
          <w:rFonts w:hint="eastAsia" w:ascii="宋体" w:hAnsi="宋体" w:eastAsia="宋体" w:cs="宋体"/>
          <w:szCs w:val="21"/>
        </w:rPr>
        <w:t>本文件规定了非心脏手术围术期老年综合评估的评估对象、评估指标、评估路径及基本要求。</w:t>
      </w:r>
    </w:p>
    <w:p w14:paraId="7A46DF3A">
      <w:pPr>
        <w:ind w:firstLine="420" w:firstLineChars="200"/>
        <w:jc w:val="both"/>
        <w:rPr>
          <w:rFonts w:hint="eastAsia" w:ascii="宋体" w:hAnsi="宋体" w:eastAsia="宋体" w:cs="宋体"/>
          <w:szCs w:val="21"/>
        </w:rPr>
      </w:pPr>
      <w:r>
        <w:rPr>
          <w:rFonts w:hint="eastAsia" w:ascii="宋体" w:hAnsi="宋体" w:eastAsia="宋体" w:cs="宋体"/>
          <w:szCs w:val="21"/>
        </w:rPr>
        <w:t>本文件适用于制定围手术期老年综合评估方案和干预措施，优化患者术前状态，以提高外科患者围术期的安全性及满意度，缩短术后住院时间，降低术后并发症的发生率。</w:t>
      </w:r>
    </w:p>
    <w:p w14:paraId="0BEEB4F3">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5" w:name="_Toc226880797"/>
      <w:r>
        <w:rPr>
          <w:rFonts w:hint="eastAsia" w:ascii="黑体" w:hAnsi="黑体" w:eastAsia="黑体" w:cs="黑体"/>
          <w:bCs/>
          <w:szCs w:val="21"/>
        </w:rPr>
        <w:t>规范性引用文件</w:t>
      </w:r>
      <w:bookmarkEnd w:id="5"/>
    </w:p>
    <w:p w14:paraId="5FA091F0">
      <w:pPr>
        <w:pStyle w:val="4"/>
        <w:spacing w:before="0"/>
        <w:ind w:left="0" w:firstLine="404" w:firstLineChars="200"/>
        <w:rPr>
          <w:rFonts w:hint="eastAsia" w:ascii="Times New Roman" w:hAnsi="Times New Roman" w:cs="Times New Roman"/>
        </w:rPr>
      </w:pPr>
      <w:bookmarkStart w:id="6" w:name="OLE_LINK10"/>
      <w:bookmarkStart w:id="7" w:name="_Hlk146830852"/>
      <w:r>
        <w:rPr>
          <w:rFonts w:hint="eastAsia" w:ascii="Times New Roman" w:hAnsi="Times New Roman" w:cs="Times New Roman"/>
          <w:color w:val="000000" w:themeColor="text1"/>
          <w:spacing w:val="-4"/>
          <w14:textFill>
            <w14:solidFill>
              <w14:schemeClr w14:val="tx1"/>
            </w14:solidFill>
          </w14:textFill>
        </w:rPr>
        <w:t>下列文件中的内容通过文中的规范性引用而构成本文件必不可少的条款。其中，标注日期</w:t>
      </w:r>
      <w:r>
        <w:rPr>
          <w:rFonts w:hint="eastAsia" w:ascii="Times New Roman" w:hAnsi="Times New Roman" w:cs="Times New Roman"/>
          <w:color w:val="000000" w:themeColor="text1"/>
          <w14:textFill>
            <w14:solidFill>
              <w14:schemeClr w14:val="tx1"/>
            </w14:solidFill>
          </w14:textFill>
        </w:rPr>
        <w:t xml:space="preserve"> </w:t>
      </w:r>
      <w:r>
        <w:rPr>
          <w:rFonts w:hint="eastAsia" w:ascii="Times New Roman" w:hAnsi="Times New Roman" w:cs="Times New Roman"/>
          <w:color w:val="000000" w:themeColor="text1"/>
          <w:spacing w:val="-4"/>
          <w14:textFill>
            <w14:solidFill>
              <w14:schemeClr w14:val="tx1"/>
            </w14:solidFill>
          </w14:textFill>
        </w:rPr>
        <w:t>的引用文件，仅该日期对应的版本适用于本文件；不注日期的引用文件，其最新版本（包括</w:t>
      </w:r>
      <w:r>
        <w:rPr>
          <w:rFonts w:hint="eastAsia" w:ascii="Times New Roman" w:hAnsi="Times New Roman" w:cs="Times New Roman"/>
          <w:color w:val="000000" w:themeColor="text1"/>
          <w:spacing w:val="-44"/>
          <w14:textFill>
            <w14:solidFill>
              <w14:schemeClr w14:val="tx1"/>
            </w14:solidFill>
          </w14:textFill>
        </w:rPr>
        <w:t xml:space="preserve"> </w:t>
      </w:r>
      <w:r>
        <w:rPr>
          <w:rFonts w:hint="eastAsia" w:ascii="Times New Roman" w:hAnsi="Times New Roman" w:cs="Times New Roman"/>
          <w:color w:val="000000" w:themeColor="text1"/>
          <w14:textFill>
            <w14:solidFill>
              <w14:schemeClr w14:val="tx1"/>
            </w14:solidFill>
          </w14:textFill>
        </w:rPr>
        <w:t>所有的修改单）适用于本文件。</w:t>
      </w:r>
      <w:bookmarkEnd w:id="6"/>
      <w:bookmarkEnd w:id="7"/>
    </w:p>
    <w:p w14:paraId="2E0B7EDA">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（1）DB11/T 305-2005 养老服务机构老年人健康评估服务规范</w:t>
      </w:r>
    </w:p>
    <w:p w14:paraId="0A0E42CC">
      <w:pPr>
        <w:ind w:left="420" w:leftChars="200"/>
        <w:jc w:val="both"/>
        <w:rPr>
          <w:rFonts w:hint="eastAsia" w:ascii="Times New Roman" w:hAnsi="Times New Roman" w:eastAsia="宋体" w:cs="Times New Roman"/>
          <w:color w:val="000000" w:themeColor="text1"/>
          <w:spacing w:val="-4"/>
          <w:szCs w:val="21"/>
          <w14:textFill>
            <w14:solidFill>
              <w14:schemeClr w14:val="tx1"/>
            </w14:solidFill>
          </w14:textFill>
        </w:rPr>
      </w:pPr>
      <w:bookmarkStart w:id="8" w:name="OLE_LINK2"/>
      <w:r>
        <w:rPr>
          <w:rFonts w:hint="eastAsia" w:ascii="Times New Roman" w:hAnsi="Times New Roman" w:eastAsia="宋体" w:cs="Times New Roman"/>
          <w:color w:val="000000" w:themeColor="text1"/>
          <w:spacing w:val="-4"/>
          <w:szCs w:val="21"/>
          <w14:textFill>
            <w14:solidFill>
              <w14:schemeClr w14:val="tx1"/>
            </w14:solidFill>
          </w14:textFill>
        </w:rPr>
        <w:t>（2）医疗服务机构老年综合评估基本标准与服务规范</w:t>
      </w:r>
      <w:bookmarkEnd w:id="8"/>
      <w:r>
        <w:rPr>
          <w:rFonts w:hint="eastAsia" w:ascii="Times New Roman" w:hAnsi="Times New Roman" w:eastAsia="宋体" w:cs="Times New Roman"/>
          <w:color w:val="000000" w:themeColor="text1"/>
          <w:spacing w:val="-4"/>
          <w:szCs w:val="21"/>
          <w14:textFill>
            <w14:solidFill>
              <w14:schemeClr w14:val="tx1"/>
            </w14:solidFill>
          </w14:textFill>
        </w:rPr>
        <w:t>，中国老年保健医学研究会老龄健康服务与标准化分会（2018年）</w:t>
      </w:r>
    </w:p>
    <w:p w14:paraId="6025382A">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（3）老年综合评估技术应用中国专家共识，中华医学会老年医学分会（2017年）</w:t>
      </w:r>
    </w:p>
    <w:p w14:paraId="0EE89BF8">
      <w:pPr>
        <w:ind w:left="420" w:leftChars="200"/>
        <w:jc w:val="both"/>
        <w:rPr>
          <w:rFonts w:hint="eastAsia" w:ascii="Times New Roman" w:hAnsi="Times New Roman" w:eastAsia="宋体" w:cs="Times New Roman"/>
          <w:color w:val="000000" w:themeColor="text1"/>
          <w:spacing w:val="-4"/>
          <w:szCs w:val="21"/>
          <w14:textFill>
            <w14:solidFill>
              <w14:schemeClr w14:val="tx1"/>
            </w14:solidFill>
          </w14:textFill>
        </w:rPr>
      </w:pPr>
      <w:bookmarkStart w:id="9" w:name="OLE_LINK3"/>
      <w:r>
        <w:rPr>
          <w:rFonts w:hint="eastAsia" w:ascii="Times New Roman" w:hAnsi="Times New Roman" w:eastAsia="宋体" w:cs="Times New Roman"/>
          <w:color w:val="000000" w:themeColor="text1"/>
          <w:spacing w:val="-4"/>
          <w:szCs w:val="21"/>
          <w14:textFill>
            <w14:solidFill>
              <w14:schemeClr w14:val="tx1"/>
            </w14:solidFill>
          </w14:textFill>
        </w:rPr>
        <w:t>老年非心脏手术围术期风险评估与管理指南2021</w:t>
      </w:r>
      <w:bookmarkEnd w:id="9"/>
      <w:r>
        <w:rPr>
          <w:rFonts w:hint="eastAsia" w:ascii="Times New Roman" w:hAnsi="Times New Roman" w:eastAsia="宋体" w:cs="Times New Roman"/>
          <w:color w:val="000000" w:themeColor="text1"/>
          <w:spacing w:val="-4"/>
          <w:szCs w:val="21"/>
          <w14:textFill>
            <w14:solidFill>
              <w14:schemeClr w14:val="tx1"/>
            </w14:solidFill>
          </w14:textFill>
        </w:rPr>
        <w:t>，中国医师协会危重症分会围手术期管理学组</w:t>
      </w:r>
    </w:p>
    <w:p w14:paraId="0CB4447A">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（4）医养结合机构衰弱老年人多重用药安全管理中国专家共识（2022年）</w:t>
      </w:r>
    </w:p>
    <w:p w14:paraId="7AB3A574">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（5）WS/T 796-2022 围手术期患者血液管理指南，</w:t>
      </w:r>
    </w:p>
    <w:p w14:paraId="58DF48A1">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（6）GB/T 42195-2022 老年人能力评估规范</w:t>
      </w:r>
    </w:p>
    <w:p w14:paraId="08F21B23">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bookmarkStart w:id="10" w:name="OLE_LINK1"/>
      <w:r>
        <w:rPr>
          <w:rFonts w:hint="eastAsia" w:ascii="Times New Roman" w:hAnsi="Times New Roman" w:eastAsia="宋体" w:cs="Times New Roman"/>
          <w:color w:val="000000" w:themeColor="text1"/>
          <w:spacing w:val="-4"/>
          <w:szCs w:val="21"/>
          <w14:textFill>
            <w14:solidFill>
              <w14:schemeClr w14:val="tx1"/>
            </w14:solidFill>
          </w14:textFill>
        </w:rPr>
        <w:t>（7）老年衰弱患者围术期管理专家意见</w:t>
      </w:r>
      <w:bookmarkEnd w:id="10"/>
      <w:r>
        <w:rPr>
          <w:rFonts w:hint="eastAsia" w:ascii="Times New Roman" w:hAnsi="Times New Roman" w:eastAsia="宋体" w:cs="Times New Roman"/>
          <w:color w:val="000000" w:themeColor="text1"/>
          <w:spacing w:val="-4"/>
          <w:szCs w:val="21"/>
          <w14:textFill>
            <w14:solidFill>
              <w14:schemeClr w14:val="tx1"/>
            </w14:solidFill>
          </w14:textFill>
        </w:rPr>
        <w:t>，中国老年医学学会麻醉学分会 （2023年）</w:t>
      </w:r>
    </w:p>
    <w:p w14:paraId="4B07CE9A">
      <w:pPr>
        <w:ind w:firstLine="404" w:firstLineChars="200"/>
        <w:jc w:val="both"/>
        <w:rPr>
          <w:rFonts w:hint="eastAsia" w:ascii="Times New Roman" w:hAnsi="Times New Roman" w:eastAsia="宋体" w:cs="Times New Roman"/>
          <w:color w:val="000000" w:themeColor="text1"/>
          <w:spacing w:val="-4"/>
          <w:szCs w:val="21"/>
          <w14:textFill>
            <w14:solidFill>
              <w14:schemeClr w14:val="tx1"/>
            </w14:solidFill>
          </w14:textFill>
        </w:rPr>
      </w:pPr>
      <w:r>
        <w:rPr>
          <w:rFonts w:hint="eastAsia" w:ascii="Times New Roman" w:hAnsi="Times New Roman" w:eastAsia="宋体" w:cs="Times New Roman"/>
          <w:color w:val="000000" w:themeColor="text1"/>
          <w:spacing w:val="-4"/>
          <w:szCs w:val="21"/>
          <w14:textFill>
            <w14:solidFill>
              <w14:schemeClr w14:val="tx1"/>
            </w14:solidFill>
          </w14:textFill>
        </w:rPr>
        <w:t>（8）《围手术期器官功能评估与麻醉决策》，上海科技出版社。</w:t>
      </w:r>
    </w:p>
    <w:p w14:paraId="058DCF54">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1" w:name="_Toc226880798"/>
      <w:r>
        <w:rPr>
          <w:rFonts w:hint="eastAsia" w:ascii="黑体" w:hAnsi="黑体" w:eastAsia="黑体" w:cs="黑体"/>
          <w:bCs/>
          <w:szCs w:val="21"/>
        </w:rPr>
        <w:t>术语和定义</w:t>
      </w:r>
      <w:bookmarkEnd w:id="11"/>
    </w:p>
    <w:p w14:paraId="2C5773C7">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下列术语和定义适用于本文件。</w:t>
      </w:r>
    </w:p>
    <w:p w14:paraId="17AFAAC8">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3.1</w:t>
      </w:r>
    </w:p>
    <w:p w14:paraId="1AA3C251">
      <w:pPr>
        <w:ind w:firstLine="420" w:firstLineChars="200"/>
        <w:jc w:val="both"/>
        <w:rPr>
          <w:rFonts w:hint="eastAsia" w:ascii="Times New Roman" w:hAnsi="Times New Roman" w:eastAsia="黑体" w:cs="Times New Roman"/>
          <w:bCs/>
          <w:szCs w:val="21"/>
        </w:rPr>
      </w:pPr>
      <w:r>
        <w:rPr>
          <w:rFonts w:hint="eastAsia" w:ascii="黑体" w:hAnsi="黑体" w:eastAsia="黑体" w:cs="Times New Roman"/>
          <w:bCs/>
          <w:szCs w:val="21"/>
        </w:rPr>
        <w:t>围手术期</w:t>
      </w:r>
      <w:r>
        <w:rPr>
          <w:rFonts w:hint="eastAsia" w:ascii="黑体" w:hAnsi="黑体" w:eastAsia="黑体" w:cs="Times New Roman"/>
          <w:bCs/>
          <w:szCs w:val="21"/>
        </w:rPr>
        <w:t xml:space="preserve"> </w:t>
      </w:r>
      <w:r>
        <w:rPr>
          <w:rFonts w:hint="eastAsia" w:ascii="Times New Roman" w:hAnsi="Times New Roman" w:eastAsia="黑体" w:cs="Times New Roman"/>
          <w:bCs/>
          <w:szCs w:val="21"/>
        </w:rPr>
        <w:t>perioperative period</w:t>
      </w:r>
    </w:p>
    <w:p w14:paraId="32015DDB">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包括术前、术中、术后3个阶段，涵盖自确定手术治疗之日至与这次手术相关的治疗基本结束的时间范围。</w:t>
      </w:r>
    </w:p>
    <w:p w14:paraId="6A7D8AAB">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3.2</w:t>
      </w:r>
    </w:p>
    <w:p w14:paraId="27D7B84F">
      <w:pPr>
        <w:ind w:firstLine="420" w:firstLineChars="200"/>
        <w:jc w:val="both"/>
        <w:rPr>
          <w:rFonts w:hint="eastAsia" w:ascii="Times New Roman" w:hAnsi="Times New Roman" w:eastAsia="黑体" w:cs="Times New Roman"/>
          <w:bCs/>
          <w:szCs w:val="21"/>
        </w:rPr>
      </w:pPr>
      <w:r>
        <w:rPr>
          <w:rFonts w:hint="eastAsia" w:ascii="黑体" w:hAnsi="黑体" w:eastAsia="黑体" w:cs="Times New Roman"/>
          <w:bCs/>
          <w:szCs w:val="21"/>
        </w:rPr>
        <w:t>老年综合评估</w:t>
      </w:r>
      <w:r>
        <w:rPr>
          <w:rFonts w:hint="eastAsia" w:ascii="黑体" w:hAnsi="黑体" w:eastAsia="黑体" w:cs="Times New Roman"/>
          <w:bCs/>
          <w:szCs w:val="21"/>
        </w:rPr>
        <w:t xml:space="preserve"> </w:t>
      </w:r>
      <w:r>
        <w:rPr>
          <w:rFonts w:hint="eastAsia" w:ascii="Times New Roman" w:hAnsi="Times New Roman" w:eastAsia="黑体" w:cs="Times New Roman"/>
          <w:bCs/>
          <w:szCs w:val="21"/>
        </w:rPr>
        <w:t>g</w:t>
      </w:r>
      <w:r>
        <w:rPr>
          <w:rFonts w:hint="eastAsia" w:ascii="Times New Roman" w:hAnsi="Times New Roman" w:eastAsia="黑体" w:cs="Times New Roman"/>
          <w:bCs/>
          <w:szCs w:val="21"/>
        </w:rPr>
        <w:t xml:space="preserve">eriatric </w:t>
      </w:r>
      <w:r>
        <w:rPr>
          <w:rFonts w:hint="eastAsia" w:ascii="Times New Roman" w:hAnsi="Times New Roman" w:eastAsia="黑体" w:cs="Times New Roman"/>
          <w:bCs/>
          <w:szCs w:val="21"/>
        </w:rPr>
        <w:t>comprehensive assessment</w:t>
      </w:r>
    </w:p>
    <w:p w14:paraId="797A55C0">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从疾病、体能状态、认知功能、心理问题、社会因素、环境因素等多层面对老年人进行全面的多学科评估，在确定其诊疗、康复和护理目标的基础上，给予针对性的干预措施。</w:t>
      </w:r>
    </w:p>
    <w:p w14:paraId="602D2689">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3.3</w:t>
      </w:r>
    </w:p>
    <w:p w14:paraId="6BA60F91">
      <w:pPr>
        <w:ind w:firstLine="420" w:firstLineChars="200"/>
        <w:jc w:val="both"/>
        <w:rPr>
          <w:rFonts w:hint="eastAsia" w:ascii="Times New Roman" w:hAnsi="Times New Roman" w:eastAsia="黑体" w:cs="Times New Roman"/>
          <w:bCs/>
          <w:szCs w:val="21"/>
        </w:rPr>
      </w:pPr>
      <w:r>
        <w:rPr>
          <w:rFonts w:hint="eastAsia" w:ascii="黑体" w:hAnsi="黑体" w:eastAsia="黑体" w:cs="Times New Roman"/>
          <w:bCs/>
          <w:szCs w:val="21"/>
        </w:rPr>
        <w:t>多学科协作诊治</w:t>
      </w:r>
      <w:r>
        <w:rPr>
          <w:rFonts w:hint="eastAsia" w:ascii="黑体" w:hAnsi="黑体" w:eastAsia="黑体" w:cs="Times New Roman"/>
          <w:bCs/>
          <w:szCs w:val="21"/>
        </w:rPr>
        <w:t xml:space="preserve">模式 </w:t>
      </w:r>
      <w:r>
        <w:rPr>
          <w:rFonts w:hint="eastAsia" w:ascii="Times New Roman" w:hAnsi="Times New Roman" w:eastAsia="黑体" w:cs="Times New Roman"/>
          <w:bCs/>
          <w:szCs w:val="21"/>
        </w:rPr>
        <w:t>m</w:t>
      </w:r>
      <w:r>
        <w:rPr>
          <w:rFonts w:hint="eastAsia" w:ascii="Times New Roman" w:hAnsi="Times New Roman" w:eastAsia="黑体" w:cs="Times New Roman"/>
          <w:bCs/>
          <w:szCs w:val="21"/>
        </w:rPr>
        <w:t>ulti-disciplinary team</w:t>
      </w:r>
    </w:p>
    <w:p w14:paraId="6538939E">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以患者为中心，多个学科人员合作组成团队共同为患者制定规范化、个体化、连续性的综合治疗方案，继而由学科单独或多学科联合执行的一种诊疗措施,MDT是老年外科围手术期管理的基石。</w:t>
      </w:r>
    </w:p>
    <w:p w14:paraId="0D8AC6D8">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3.4</w:t>
      </w:r>
    </w:p>
    <w:p w14:paraId="4C03061F">
      <w:pPr>
        <w:ind w:firstLine="420" w:firstLineChars="200"/>
        <w:jc w:val="both"/>
        <w:rPr>
          <w:rFonts w:hint="eastAsia" w:ascii="Times New Roman" w:hAnsi="Times New Roman" w:eastAsia="黑体" w:cs="Times New Roman"/>
          <w:bCs/>
          <w:szCs w:val="21"/>
        </w:rPr>
      </w:pPr>
      <w:r>
        <w:rPr>
          <w:rFonts w:hint="eastAsia" w:ascii="黑体" w:hAnsi="黑体" w:eastAsia="黑体" w:cs="Times New Roman"/>
          <w:bCs/>
          <w:szCs w:val="21"/>
        </w:rPr>
        <w:t>衰弱</w:t>
      </w:r>
      <w:r>
        <w:rPr>
          <w:rFonts w:hint="eastAsia" w:ascii="黑体" w:hAnsi="黑体" w:eastAsia="黑体" w:cs="Times New Roman"/>
          <w:bCs/>
          <w:szCs w:val="21"/>
        </w:rPr>
        <w:t xml:space="preserve"> </w:t>
      </w:r>
      <w:r>
        <w:rPr>
          <w:rFonts w:hint="eastAsia" w:ascii="Times New Roman" w:hAnsi="Times New Roman" w:eastAsia="黑体" w:cs="Times New Roman"/>
          <w:bCs/>
          <w:szCs w:val="21"/>
        </w:rPr>
        <w:t>f</w:t>
      </w:r>
      <w:r>
        <w:rPr>
          <w:rFonts w:hint="eastAsia" w:ascii="Times New Roman" w:hAnsi="Times New Roman" w:eastAsia="黑体" w:cs="Times New Roman"/>
          <w:bCs/>
          <w:szCs w:val="21"/>
        </w:rPr>
        <w:t>railty</w:t>
      </w:r>
    </w:p>
    <w:p w14:paraId="468411C1">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指老年人生理储备下降导致健康状况不佳、功能障碍和抗应激能力下降，主要包括肌肉质量减少和力量的丧失、运动耐力下降、认知功能障碍、生理储备降低。</w:t>
      </w:r>
    </w:p>
    <w:p w14:paraId="03859094">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3.5</w:t>
      </w:r>
    </w:p>
    <w:p w14:paraId="67A9EC9D">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失能失智</w:t>
      </w:r>
    </w:p>
    <w:p w14:paraId="53A9EE88">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主要包括身体层面、认知层面及心理方面，身体层面可表现为丧失肢体功能、运动能力受限、言语障碍、吞咽困难或慢性疼痛等。在认知层面，失能可表现为记忆力减退、思维能力下降或专注力不足。心理层面可表现为焦虑、抑郁或其它心理健康问题。</w:t>
      </w:r>
    </w:p>
    <w:p w14:paraId="34C49D0A">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3.6</w:t>
      </w:r>
    </w:p>
    <w:p w14:paraId="49EC7D7F">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老年性失聪</w:t>
      </w:r>
    </w:p>
    <w:p w14:paraId="3930B3F2">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年龄相关性听力下降，是一种双侧渐进性、对称性的感音性神经性耳聋，表现为高频听力受损，言语识别能力下降，是听觉系统不可逆的损害。助听器是帮助老年患者提高听力、改善听觉语言交流的有效手段。</w:t>
      </w:r>
    </w:p>
    <w:p w14:paraId="5861E84F">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3.7</w:t>
      </w:r>
    </w:p>
    <w:p w14:paraId="6D7A7B9D">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老年视力下降</w:t>
      </w:r>
    </w:p>
    <w:p w14:paraId="1C740AE8">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由于随着衰老所致视觉器官老化或由于眼部疾病等原因，在一定距离分辨物体细节能力减退的现象。其原因主要包括生理性退化和病理性原因，比如黄斑病变、白内障、青光眼等。</w:t>
      </w:r>
    </w:p>
    <w:p w14:paraId="762D5365">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3.8</w:t>
      </w:r>
    </w:p>
    <w:p w14:paraId="6A22EE36">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老年认知障碍</w:t>
      </w:r>
    </w:p>
    <w:p w14:paraId="2AD31E67">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指各种原因导致的不同程度的一个或多个认知域功能损害。按严重程度分为轻度认知障碍和痴呆。</w:t>
      </w:r>
    </w:p>
    <w:p w14:paraId="53D014AB">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3.9</w:t>
      </w:r>
    </w:p>
    <w:p w14:paraId="38239CA4">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老年人潜在不恰当用药</w:t>
      </w:r>
    </w:p>
    <w:p w14:paraId="00423122">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潜在不恰当药方主要包括过度用药、用药遗漏和用药错误或不当（剂量或疗程不当），老年潜在不恰当用药是指老年人所应用药物的风险超过预期的收益，易引起药物不良反应。</w:t>
      </w:r>
    </w:p>
    <w:p w14:paraId="6C8E173E">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3.10</w:t>
      </w:r>
    </w:p>
    <w:p w14:paraId="417B03B9">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多重用药</w:t>
      </w:r>
    </w:p>
    <w:p w14:paraId="0663A56B">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指每天同时应用5种及以上药物，包括处方药、非处方药及中草药等。分为恰当多重用药和不恰当多重用药。</w:t>
      </w:r>
    </w:p>
    <w:p w14:paraId="11DAA762">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3.11</w:t>
      </w:r>
    </w:p>
    <w:p w14:paraId="7D7BF0F3">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围术期焦虑抑郁</w:t>
      </w:r>
    </w:p>
    <w:p w14:paraId="37CDB8F7">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围术期焦虑是一种患者处于手术应激状态时内焦虑不安的情绪，围术期抑郁是情绪低落、对事物兴趣减少为主要表现的负面情绪，围术期焦虑和抑郁是人体对手术事件的防御性心理反应。</w:t>
      </w:r>
    </w:p>
    <w:p w14:paraId="69B7981D">
      <w:pPr>
        <w:spacing w:before="156" w:beforeLines="50" w:after="156" w:afterLines="50"/>
        <w:jc w:val="left"/>
        <w:rPr>
          <w:rFonts w:hint="eastAsia" w:ascii="黑体" w:hAnsi="黑体" w:eastAsia="黑体" w:cs="Times New Roman"/>
          <w:bCs/>
          <w:szCs w:val="21"/>
        </w:rPr>
      </w:pPr>
      <w:r>
        <w:rPr>
          <w:rFonts w:hint="eastAsia" w:ascii="黑体" w:hAnsi="黑体" w:eastAsia="黑体" w:cs="Times New Roman"/>
          <w:bCs/>
          <w:szCs w:val="21"/>
        </w:rPr>
        <w:t>3.12</w:t>
      </w:r>
    </w:p>
    <w:p w14:paraId="78EA1BE1">
      <w:pPr>
        <w:ind w:firstLine="420" w:firstLineChars="200"/>
        <w:jc w:val="both"/>
        <w:rPr>
          <w:rFonts w:hint="eastAsia" w:ascii="黑体" w:hAnsi="黑体" w:eastAsia="黑体" w:cs="Times New Roman"/>
          <w:bCs/>
          <w:szCs w:val="21"/>
        </w:rPr>
      </w:pPr>
      <w:r>
        <w:rPr>
          <w:rFonts w:hint="eastAsia" w:ascii="黑体" w:hAnsi="黑体" w:eastAsia="黑体" w:cs="Times New Roman"/>
          <w:bCs/>
          <w:szCs w:val="21"/>
        </w:rPr>
        <w:t>术后谵妄</w:t>
      </w:r>
    </w:p>
    <w:p w14:paraId="6A3D9B54">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一种急性发作、暂时性脑功能异常的并发症。多发生在术后一周内，表现为注意力不集中，意识水平变化和认知功能急性改变。</w:t>
      </w:r>
    </w:p>
    <w:p w14:paraId="587CD708">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2" w:name="_Toc226880799"/>
      <w:r>
        <w:rPr>
          <w:rFonts w:hint="eastAsia" w:ascii="黑体" w:hAnsi="黑体" w:eastAsia="黑体" w:cs="黑体"/>
          <w:bCs/>
          <w:szCs w:val="21"/>
        </w:rPr>
        <w:t>缩略语</w:t>
      </w:r>
      <w:bookmarkEnd w:id="12"/>
    </w:p>
    <w:p w14:paraId="48522EDD">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下列缩略语适用于本文件。</w:t>
      </w:r>
    </w:p>
    <w:p w14:paraId="13DCAFC7">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ADL</w:t>
      </w:r>
      <w:r>
        <w:rPr>
          <w:rFonts w:hint="eastAsia" w:ascii="Times New Roman" w:hAnsi="Times New Roman" w:eastAsia="宋体" w:cs="Times New Roman"/>
          <w:bCs/>
          <w:szCs w:val="21"/>
        </w:rPr>
        <w:t>：日常生活活动能力（Ac</w:t>
      </w:r>
      <w:r>
        <w:rPr>
          <w:rFonts w:ascii="Times New Roman" w:hAnsi="Times New Roman" w:eastAsia="宋体" w:cs="Times New Roman"/>
          <w:bCs/>
          <w:szCs w:val="21"/>
        </w:rPr>
        <w:t>tivities of daily living）</w:t>
      </w:r>
    </w:p>
    <w:p w14:paraId="14501074">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ASA：美国麻醉医师学会（American Society of Anesthesiologists）</w:t>
      </w:r>
    </w:p>
    <w:p w14:paraId="5E93FD98">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Caprini RAM：Caprini风险评估量表（Caprini risk assessment model）</w:t>
      </w:r>
    </w:p>
    <w:p w14:paraId="6E7486AF">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CKD：慢性肾脏病（Chronic kidney disease）</w:t>
      </w:r>
    </w:p>
    <w:p w14:paraId="075FD8F2">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DVT：深静脉血栓（Deep vein thrombosis）</w:t>
      </w:r>
    </w:p>
    <w:p w14:paraId="031268A6">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GFR：肾小球滤过率（glomerular filtration rate）</w:t>
      </w:r>
    </w:p>
    <w:p w14:paraId="74456CA3">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FRAIL：简易衰弱问卷（Simple Frailty Questionnaire）</w:t>
      </w:r>
    </w:p>
    <w:p w14:paraId="26659C3C">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MDT：多学科协作诊治（Multi-disciplinary team）</w:t>
      </w:r>
    </w:p>
    <w:p w14:paraId="23276D4F">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MMSE：简易精神状态检查（mini-mental state examination）</w:t>
      </w:r>
    </w:p>
    <w:p w14:paraId="3A993C6D">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Mini-Cog：简易认知评估工具（mini-cognitive assessment instrument ）</w:t>
      </w:r>
    </w:p>
    <w:p w14:paraId="23AFFB70">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PCGA：围术期综合老年评估（Perioperative comprehensive geriatric assessment）</w:t>
      </w:r>
    </w:p>
    <w:p w14:paraId="314DC95C">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PE：肺血栓栓塞症（Pulmonary thromboembolism）</w:t>
      </w:r>
    </w:p>
    <w:p w14:paraId="1032A7D1">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PONV：术后恶心呕吐（postoperative nausea and vomiting）</w:t>
      </w:r>
    </w:p>
    <w:p w14:paraId="025CA4CB">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STAI</w:t>
      </w:r>
      <w:r>
        <w:rPr>
          <w:rFonts w:hint="eastAsia" w:ascii="Times New Roman" w:hAnsi="Times New Roman" w:eastAsia="宋体" w:cs="Times New Roman"/>
          <w:bCs/>
          <w:szCs w:val="21"/>
        </w:rPr>
        <w:t>：状态-特质焦虑问卷（St</w:t>
      </w:r>
      <w:r>
        <w:rPr>
          <w:rFonts w:ascii="Times New Roman" w:hAnsi="Times New Roman" w:eastAsia="宋体" w:cs="Times New Roman"/>
          <w:bCs/>
          <w:szCs w:val="21"/>
        </w:rPr>
        <w:t>ate-Trait Anxiety Inventory</w:t>
      </w:r>
      <w:r>
        <w:rPr>
          <w:rFonts w:hint="eastAsia" w:ascii="Times New Roman" w:hAnsi="Times New Roman" w:eastAsia="宋体" w:cs="Times New Roman"/>
          <w:bCs/>
          <w:szCs w:val="21"/>
        </w:rPr>
        <w:t>）</w:t>
      </w:r>
    </w:p>
    <w:p w14:paraId="372AA523">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VTE：静脉血栓栓塞症（Venous thromboembolism）</w:t>
      </w:r>
    </w:p>
    <w:p w14:paraId="7A0DFBB1">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3" w:name="_Toc226880800"/>
      <w:r>
        <w:rPr>
          <w:rFonts w:hint="eastAsia" w:ascii="黑体" w:hAnsi="黑体" w:eastAsia="黑体" w:cs="黑体"/>
          <w:bCs/>
          <w:szCs w:val="21"/>
        </w:rPr>
        <w:t>评估内容</w:t>
      </w:r>
      <w:bookmarkEnd w:id="13"/>
    </w:p>
    <w:p w14:paraId="057DAD31">
      <w:pPr>
        <w:pStyle w:val="48"/>
        <w:numPr>
          <w:ilvl w:val="1"/>
          <w:numId w:val="1"/>
        </w:numPr>
        <w:spacing w:before="156" w:beforeLines="50" w:after="156" w:afterLines="50"/>
        <w:ind w:left="0"/>
        <w:rPr>
          <w:rFonts w:hint="eastAsia" w:ascii="黑体" w:hAnsi="黑体" w:eastAsia="黑体" w:cs="黑体"/>
          <w:bCs/>
          <w:szCs w:val="21"/>
        </w:rPr>
      </w:pPr>
      <w:r>
        <w:rPr>
          <w:rFonts w:hint="eastAsia" w:ascii="黑体" w:hAnsi="黑体" w:eastAsia="黑体" w:cs="黑体"/>
          <w:bCs/>
          <w:szCs w:val="21"/>
        </w:rPr>
        <w:t>术前基本状况采集</w:t>
      </w:r>
    </w:p>
    <w:p w14:paraId="4169D5E4">
      <w:pPr>
        <w:ind w:firstLine="420" w:firstLineChars="200"/>
        <w:jc w:val="both"/>
        <w:rPr>
          <w:rFonts w:ascii="Times New Roman" w:hAnsi="Times New Roman" w:eastAsia="宋体" w:cs="Times New Roman"/>
          <w:bCs/>
          <w:szCs w:val="21"/>
        </w:rPr>
      </w:pPr>
      <w:r>
        <w:rPr>
          <w:rFonts w:hint="eastAsia" w:ascii="Times New Roman" w:hAnsi="Times New Roman" w:eastAsia="宋体" w:cs="Times New Roman"/>
          <w:bCs/>
          <w:szCs w:val="21"/>
        </w:rPr>
        <w:t>术前基线资料包括姓名、性别、年龄、居住地、身高、体重、吸烟、饮酒、职业、学历、病史资料（包括既往病史、症状、体征、近期检验结果，检查结果、目前口服药物等）。检查患者牙齿脱落、假牙情况；询问听力障碍史，有无佩戴助听器；询问视力障碍史，评估双眼视力情况；询问睡眠情况，有无服用助睡眠药物；有无尿失禁等。</w:t>
      </w:r>
    </w:p>
    <w:p w14:paraId="143F624C">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入院宣教</w:t>
      </w:r>
    </w:p>
    <w:p w14:paraId="5EAAC89C">
      <w:pPr>
        <w:pStyle w:val="18"/>
        <w:spacing w:before="0" w:beforeLines="-2147483648" w:after="0" w:afterLines="-2147483648"/>
        <w:jc w:val="both"/>
        <w:rPr>
          <w:rFonts w:ascii="Times New Roman" w:hAnsi="Times New Roman" w:eastAsia="宋体" w:cs="Times New Roman"/>
          <w:bCs/>
          <w:szCs w:val="21"/>
        </w:rPr>
      </w:pPr>
      <w:r>
        <w:rPr>
          <w:rFonts w:hint="eastAsia" w:ascii="Times New Roman" w:hAnsi="Times New Roman" w:eastAsia="宋体" w:cs="Times New Roman"/>
          <w:bCs/>
          <w:szCs w:val="21"/>
        </w:rPr>
        <w:t>入院宣教是提高患者依从性和降低患者心理压力的重要措施。如果患者可以正常沟通，向患者进行外科围术期注意事项及术后康复宣教。</w:t>
      </w:r>
    </w:p>
    <w:p w14:paraId="58DF020E">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术前功能状态评估</w:t>
      </w:r>
    </w:p>
    <w:p w14:paraId="7E5EB6D0">
      <w:pPr>
        <w:pStyle w:val="18"/>
        <w:spacing w:before="0" w:beforeLines="-2147483648" w:after="0" w:afterLines="-2147483648"/>
        <w:ind w:firstLine="0" w:firstLineChars="0"/>
        <w:jc w:val="left"/>
        <w:rPr>
          <w:rFonts w:hint="eastAsia" w:ascii="黑体" w:hAnsi="黑体" w:eastAsia="黑体" w:cs="黑体"/>
          <w:bCs/>
          <w:szCs w:val="21"/>
        </w:rPr>
      </w:pPr>
      <w:r>
        <w:rPr>
          <w:rFonts w:hint="eastAsia" w:ascii="黑体" w:hAnsi="黑体" w:eastAsia="黑体" w:cs="黑体"/>
          <w:bCs/>
          <w:szCs w:val="21"/>
        </w:rPr>
        <w:t>5.3.1 总体状况评估</w:t>
      </w:r>
      <w:r>
        <w:rPr>
          <w:rFonts w:hint="eastAsia" w:ascii="Times New Roman" w:hAnsi="Times New Roman" w:eastAsia="黑体" w:cs="Times New Roman"/>
          <w:bCs/>
          <w:szCs w:val="21"/>
        </w:rPr>
        <w:t>：ASA分级</w:t>
      </w:r>
    </w:p>
    <w:p w14:paraId="129840B4">
      <w:pPr>
        <w:pStyle w:val="18"/>
        <w:spacing w:before="0" w:beforeLines="-2147483648" w:after="0" w:afterLines="-2147483648"/>
        <w:jc w:val="both"/>
        <w:rPr>
          <w:rFonts w:ascii="Times New Roman" w:hAnsi="Times New Roman" w:eastAsia="宋体" w:cs="Times New Roman"/>
          <w:bCs/>
          <w:szCs w:val="21"/>
        </w:rPr>
      </w:pPr>
      <w:r>
        <w:rPr>
          <w:rFonts w:hint="eastAsia" w:ascii="Times New Roman" w:hAnsi="Times New Roman" w:eastAsia="宋体" w:cs="Times New Roman"/>
          <w:bCs/>
          <w:szCs w:val="21"/>
        </w:rPr>
        <w:t>美国麻醉医师学会（</w:t>
      </w:r>
      <w:r>
        <w:rPr>
          <w:rFonts w:ascii="Times New Roman" w:hAnsi="Times New Roman" w:eastAsia="宋体" w:cs="Times New Roman"/>
          <w:bCs/>
          <w:szCs w:val="21"/>
        </w:rPr>
        <w:t>American Society of Anesthesiologists</w:t>
      </w:r>
      <w:r>
        <w:rPr>
          <w:rFonts w:hint="eastAsia" w:ascii="Times New Roman" w:hAnsi="Times New Roman" w:eastAsia="宋体" w:cs="Times New Roman"/>
          <w:bCs/>
          <w:szCs w:val="21"/>
        </w:rPr>
        <w:t>，</w:t>
      </w:r>
      <w:r>
        <w:rPr>
          <w:rFonts w:ascii="Times New Roman" w:hAnsi="Times New Roman" w:eastAsia="宋体" w:cs="Times New Roman"/>
          <w:bCs/>
          <w:szCs w:val="21"/>
        </w:rPr>
        <w:t>ASA</w:t>
      </w:r>
      <w:r>
        <w:rPr>
          <w:rFonts w:hint="eastAsia" w:ascii="Times New Roman" w:hAnsi="Times New Roman" w:eastAsia="宋体" w:cs="Times New Roman"/>
          <w:bCs/>
          <w:szCs w:val="21"/>
        </w:rPr>
        <w:t>）将患者分为六级。</w:t>
      </w:r>
    </w:p>
    <w:p w14:paraId="75F6E5AC">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eastAsia" w:ascii="Times New Roman" w:hAnsi="Times New Roman" w:eastAsia="宋体" w:cs="Times New Roman"/>
          <w:bCs/>
          <w:szCs w:val="21"/>
        </w:rPr>
        <w:t xml:space="preserve"> </w:t>
      </w:r>
      <w:r>
        <w:rPr>
          <w:rFonts w:hint="default" w:ascii="Times New Roman" w:hAnsi="Times New Roman" w:eastAsia="宋体" w:cs="Times New Roman"/>
          <w:bCs/>
          <w:szCs w:val="21"/>
        </w:rPr>
        <w:t>Ⅰ</w:t>
      </w:r>
      <w:r>
        <w:rPr>
          <w:rFonts w:hint="eastAsia" w:ascii="Times New Roman" w:hAnsi="Times New Roman" w:eastAsia="宋体" w:cs="Times New Roman"/>
          <w:bCs/>
          <w:szCs w:val="21"/>
        </w:rPr>
        <w:t>级：患者的重要器官功能正常，体格健壮，能耐受麻醉和手术。</w:t>
      </w:r>
    </w:p>
    <w:p w14:paraId="1BD5DEBD">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eastAsia" w:ascii="Times New Roman" w:hAnsi="Times New Roman" w:eastAsia="宋体" w:cs="Times New Roman"/>
          <w:bCs/>
          <w:szCs w:val="21"/>
        </w:rPr>
        <w:t xml:space="preserve"> </w:t>
      </w:r>
      <w:r>
        <w:rPr>
          <w:rFonts w:hint="default" w:ascii="Times New Roman" w:hAnsi="Times New Roman" w:eastAsia="宋体" w:cs="Times New Roman"/>
          <w:bCs/>
          <w:szCs w:val="21"/>
        </w:rPr>
        <w:t>Ⅱ</w:t>
      </w:r>
      <w:r>
        <w:rPr>
          <w:rFonts w:hint="eastAsia" w:ascii="Times New Roman" w:hAnsi="Times New Roman" w:eastAsia="宋体" w:cs="Times New Roman"/>
          <w:bCs/>
          <w:szCs w:val="21"/>
        </w:rPr>
        <w:t>级：患者的重要器官功能虽有轻度病变，但代偿完全，日常活动不受限制，能耐受一般麻醉和手术。</w:t>
      </w:r>
    </w:p>
    <w:p w14:paraId="76CEB7D2">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eastAsia" w:ascii="Times New Roman" w:hAnsi="Times New Roman" w:eastAsia="宋体" w:cs="Times New Roman"/>
          <w:bCs/>
          <w:szCs w:val="21"/>
        </w:rPr>
        <w:t xml:space="preserve"> </w:t>
      </w:r>
      <w:r>
        <w:rPr>
          <w:rFonts w:hint="default" w:ascii="Times New Roman" w:hAnsi="Times New Roman" w:eastAsia="宋体" w:cs="Times New Roman"/>
          <w:bCs/>
          <w:szCs w:val="21"/>
        </w:rPr>
        <w:t>Ⅲ</w:t>
      </w:r>
      <w:r>
        <w:rPr>
          <w:rFonts w:hint="eastAsia" w:ascii="Times New Roman" w:hAnsi="Times New Roman" w:eastAsia="宋体" w:cs="Times New Roman"/>
          <w:bCs/>
          <w:szCs w:val="21"/>
        </w:rPr>
        <w:t>级：患者重要器功能病变严重，功能受损在代偿范围内，日常活动受限，但尚能完成，对施行麻醉和手术仍有顾虑。</w:t>
      </w:r>
    </w:p>
    <w:p w14:paraId="736EF836">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eastAsia" w:ascii="Times New Roman" w:hAnsi="Times New Roman" w:eastAsia="宋体" w:cs="Times New Roman"/>
          <w:bCs/>
          <w:szCs w:val="21"/>
        </w:rPr>
        <w:t xml:space="preserve"> </w:t>
      </w:r>
      <w:r>
        <w:rPr>
          <w:rFonts w:hint="default" w:ascii="Times New Roman" w:hAnsi="Times New Roman" w:eastAsia="宋体" w:cs="Times New Roman"/>
          <w:bCs/>
          <w:szCs w:val="21"/>
        </w:rPr>
        <w:t>Ⅳ</w:t>
      </w:r>
      <w:r>
        <w:rPr>
          <w:rFonts w:hint="eastAsia" w:ascii="Times New Roman" w:hAnsi="Times New Roman" w:eastAsia="宋体" w:cs="Times New Roman"/>
          <w:bCs/>
          <w:szCs w:val="21"/>
        </w:rPr>
        <w:t>级：患者的重要器官功能病变严重，功能代偿不全，已威胁安全，施行麻醉和手术均有危险。</w:t>
      </w:r>
    </w:p>
    <w:p w14:paraId="03351274">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eastAsia" w:ascii="Times New Roman" w:hAnsi="Times New Roman" w:eastAsia="宋体" w:cs="Times New Roman"/>
          <w:bCs/>
          <w:szCs w:val="21"/>
        </w:rPr>
        <w:t xml:space="preserve"> </w:t>
      </w:r>
      <w:r>
        <w:rPr>
          <w:rFonts w:hint="default" w:ascii="Times New Roman" w:hAnsi="Times New Roman" w:eastAsia="宋体" w:cs="Times New Roman"/>
          <w:bCs/>
          <w:szCs w:val="21"/>
        </w:rPr>
        <w:t>Ⅴ</w:t>
      </w:r>
      <w:r>
        <w:rPr>
          <w:rFonts w:hint="eastAsia" w:ascii="Times New Roman" w:hAnsi="Times New Roman" w:eastAsia="宋体" w:cs="Times New Roman"/>
          <w:bCs/>
          <w:szCs w:val="21"/>
        </w:rPr>
        <w:t>级：患者病情已达濒死阶段，不论手术与否难以存活</w:t>
      </w:r>
      <w:r>
        <w:rPr>
          <w:rFonts w:ascii="Times New Roman" w:hAnsi="Times New Roman" w:eastAsia="宋体" w:cs="Times New Roman"/>
          <w:bCs/>
          <w:szCs w:val="21"/>
        </w:rPr>
        <w:t>24</w:t>
      </w:r>
      <w:r>
        <w:rPr>
          <w:rFonts w:hint="eastAsia" w:ascii="Times New Roman" w:hAnsi="Times New Roman" w:eastAsia="宋体" w:cs="Times New Roman"/>
          <w:bCs/>
          <w:szCs w:val="21"/>
        </w:rPr>
        <w:t>小时，手术麻醉冒更大风险。</w:t>
      </w:r>
    </w:p>
    <w:p w14:paraId="26118FBC">
      <w:pPr>
        <w:pStyle w:val="18"/>
        <w:spacing w:before="0" w:beforeLines="-2147483648" w:after="0" w:afterLines="-2147483648"/>
        <w:jc w:val="both"/>
        <w:rPr>
          <w:rFonts w:ascii="Times New Roman" w:hAnsi="Times New Roman" w:eastAsia="宋体" w:cs="Times New Roman"/>
          <w:bCs/>
          <w:szCs w:val="21"/>
        </w:rPr>
      </w:pPr>
      <w:r>
        <w:rPr>
          <w:rFonts w:ascii="Times New Roman" w:hAnsi="Times New Roman" w:eastAsia="宋体" w:cs="Times New Roman"/>
          <w:bCs/>
          <w:szCs w:val="21"/>
        </w:rPr>
        <w:t>ASA</w:t>
      </w:r>
      <w:r>
        <w:rPr>
          <w:rFonts w:hint="default" w:ascii="Times New Roman" w:hAnsi="Times New Roman" w:eastAsia="宋体" w:cs="Times New Roman"/>
          <w:bCs/>
          <w:szCs w:val="21"/>
        </w:rPr>
        <w:t>Ⅵ</w:t>
      </w:r>
      <w:r>
        <w:rPr>
          <w:rFonts w:hint="eastAsia" w:ascii="Times New Roman" w:hAnsi="Times New Roman" w:eastAsia="宋体" w:cs="Times New Roman"/>
          <w:bCs/>
          <w:szCs w:val="21"/>
        </w:rPr>
        <w:t>级：已宣布为脑死亡的患者，其器官被用于捐献。</w:t>
      </w:r>
    </w:p>
    <w:p w14:paraId="0AC3DD7E">
      <w:pPr>
        <w:jc w:val="left"/>
        <w:rPr>
          <w:rFonts w:hint="eastAsia"/>
          <w:b/>
          <w:bCs/>
        </w:rPr>
      </w:pPr>
      <w:r>
        <w:rPr>
          <w:rFonts w:hint="eastAsia" w:ascii="黑体" w:hAnsi="黑体" w:eastAsia="黑体" w:cs="黑体"/>
          <w:bCs/>
          <w:szCs w:val="21"/>
        </w:rPr>
        <w:t>5.3.2 功能储备评估</w:t>
      </w:r>
    </w:p>
    <w:p w14:paraId="1714EC1D">
      <w:pPr>
        <w:pStyle w:val="18"/>
        <w:ind w:firstLineChars="200"/>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主要包括日常生活活动能力、步态和行动能力、跌倒风险评估。</w:t>
      </w:r>
      <w:bookmarkStart w:id="14" w:name="_Hlk207433377"/>
      <w:r>
        <w:rPr>
          <w:rFonts w:hint="eastAsia" w:ascii="Times New Roman" w:hAnsi="Times New Roman" w:eastAsia="宋体" w:cs="Times New Roman"/>
          <w:bCs/>
          <w:szCs w:val="21"/>
        </w:rPr>
        <w:t>日常生活活动能力（Activities of daily living, ADL）</w:t>
      </w:r>
      <w:bookmarkEnd w:id="14"/>
      <w:r>
        <w:rPr>
          <w:rFonts w:hint="eastAsia" w:ascii="Times New Roman" w:hAnsi="Times New Roman" w:eastAsia="宋体" w:cs="Times New Roman"/>
          <w:bCs/>
          <w:szCs w:val="21"/>
        </w:rPr>
        <w:t>评估采用改良巴氏指数法。</w:t>
      </w:r>
    </w:p>
    <w:p w14:paraId="18B2D700">
      <w:pPr>
        <w:ind w:left="840"/>
        <w:jc w:val="center"/>
        <w:rPr>
          <w:rFonts w:hint="eastAsia" w:ascii="Times New Roman" w:hAnsi="Times New Roman" w:eastAsia="宋体" w:cs="Times New Roman"/>
          <w:b w:val="0"/>
          <w:bCs w:val="0"/>
          <w:szCs w:val="21"/>
        </w:rPr>
      </w:pPr>
      <w:r>
        <w:rPr>
          <w:rFonts w:hint="eastAsia" w:ascii="Times New Roman" w:hAnsi="Times New Roman" w:eastAsia="宋体" w:cs="Times New Roman"/>
          <w:b w:val="0"/>
          <w:bCs w:val="0"/>
          <w:szCs w:val="21"/>
        </w:rPr>
        <w:t>表1 改良Barthel指数评分标准</w:t>
      </w:r>
    </w:p>
    <w:tbl>
      <w:tblPr>
        <w:tblStyle w:val="13"/>
        <w:tblW w:w="0" w:type="auto"/>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502"/>
        <w:gridCol w:w="1187"/>
        <w:gridCol w:w="1275"/>
        <w:gridCol w:w="1276"/>
        <w:gridCol w:w="1276"/>
        <w:gridCol w:w="1276"/>
      </w:tblGrid>
      <w:tr w14:paraId="7D4E96B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1FEED2E6">
            <w:pPr>
              <w:jc w:val="left"/>
              <w:rPr>
                <w:rFonts w:hint="eastAsia" w:ascii="Times New Roman" w:hAnsi="Times New Roman" w:eastAsia="宋体" w:cs="Times New Roman"/>
                <w:szCs w:val="21"/>
              </w:rPr>
            </w:pPr>
            <w:r>
              <w:rPr>
                <w:rFonts w:hint="eastAsia" w:ascii="Times New Roman" w:hAnsi="Times New Roman" w:eastAsia="宋体" w:cs="Times New Roman"/>
                <w:szCs w:val="21"/>
              </w:rPr>
              <w:t>ADL评估项目</w:t>
            </w:r>
          </w:p>
        </w:tc>
        <w:tc>
          <w:tcPr>
            <w:tcW w:w="1187" w:type="dxa"/>
          </w:tcPr>
          <w:p w14:paraId="281D885D">
            <w:pPr>
              <w:jc w:val="left"/>
              <w:rPr>
                <w:rFonts w:hint="eastAsia" w:ascii="Times New Roman" w:hAnsi="Times New Roman" w:eastAsia="宋体" w:cs="Times New Roman"/>
                <w:szCs w:val="21"/>
              </w:rPr>
            </w:pPr>
            <w:r>
              <w:rPr>
                <w:rFonts w:hint="eastAsia" w:ascii="Times New Roman" w:hAnsi="Times New Roman" w:eastAsia="宋体" w:cs="Times New Roman"/>
                <w:szCs w:val="21"/>
              </w:rPr>
              <w:t>完全依赖</w:t>
            </w:r>
          </w:p>
          <w:p w14:paraId="10052437">
            <w:pPr>
              <w:jc w:val="left"/>
              <w:rPr>
                <w:rFonts w:hint="eastAsia" w:ascii="Times New Roman" w:hAnsi="Times New Roman" w:eastAsia="宋体" w:cs="Times New Roman"/>
                <w:szCs w:val="21"/>
              </w:rPr>
            </w:pPr>
            <w:r>
              <w:rPr>
                <w:rFonts w:hint="eastAsia" w:ascii="Times New Roman" w:hAnsi="Times New Roman" w:eastAsia="宋体" w:cs="Times New Roman"/>
                <w:szCs w:val="21"/>
              </w:rPr>
              <w:t>1级</w:t>
            </w:r>
          </w:p>
        </w:tc>
        <w:tc>
          <w:tcPr>
            <w:tcW w:w="1275" w:type="dxa"/>
          </w:tcPr>
          <w:p w14:paraId="304B0FF3">
            <w:pPr>
              <w:jc w:val="left"/>
              <w:rPr>
                <w:rFonts w:hint="eastAsia" w:ascii="Times New Roman" w:hAnsi="Times New Roman" w:eastAsia="宋体" w:cs="Times New Roman"/>
                <w:szCs w:val="21"/>
              </w:rPr>
            </w:pPr>
            <w:r>
              <w:rPr>
                <w:rFonts w:hint="eastAsia" w:ascii="Times New Roman" w:hAnsi="Times New Roman" w:eastAsia="宋体" w:cs="Times New Roman"/>
                <w:szCs w:val="21"/>
              </w:rPr>
              <w:t>最大帮助</w:t>
            </w:r>
          </w:p>
          <w:p w14:paraId="4AAF9912">
            <w:pPr>
              <w:jc w:val="left"/>
              <w:rPr>
                <w:rFonts w:hint="eastAsia" w:ascii="Times New Roman" w:hAnsi="Times New Roman" w:eastAsia="宋体" w:cs="Times New Roman"/>
                <w:szCs w:val="21"/>
              </w:rPr>
            </w:pPr>
            <w:r>
              <w:rPr>
                <w:rFonts w:hint="eastAsia" w:ascii="Times New Roman" w:hAnsi="Times New Roman" w:eastAsia="宋体" w:cs="Times New Roman"/>
                <w:szCs w:val="21"/>
              </w:rPr>
              <w:t>2级</w:t>
            </w:r>
          </w:p>
        </w:tc>
        <w:tc>
          <w:tcPr>
            <w:tcW w:w="1276" w:type="dxa"/>
          </w:tcPr>
          <w:p w14:paraId="4D901F6E">
            <w:pPr>
              <w:jc w:val="left"/>
              <w:rPr>
                <w:rFonts w:hint="eastAsia" w:ascii="Times New Roman" w:hAnsi="Times New Roman" w:eastAsia="宋体" w:cs="Times New Roman"/>
                <w:szCs w:val="21"/>
              </w:rPr>
            </w:pPr>
            <w:r>
              <w:rPr>
                <w:rFonts w:hint="eastAsia" w:ascii="Times New Roman" w:hAnsi="Times New Roman" w:eastAsia="宋体" w:cs="Times New Roman"/>
                <w:szCs w:val="21"/>
              </w:rPr>
              <w:t>中等帮助</w:t>
            </w:r>
          </w:p>
          <w:p w14:paraId="2D129B46">
            <w:pPr>
              <w:jc w:val="left"/>
              <w:rPr>
                <w:rFonts w:hint="eastAsia" w:ascii="Times New Roman" w:hAnsi="Times New Roman" w:eastAsia="宋体" w:cs="Times New Roman"/>
                <w:szCs w:val="21"/>
              </w:rPr>
            </w:pPr>
            <w:r>
              <w:rPr>
                <w:rFonts w:hint="eastAsia" w:ascii="Times New Roman" w:hAnsi="Times New Roman" w:eastAsia="宋体" w:cs="Times New Roman"/>
                <w:szCs w:val="21"/>
              </w:rPr>
              <w:t>3级</w:t>
            </w:r>
          </w:p>
        </w:tc>
        <w:tc>
          <w:tcPr>
            <w:tcW w:w="1276" w:type="dxa"/>
          </w:tcPr>
          <w:p w14:paraId="3DDB9DE1">
            <w:pPr>
              <w:jc w:val="left"/>
              <w:rPr>
                <w:rFonts w:hint="eastAsia" w:ascii="Times New Roman" w:hAnsi="Times New Roman" w:eastAsia="宋体" w:cs="Times New Roman"/>
                <w:szCs w:val="21"/>
              </w:rPr>
            </w:pPr>
            <w:r>
              <w:rPr>
                <w:rFonts w:hint="eastAsia" w:ascii="Times New Roman" w:hAnsi="Times New Roman" w:eastAsia="宋体" w:cs="Times New Roman"/>
                <w:szCs w:val="21"/>
              </w:rPr>
              <w:t>最小帮助</w:t>
            </w:r>
          </w:p>
          <w:p w14:paraId="2D448539">
            <w:pPr>
              <w:jc w:val="left"/>
              <w:rPr>
                <w:rFonts w:hint="eastAsia" w:ascii="Times New Roman" w:hAnsi="Times New Roman" w:eastAsia="宋体" w:cs="Times New Roman"/>
                <w:szCs w:val="21"/>
              </w:rPr>
            </w:pPr>
            <w:r>
              <w:rPr>
                <w:rFonts w:hint="eastAsia" w:ascii="Times New Roman" w:hAnsi="Times New Roman" w:eastAsia="宋体" w:cs="Times New Roman"/>
                <w:szCs w:val="21"/>
              </w:rPr>
              <w:t>4级</w:t>
            </w:r>
          </w:p>
        </w:tc>
        <w:tc>
          <w:tcPr>
            <w:tcW w:w="1276" w:type="dxa"/>
          </w:tcPr>
          <w:p w14:paraId="38B7B64C">
            <w:pPr>
              <w:jc w:val="left"/>
              <w:rPr>
                <w:rFonts w:hint="eastAsia" w:ascii="Times New Roman" w:hAnsi="Times New Roman" w:eastAsia="宋体" w:cs="Times New Roman"/>
                <w:szCs w:val="21"/>
              </w:rPr>
            </w:pPr>
            <w:r>
              <w:rPr>
                <w:rFonts w:hint="eastAsia" w:ascii="Times New Roman" w:hAnsi="Times New Roman" w:eastAsia="宋体" w:cs="Times New Roman"/>
                <w:szCs w:val="21"/>
              </w:rPr>
              <w:t>完全独立</w:t>
            </w:r>
          </w:p>
          <w:p w14:paraId="7AD94C3C">
            <w:pPr>
              <w:jc w:val="left"/>
              <w:rPr>
                <w:rFonts w:hint="eastAsia" w:ascii="Times New Roman" w:hAnsi="Times New Roman" w:eastAsia="宋体" w:cs="Times New Roman"/>
                <w:szCs w:val="21"/>
              </w:rPr>
            </w:pPr>
            <w:r>
              <w:rPr>
                <w:rFonts w:hint="eastAsia" w:ascii="Times New Roman" w:hAnsi="Times New Roman" w:eastAsia="宋体" w:cs="Times New Roman"/>
                <w:szCs w:val="21"/>
              </w:rPr>
              <w:t>5级</w:t>
            </w:r>
          </w:p>
        </w:tc>
      </w:tr>
      <w:tr w14:paraId="2DF883B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4AF84970">
            <w:pPr>
              <w:jc w:val="left"/>
              <w:rPr>
                <w:rFonts w:hint="eastAsia" w:ascii="Times New Roman" w:hAnsi="Times New Roman" w:eastAsia="宋体" w:cs="Times New Roman"/>
                <w:szCs w:val="21"/>
              </w:rPr>
            </w:pPr>
            <w:r>
              <w:rPr>
                <w:rFonts w:hint="eastAsia" w:ascii="Times New Roman" w:hAnsi="Times New Roman" w:eastAsia="宋体" w:cs="Times New Roman"/>
                <w:szCs w:val="21"/>
              </w:rPr>
              <w:t>修饰</w:t>
            </w:r>
          </w:p>
        </w:tc>
        <w:tc>
          <w:tcPr>
            <w:tcW w:w="1187" w:type="dxa"/>
          </w:tcPr>
          <w:p w14:paraId="322623A2">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7C31BE70">
            <w:pPr>
              <w:jc w:val="left"/>
              <w:rPr>
                <w:rFonts w:hint="eastAsia" w:ascii="Times New Roman" w:hAnsi="Times New Roman" w:eastAsia="宋体" w:cs="Times New Roman"/>
                <w:szCs w:val="21"/>
              </w:rPr>
            </w:pPr>
            <w:r>
              <w:rPr>
                <w:rFonts w:hint="eastAsia" w:ascii="Times New Roman" w:hAnsi="Times New Roman" w:eastAsia="宋体" w:cs="Times New Roman"/>
                <w:szCs w:val="21"/>
              </w:rPr>
              <w:t>1</w:t>
            </w:r>
          </w:p>
        </w:tc>
        <w:tc>
          <w:tcPr>
            <w:tcW w:w="1276" w:type="dxa"/>
          </w:tcPr>
          <w:p w14:paraId="1B63BE8F">
            <w:pPr>
              <w:jc w:val="left"/>
              <w:rPr>
                <w:rFonts w:hint="eastAsia" w:ascii="Times New Roman" w:hAnsi="Times New Roman" w:eastAsia="宋体" w:cs="Times New Roman"/>
                <w:szCs w:val="21"/>
              </w:rPr>
            </w:pPr>
            <w:r>
              <w:rPr>
                <w:rFonts w:hint="eastAsia" w:ascii="Times New Roman" w:hAnsi="Times New Roman" w:eastAsia="宋体" w:cs="Times New Roman"/>
                <w:szCs w:val="21"/>
              </w:rPr>
              <w:t>3</w:t>
            </w:r>
          </w:p>
        </w:tc>
        <w:tc>
          <w:tcPr>
            <w:tcW w:w="1276" w:type="dxa"/>
          </w:tcPr>
          <w:p w14:paraId="5C922EC4">
            <w:pPr>
              <w:jc w:val="left"/>
              <w:rPr>
                <w:rFonts w:hint="eastAsia" w:ascii="Times New Roman" w:hAnsi="Times New Roman" w:eastAsia="宋体" w:cs="Times New Roman"/>
                <w:szCs w:val="21"/>
              </w:rPr>
            </w:pPr>
            <w:r>
              <w:rPr>
                <w:rFonts w:hint="eastAsia" w:ascii="Times New Roman" w:hAnsi="Times New Roman" w:eastAsia="宋体" w:cs="Times New Roman"/>
                <w:szCs w:val="21"/>
              </w:rPr>
              <w:t>4</w:t>
            </w:r>
          </w:p>
        </w:tc>
        <w:tc>
          <w:tcPr>
            <w:tcW w:w="1276" w:type="dxa"/>
          </w:tcPr>
          <w:p w14:paraId="6F190598">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r>
      <w:tr w14:paraId="668F339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31E2DCAD">
            <w:pPr>
              <w:jc w:val="left"/>
              <w:rPr>
                <w:rFonts w:hint="eastAsia" w:ascii="Times New Roman" w:hAnsi="Times New Roman" w:eastAsia="宋体" w:cs="Times New Roman"/>
                <w:szCs w:val="21"/>
              </w:rPr>
            </w:pPr>
            <w:r>
              <w:rPr>
                <w:rFonts w:hint="eastAsia" w:ascii="Times New Roman" w:hAnsi="Times New Roman" w:eastAsia="宋体" w:cs="Times New Roman"/>
                <w:szCs w:val="21"/>
              </w:rPr>
              <w:t>洗澡</w:t>
            </w:r>
          </w:p>
        </w:tc>
        <w:tc>
          <w:tcPr>
            <w:tcW w:w="1187" w:type="dxa"/>
          </w:tcPr>
          <w:p w14:paraId="6738ABB7">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042087A4">
            <w:pPr>
              <w:jc w:val="left"/>
              <w:rPr>
                <w:rFonts w:hint="eastAsia" w:ascii="Times New Roman" w:hAnsi="Times New Roman" w:eastAsia="宋体" w:cs="Times New Roman"/>
                <w:szCs w:val="21"/>
              </w:rPr>
            </w:pPr>
            <w:r>
              <w:rPr>
                <w:rFonts w:hint="eastAsia" w:ascii="Times New Roman" w:hAnsi="Times New Roman" w:eastAsia="宋体" w:cs="Times New Roman"/>
                <w:szCs w:val="21"/>
              </w:rPr>
              <w:t>1</w:t>
            </w:r>
          </w:p>
        </w:tc>
        <w:tc>
          <w:tcPr>
            <w:tcW w:w="1276" w:type="dxa"/>
          </w:tcPr>
          <w:p w14:paraId="6F00513A">
            <w:pPr>
              <w:jc w:val="left"/>
              <w:rPr>
                <w:rFonts w:hint="eastAsia" w:ascii="Times New Roman" w:hAnsi="Times New Roman" w:eastAsia="宋体" w:cs="Times New Roman"/>
                <w:szCs w:val="21"/>
              </w:rPr>
            </w:pPr>
            <w:r>
              <w:rPr>
                <w:rFonts w:hint="eastAsia" w:ascii="Times New Roman" w:hAnsi="Times New Roman" w:eastAsia="宋体" w:cs="Times New Roman"/>
                <w:szCs w:val="21"/>
              </w:rPr>
              <w:t>3</w:t>
            </w:r>
          </w:p>
        </w:tc>
        <w:tc>
          <w:tcPr>
            <w:tcW w:w="1276" w:type="dxa"/>
          </w:tcPr>
          <w:p w14:paraId="7A39162D">
            <w:pPr>
              <w:jc w:val="left"/>
              <w:rPr>
                <w:rFonts w:hint="eastAsia" w:ascii="Times New Roman" w:hAnsi="Times New Roman" w:eastAsia="宋体" w:cs="Times New Roman"/>
                <w:szCs w:val="21"/>
              </w:rPr>
            </w:pPr>
            <w:r>
              <w:rPr>
                <w:rFonts w:hint="eastAsia" w:ascii="Times New Roman" w:hAnsi="Times New Roman" w:eastAsia="宋体" w:cs="Times New Roman"/>
                <w:szCs w:val="21"/>
              </w:rPr>
              <w:t>4</w:t>
            </w:r>
          </w:p>
        </w:tc>
        <w:tc>
          <w:tcPr>
            <w:tcW w:w="1276" w:type="dxa"/>
          </w:tcPr>
          <w:p w14:paraId="7B14C324">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r>
      <w:tr w14:paraId="1B479C5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1EBAF6E8">
            <w:pPr>
              <w:jc w:val="left"/>
              <w:rPr>
                <w:rFonts w:hint="eastAsia" w:ascii="Times New Roman" w:hAnsi="Times New Roman" w:eastAsia="宋体" w:cs="Times New Roman"/>
                <w:szCs w:val="21"/>
              </w:rPr>
            </w:pPr>
            <w:r>
              <w:rPr>
                <w:rFonts w:hint="eastAsia" w:ascii="Times New Roman" w:hAnsi="Times New Roman" w:eastAsia="宋体" w:cs="Times New Roman"/>
                <w:szCs w:val="21"/>
              </w:rPr>
              <w:t>进食</w:t>
            </w:r>
          </w:p>
        </w:tc>
        <w:tc>
          <w:tcPr>
            <w:tcW w:w="1187" w:type="dxa"/>
          </w:tcPr>
          <w:p w14:paraId="059EEDF6">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3D1BBB60">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6BF036E0">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797629E1">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45319C57">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15A10E4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254543D8">
            <w:pPr>
              <w:jc w:val="left"/>
              <w:rPr>
                <w:rFonts w:hint="eastAsia" w:ascii="Times New Roman" w:hAnsi="Times New Roman" w:eastAsia="宋体" w:cs="Times New Roman"/>
                <w:szCs w:val="21"/>
              </w:rPr>
            </w:pPr>
            <w:r>
              <w:rPr>
                <w:rFonts w:hint="eastAsia" w:ascii="Times New Roman" w:hAnsi="Times New Roman" w:eastAsia="宋体" w:cs="Times New Roman"/>
                <w:szCs w:val="21"/>
              </w:rPr>
              <w:t>用厕</w:t>
            </w:r>
          </w:p>
        </w:tc>
        <w:tc>
          <w:tcPr>
            <w:tcW w:w="1187" w:type="dxa"/>
          </w:tcPr>
          <w:p w14:paraId="6D487C93">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10DFFBB5">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7BC7FC3B">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42246D74">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0A87C519">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6C80312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5EAD6420">
            <w:pPr>
              <w:jc w:val="left"/>
              <w:rPr>
                <w:rFonts w:hint="eastAsia" w:ascii="Times New Roman" w:hAnsi="Times New Roman" w:eastAsia="宋体" w:cs="Times New Roman"/>
                <w:szCs w:val="21"/>
              </w:rPr>
            </w:pPr>
            <w:r>
              <w:rPr>
                <w:rFonts w:hint="eastAsia" w:ascii="Times New Roman" w:hAnsi="Times New Roman" w:eastAsia="宋体" w:cs="Times New Roman"/>
                <w:szCs w:val="21"/>
              </w:rPr>
              <w:t>穿衣</w:t>
            </w:r>
          </w:p>
        </w:tc>
        <w:tc>
          <w:tcPr>
            <w:tcW w:w="1187" w:type="dxa"/>
          </w:tcPr>
          <w:p w14:paraId="3CE71184">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0797D264">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666F0D35">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4D5AA403">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2952E74D">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0555DCD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0CEA0673">
            <w:pPr>
              <w:jc w:val="left"/>
              <w:rPr>
                <w:rFonts w:hint="eastAsia" w:ascii="Times New Roman" w:hAnsi="Times New Roman" w:eastAsia="宋体" w:cs="Times New Roman"/>
                <w:szCs w:val="21"/>
              </w:rPr>
            </w:pPr>
            <w:r>
              <w:rPr>
                <w:rFonts w:hint="eastAsia" w:ascii="Times New Roman" w:hAnsi="Times New Roman" w:eastAsia="宋体" w:cs="Times New Roman"/>
                <w:szCs w:val="21"/>
              </w:rPr>
              <w:t>大便控制</w:t>
            </w:r>
          </w:p>
        </w:tc>
        <w:tc>
          <w:tcPr>
            <w:tcW w:w="1187" w:type="dxa"/>
          </w:tcPr>
          <w:p w14:paraId="090631A3">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4DAAF51C">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328A042C">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73CECD05">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5F9C2C21">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39C9374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4A04BD7A">
            <w:pPr>
              <w:jc w:val="left"/>
              <w:rPr>
                <w:rFonts w:hint="eastAsia" w:ascii="Times New Roman" w:hAnsi="Times New Roman" w:eastAsia="宋体" w:cs="Times New Roman"/>
                <w:szCs w:val="21"/>
              </w:rPr>
            </w:pPr>
            <w:r>
              <w:rPr>
                <w:rFonts w:hint="eastAsia" w:ascii="Times New Roman" w:hAnsi="Times New Roman" w:eastAsia="宋体" w:cs="Times New Roman"/>
                <w:szCs w:val="21"/>
              </w:rPr>
              <w:t>小便控制</w:t>
            </w:r>
          </w:p>
        </w:tc>
        <w:tc>
          <w:tcPr>
            <w:tcW w:w="1187" w:type="dxa"/>
          </w:tcPr>
          <w:p w14:paraId="32E5C7B7">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342B7B84">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032E4E19">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2276D213">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4365F733">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401AFA1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775A2070">
            <w:pPr>
              <w:jc w:val="left"/>
              <w:rPr>
                <w:rFonts w:hint="eastAsia" w:ascii="Times New Roman" w:hAnsi="Times New Roman" w:eastAsia="宋体" w:cs="Times New Roman"/>
                <w:szCs w:val="21"/>
              </w:rPr>
            </w:pPr>
            <w:r>
              <w:rPr>
                <w:rFonts w:hint="eastAsia" w:ascii="Times New Roman" w:hAnsi="Times New Roman" w:eastAsia="宋体" w:cs="Times New Roman"/>
                <w:szCs w:val="21"/>
              </w:rPr>
              <w:t>上下楼梯</w:t>
            </w:r>
          </w:p>
        </w:tc>
        <w:tc>
          <w:tcPr>
            <w:tcW w:w="1187" w:type="dxa"/>
          </w:tcPr>
          <w:p w14:paraId="579B68BD">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000E04D6">
            <w:pPr>
              <w:jc w:val="left"/>
              <w:rPr>
                <w:rFonts w:hint="eastAsia" w:ascii="Times New Roman" w:hAnsi="Times New Roman" w:eastAsia="宋体" w:cs="Times New Roman"/>
                <w:szCs w:val="21"/>
              </w:rPr>
            </w:pPr>
            <w:r>
              <w:rPr>
                <w:rFonts w:hint="eastAsia" w:ascii="Times New Roman" w:hAnsi="Times New Roman" w:eastAsia="宋体" w:cs="Times New Roman"/>
                <w:szCs w:val="21"/>
              </w:rPr>
              <w:t>2</w:t>
            </w:r>
          </w:p>
        </w:tc>
        <w:tc>
          <w:tcPr>
            <w:tcW w:w="1276" w:type="dxa"/>
          </w:tcPr>
          <w:p w14:paraId="34DC47FB">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c>
          <w:tcPr>
            <w:tcW w:w="1276" w:type="dxa"/>
          </w:tcPr>
          <w:p w14:paraId="01C2318B">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11F35BF1">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2CF837A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65F9A836">
            <w:pPr>
              <w:jc w:val="left"/>
              <w:rPr>
                <w:rFonts w:hint="eastAsia" w:ascii="Times New Roman" w:hAnsi="Times New Roman" w:eastAsia="宋体" w:cs="Times New Roman"/>
                <w:szCs w:val="21"/>
              </w:rPr>
            </w:pPr>
            <w:r>
              <w:rPr>
                <w:rFonts w:hint="eastAsia" w:ascii="Times New Roman" w:hAnsi="Times New Roman" w:eastAsia="宋体" w:cs="Times New Roman"/>
                <w:szCs w:val="21"/>
              </w:rPr>
              <w:t>床椅转移</w:t>
            </w:r>
          </w:p>
        </w:tc>
        <w:tc>
          <w:tcPr>
            <w:tcW w:w="1187" w:type="dxa"/>
          </w:tcPr>
          <w:p w14:paraId="35B7079E">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49AC16BC">
            <w:pPr>
              <w:jc w:val="left"/>
              <w:rPr>
                <w:rFonts w:hint="eastAsia" w:ascii="Times New Roman" w:hAnsi="Times New Roman" w:eastAsia="宋体" w:cs="Times New Roman"/>
                <w:szCs w:val="21"/>
              </w:rPr>
            </w:pPr>
            <w:r>
              <w:rPr>
                <w:rFonts w:hint="eastAsia" w:ascii="Times New Roman" w:hAnsi="Times New Roman" w:eastAsia="宋体" w:cs="Times New Roman"/>
                <w:szCs w:val="21"/>
              </w:rPr>
              <w:t>3</w:t>
            </w:r>
          </w:p>
        </w:tc>
        <w:tc>
          <w:tcPr>
            <w:tcW w:w="1276" w:type="dxa"/>
          </w:tcPr>
          <w:p w14:paraId="69F0F812">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5C69B935">
            <w:pPr>
              <w:jc w:val="left"/>
              <w:rPr>
                <w:rFonts w:hint="eastAsia" w:ascii="Times New Roman" w:hAnsi="Times New Roman" w:eastAsia="宋体" w:cs="Times New Roman"/>
                <w:szCs w:val="21"/>
              </w:rPr>
            </w:pPr>
            <w:r>
              <w:rPr>
                <w:rFonts w:hint="eastAsia" w:ascii="Times New Roman" w:hAnsi="Times New Roman" w:eastAsia="宋体" w:cs="Times New Roman"/>
                <w:szCs w:val="21"/>
              </w:rPr>
              <w:t>12</w:t>
            </w:r>
          </w:p>
        </w:tc>
        <w:tc>
          <w:tcPr>
            <w:tcW w:w="1276" w:type="dxa"/>
          </w:tcPr>
          <w:p w14:paraId="5EF30AF5">
            <w:pPr>
              <w:jc w:val="left"/>
              <w:rPr>
                <w:rFonts w:hint="eastAsia" w:ascii="Times New Roman" w:hAnsi="Times New Roman" w:eastAsia="宋体" w:cs="Times New Roman"/>
                <w:szCs w:val="21"/>
              </w:rPr>
            </w:pPr>
            <w:r>
              <w:rPr>
                <w:rFonts w:hint="eastAsia" w:ascii="Times New Roman" w:hAnsi="Times New Roman" w:eastAsia="宋体" w:cs="Times New Roman"/>
                <w:szCs w:val="21"/>
              </w:rPr>
              <w:t>15</w:t>
            </w:r>
          </w:p>
        </w:tc>
      </w:tr>
      <w:tr w14:paraId="582EA61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497B51DD">
            <w:pPr>
              <w:jc w:val="left"/>
              <w:rPr>
                <w:rFonts w:hint="eastAsia" w:ascii="Times New Roman" w:hAnsi="Times New Roman" w:eastAsia="宋体" w:cs="Times New Roman"/>
                <w:szCs w:val="21"/>
              </w:rPr>
            </w:pPr>
            <w:r>
              <w:rPr>
                <w:rFonts w:hint="eastAsia" w:ascii="Times New Roman" w:hAnsi="Times New Roman" w:eastAsia="宋体" w:cs="Times New Roman"/>
                <w:szCs w:val="21"/>
              </w:rPr>
              <w:t>平地行走</w:t>
            </w:r>
          </w:p>
        </w:tc>
        <w:tc>
          <w:tcPr>
            <w:tcW w:w="1187" w:type="dxa"/>
          </w:tcPr>
          <w:p w14:paraId="1B006979">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79DB06CB">
            <w:pPr>
              <w:jc w:val="left"/>
              <w:rPr>
                <w:rFonts w:hint="eastAsia" w:ascii="Times New Roman" w:hAnsi="Times New Roman" w:eastAsia="宋体" w:cs="Times New Roman"/>
                <w:szCs w:val="21"/>
              </w:rPr>
            </w:pPr>
            <w:r>
              <w:rPr>
                <w:rFonts w:hint="eastAsia" w:ascii="Times New Roman" w:hAnsi="Times New Roman" w:eastAsia="宋体" w:cs="Times New Roman"/>
                <w:szCs w:val="21"/>
              </w:rPr>
              <w:t>3</w:t>
            </w:r>
          </w:p>
        </w:tc>
        <w:tc>
          <w:tcPr>
            <w:tcW w:w="1276" w:type="dxa"/>
          </w:tcPr>
          <w:p w14:paraId="62A090A8">
            <w:pPr>
              <w:jc w:val="left"/>
              <w:rPr>
                <w:rFonts w:hint="eastAsia" w:ascii="Times New Roman" w:hAnsi="Times New Roman" w:eastAsia="宋体" w:cs="Times New Roman"/>
                <w:szCs w:val="21"/>
              </w:rPr>
            </w:pPr>
            <w:r>
              <w:rPr>
                <w:rFonts w:hint="eastAsia" w:ascii="Times New Roman" w:hAnsi="Times New Roman" w:eastAsia="宋体" w:cs="Times New Roman"/>
                <w:szCs w:val="21"/>
              </w:rPr>
              <w:t>8</w:t>
            </w:r>
          </w:p>
        </w:tc>
        <w:tc>
          <w:tcPr>
            <w:tcW w:w="1276" w:type="dxa"/>
          </w:tcPr>
          <w:p w14:paraId="44DA6110">
            <w:pPr>
              <w:jc w:val="left"/>
              <w:rPr>
                <w:rFonts w:hint="eastAsia" w:ascii="Times New Roman" w:hAnsi="Times New Roman" w:eastAsia="宋体" w:cs="Times New Roman"/>
                <w:szCs w:val="21"/>
              </w:rPr>
            </w:pPr>
            <w:r>
              <w:rPr>
                <w:rFonts w:hint="eastAsia" w:ascii="Times New Roman" w:hAnsi="Times New Roman" w:eastAsia="宋体" w:cs="Times New Roman"/>
                <w:szCs w:val="21"/>
              </w:rPr>
              <w:t>12</w:t>
            </w:r>
          </w:p>
        </w:tc>
        <w:tc>
          <w:tcPr>
            <w:tcW w:w="1276" w:type="dxa"/>
          </w:tcPr>
          <w:p w14:paraId="08CA6919">
            <w:pPr>
              <w:jc w:val="left"/>
              <w:rPr>
                <w:rFonts w:hint="eastAsia" w:ascii="Times New Roman" w:hAnsi="Times New Roman" w:eastAsia="宋体" w:cs="Times New Roman"/>
                <w:szCs w:val="21"/>
              </w:rPr>
            </w:pPr>
            <w:r>
              <w:rPr>
                <w:rFonts w:hint="eastAsia" w:ascii="Times New Roman" w:hAnsi="Times New Roman" w:eastAsia="宋体" w:cs="Times New Roman"/>
                <w:szCs w:val="21"/>
              </w:rPr>
              <w:t>15</w:t>
            </w:r>
          </w:p>
        </w:tc>
      </w:tr>
      <w:tr w14:paraId="06E8C83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502" w:type="dxa"/>
          </w:tcPr>
          <w:p w14:paraId="10A6C189">
            <w:pPr>
              <w:jc w:val="left"/>
              <w:rPr>
                <w:rFonts w:hint="eastAsia" w:ascii="Times New Roman" w:hAnsi="Times New Roman" w:eastAsia="宋体" w:cs="Times New Roman"/>
                <w:szCs w:val="21"/>
              </w:rPr>
            </w:pPr>
            <w:r>
              <w:rPr>
                <w:rFonts w:hint="eastAsia" w:ascii="Times New Roman" w:hAnsi="Times New Roman" w:eastAsia="宋体" w:cs="Times New Roman"/>
                <w:szCs w:val="21"/>
              </w:rPr>
              <w:t>坐轮椅</w:t>
            </w:r>
            <w:r>
              <w:rPr>
                <w:rFonts w:hint="eastAsia" w:ascii="Times New Roman" w:hAnsi="Times New Roman" w:eastAsia="宋体" w:cs="Times New Roman"/>
                <w:szCs w:val="21"/>
                <w:vertAlign w:val="superscript"/>
              </w:rPr>
              <w:t>*</w:t>
            </w:r>
          </w:p>
        </w:tc>
        <w:tc>
          <w:tcPr>
            <w:tcW w:w="1187" w:type="dxa"/>
          </w:tcPr>
          <w:p w14:paraId="685B5DF0">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c>
          <w:tcPr>
            <w:tcW w:w="1275" w:type="dxa"/>
          </w:tcPr>
          <w:p w14:paraId="142FB0BC">
            <w:pPr>
              <w:jc w:val="left"/>
              <w:rPr>
                <w:rFonts w:hint="eastAsia" w:ascii="Times New Roman" w:hAnsi="Times New Roman" w:eastAsia="宋体" w:cs="Times New Roman"/>
                <w:szCs w:val="21"/>
              </w:rPr>
            </w:pPr>
            <w:r>
              <w:rPr>
                <w:rFonts w:hint="eastAsia" w:ascii="Times New Roman" w:hAnsi="Times New Roman" w:eastAsia="宋体" w:cs="Times New Roman"/>
                <w:szCs w:val="21"/>
              </w:rPr>
              <w:t>1</w:t>
            </w:r>
          </w:p>
        </w:tc>
        <w:tc>
          <w:tcPr>
            <w:tcW w:w="1276" w:type="dxa"/>
          </w:tcPr>
          <w:p w14:paraId="049BC908">
            <w:pPr>
              <w:jc w:val="left"/>
              <w:rPr>
                <w:rFonts w:hint="eastAsia" w:ascii="Times New Roman" w:hAnsi="Times New Roman" w:eastAsia="宋体" w:cs="Times New Roman"/>
                <w:szCs w:val="21"/>
              </w:rPr>
            </w:pPr>
            <w:r>
              <w:rPr>
                <w:rFonts w:hint="eastAsia" w:ascii="Times New Roman" w:hAnsi="Times New Roman" w:eastAsia="宋体" w:cs="Times New Roman"/>
                <w:szCs w:val="21"/>
              </w:rPr>
              <w:t>3</w:t>
            </w:r>
          </w:p>
        </w:tc>
        <w:tc>
          <w:tcPr>
            <w:tcW w:w="1276" w:type="dxa"/>
          </w:tcPr>
          <w:p w14:paraId="677BFC3D">
            <w:pPr>
              <w:jc w:val="left"/>
              <w:rPr>
                <w:rFonts w:hint="eastAsia" w:ascii="Times New Roman" w:hAnsi="Times New Roman" w:eastAsia="宋体" w:cs="Times New Roman"/>
                <w:szCs w:val="21"/>
              </w:rPr>
            </w:pPr>
            <w:r>
              <w:rPr>
                <w:rFonts w:hint="eastAsia" w:ascii="Times New Roman" w:hAnsi="Times New Roman" w:eastAsia="宋体" w:cs="Times New Roman"/>
                <w:szCs w:val="21"/>
              </w:rPr>
              <w:t>4</w:t>
            </w:r>
          </w:p>
        </w:tc>
        <w:tc>
          <w:tcPr>
            <w:tcW w:w="1276" w:type="dxa"/>
          </w:tcPr>
          <w:p w14:paraId="1A88A32D">
            <w:pPr>
              <w:jc w:val="left"/>
              <w:rPr>
                <w:rFonts w:hint="eastAsia" w:ascii="Times New Roman" w:hAnsi="Times New Roman" w:eastAsia="宋体" w:cs="Times New Roman"/>
                <w:szCs w:val="21"/>
              </w:rPr>
            </w:pPr>
            <w:r>
              <w:rPr>
                <w:rFonts w:hint="eastAsia" w:ascii="Times New Roman" w:hAnsi="Times New Roman" w:eastAsia="宋体" w:cs="Times New Roman"/>
                <w:szCs w:val="21"/>
              </w:rPr>
              <w:t>5</w:t>
            </w:r>
          </w:p>
        </w:tc>
      </w:tr>
    </w:tbl>
    <w:p w14:paraId="2B55E223">
      <w:pPr>
        <w:ind w:left="840"/>
        <w:jc w:val="left"/>
        <w:rPr>
          <w:rFonts w:hint="eastAsia" w:ascii="Times New Roman" w:hAnsi="Times New Roman" w:eastAsia="宋体" w:cs="Times New Roman"/>
          <w:szCs w:val="21"/>
        </w:rPr>
      </w:pPr>
      <w:r>
        <w:rPr>
          <w:rFonts w:hint="eastAsia" w:ascii="Times New Roman" w:hAnsi="Times New Roman" w:eastAsia="宋体" w:cs="Times New Roman"/>
          <w:szCs w:val="21"/>
          <w:vertAlign w:val="superscript"/>
        </w:rPr>
        <w:t>*</w:t>
      </w:r>
      <w:r>
        <w:rPr>
          <w:rFonts w:hint="eastAsia" w:ascii="Times New Roman" w:hAnsi="Times New Roman" w:eastAsia="宋体" w:cs="Times New Roman"/>
          <w:szCs w:val="21"/>
        </w:rPr>
        <w:t>指是不能行走时评定此项。</w:t>
      </w:r>
    </w:p>
    <w:p w14:paraId="18D131BB">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评估结果：正常100分；≥60分，生活基本自理；41-59分，中度功能障碍，生活需要帮助；21-40分，重度功能障碍，生活明显依赖；≤20分，生活完全依赖。</w:t>
      </w:r>
    </w:p>
    <w:p w14:paraId="2C6DA4AF">
      <w:pPr>
        <w:pStyle w:val="18"/>
        <w:spacing w:before="0" w:beforeAutospacing="0" w:after="150" w:afterAutospacing="0"/>
        <w:rPr>
          <w:rFonts w:hint="eastAsia" w:ascii="Times New Roman" w:hAnsi="Times New Roman" w:cs="Times New Roman"/>
          <w:bCs/>
          <w:kern w:val="2"/>
          <w:sz w:val="21"/>
          <w:szCs w:val="21"/>
        </w:rPr>
      </w:pPr>
      <w:r>
        <w:rPr>
          <w:rFonts w:hint="eastAsia" w:ascii="Times New Roman" w:hAnsi="Times New Roman" w:eastAsia="宋体" w:cs="Times New Roman"/>
          <w:bCs/>
          <w:szCs w:val="21"/>
        </w:rPr>
        <w:t>每一项活动的个别评分标准：</w:t>
      </w:r>
    </w:p>
    <w:p w14:paraId="05538793">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1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①</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进食：用合适的餐具将食物由容器送到口中。整个过程包括咀嚼及吞咽。</w:t>
      </w:r>
    </w:p>
    <w:p w14:paraId="7084B62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2E4C759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0分：完全依赖别人帮助进食。</w:t>
      </w:r>
    </w:p>
    <w:p w14:paraId="46472A7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2分：某种程度上能运用餐具，但在进食的整个过程中需要别人提供协助。</w:t>
      </w:r>
    </w:p>
    <w:p w14:paraId="3336166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5分：能使用餐具，但在进食的某些过程仍需要别人提供协助。</w:t>
      </w:r>
    </w:p>
    <w:p w14:paraId="3D06B6E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8分：病人可以自行进食；或进食过程中需有人从旁监督或提示，以策安全。</w:t>
      </w:r>
    </w:p>
    <w:p w14:paraId="45A37FF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10分：可自行进食，而无需别人在场监督、提示或协助。</w:t>
      </w:r>
    </w:p>
    <w:p w14:paraId="2C708AC9">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2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②</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洗澡：包括清洁、冲洗及擦干由颈至脚的部位。</w:t>
      </w:r>
    </w:p>
    <w:p w14:paraId="7488FE0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46858D6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0分：完全依赖别人协助洗澡。</w:t>
      </w:r>
    </w:p>
    <w:p w14:paraId="0C8DCFC8">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1分：某种程度上能参与，但在整个活动的过程中需要别人提供协助才能完成。</w:t>
      </w:r>
    </w:p>
    <w:p w14:paraId="3768E3B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3分：能参与大部分活动，但在某些过程中仍需要别人提供协助才能完成整项活动。</w:t>
      </w:r>
    </w:p>
    <w:p w14:paraId="4DF4452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4分：准备或收拾时需要协助，病人可自行洗澡；或需别人从旁监督，以策安全。</w:t>
      </w:r>
    </w:p>
    <w:p w14:paraId="2F0D13E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5分：病人可用任何适当的方法自行洗澡。</w:t>
      </w:r>
    </w:p>
    <w:p w14:paraId="23C143A3">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3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③</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个人卫生：包括洗脸、洗手、梳头、保持口腔清洁(包括假牙齿)、剃须(适用于男性)及化妆(适用于有需要的女性)。</w:t>
      </w:r>
    </w:p>
    <w:p w14:paraId="484C78F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38C970C6">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0分：完全依赖别人处理个人卫生。</w:t>
      </w:r>
    </w:p>
    <w:p w14:paraId="22F83BFD">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1分：整个活动的过程中需要别人提供协助才能完成。</w:t>
      </w:r>
    </w:p>
    <w:p w14:paraId="28222D8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3分：某些过程中仍需要别人提供协助才能完成整项活动。</w:t>
      </w:r>
    </w:p>
    <w:p w14:paraId="42388A7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4分：病人虽可自行处理个人卫生，但需别人从旁监督或提示，以策安全。</w:t>
      </w:r>
    </w:p>
    <w:p w14:paraId="0E253148">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5分：病人可自行处理个人卫生。男性病人可自行剃须，而女性病人可自行化妆及整理头发。</w:t>
      </w:r>
    </w:p>
    <w:p w14:paraId="43E04B28">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4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④</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穿衣：包括穿上、脱下及扣好衣物；有需要时也包括佩带腰围、假肢及矫形器。</w:t>
      </w:r>
    </w:p>
    <w:p w14:paraId="0EB0199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14D3A54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0分：完全依赖别人协助穿衣。</w:t>
      </w:r>
    </w:p>
    <w:p w14:paraId="16797230">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2分：整个活动的过程中需要别人提供协助才能完成。</w:t>
      </w:r>
    </w:p>
    <w:p w14:paraId="4C1E4E8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5分：某些过程中仍需要别人提供协助才能完成整项活动。</w:t>
      </w:r>
    </w:p>
    <w:p w14:paraId="41B7D95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8分：病人穿衣过程中需有人从旁监督或提示，以策安全。</w:t>
      </w:r>
    </w:p>
    <w:p w14:paraId="45193326">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10分：自行穿衣而无需别人监督、提示或协助。</w:t>
      </w:r>
    </w:p>
    <w:p w14:paraId="72CC0527">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5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⑤</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肛门控制(大便控制)：能完全地控制肛门或有意识地防止大便失禁。</w:t>
      </w:r>
    </w:p>
    <w:p w14:paraId="17EEACE5">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3A6B8D41">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0分：完全大便失禁。</w:t>
      </w:r>
    </w:p>
    <w:p w14:paraId="4B16DC11">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2分：在摆放适当姿势和诱发大肠活动时方面需要协助，并经常出现大便失禁。</w:t>
      </w:r>
    </w:p>
    <w:p w14:paraId="47054FC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5分：病人能采取适当的姿势，但不能运用诱发大肠活动的技巧；或在清洁身体及更换纸尿片方面需要协助，并间中出现大便失禁。</w:t>
      </w:r>
    </w:p>
    <w:p w14:paraId="31D1F90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8分：偶尔出现大便失禁，病人在使用栓剂或灌肠器时需要监督；或需要定时有人从旁提示，以防失禁。</w:t>
      </w:r>
    </w:p>
    <w:p w14:paraId="5F4A7D4B">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10分：没有大便失禁，在需要时病人可自行使用栓剂或灌肠器。</w:t>
      </w:r>
    </w:p>
    <w:p w14:paraId="47B58F98">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其它方法：肛门造瘘口或使用纸尿片。</w:t>
      </w:r>
    </w:p>
    <w:p w14:paraId="1B52A2E5">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6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⑥</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膀胱控制(小便控制)：指能完全地控制膀胱或有意识地防止小便失禁。</w:t>
      </w:r>
    </w:p>
    <w:p w14:paraId="4C3FFB8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4DA0C601">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0分：完全小便失禁。</w:t>
      </w:r>
    </w:p>
    <w:p w14:paraId="2BD8E00B">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2分：病人是经常小便失禁。</w:t>
      </w:r>
    </w:p>
    <w:p w14:paraId="3A17CB01">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5分：病人通常在日间能保持干爽但晚上小便失禁，并在使用内用或外用辅助器具时需要协助。</w:t>
      </w:r>
    </w:p>
    <w:p w14:paraId="3DD3CA5E">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8分：病人通常能整天保持干爽但间中出现失禁；或在使用内用或外用辅助器具时需要监督；或需要定时有人从旁提示，以防失禁。</w:t>
      </w:r>
    </w:p>
    <w:p w14:paraId="01074C4C">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10分：没有小便失禁或在需要时病人亦可自行使用内用或外用辅助工具。</w:t>
      </w:r>
    </w:p>
    <w:p w14:paraId="1006B26A">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7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⑦</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如厕包括在厕盆上坐下及站起，脱下及穿上裤子，防止弄脏衣物及附近环境，使用厕纸和用后冲厕。</w:t>
      </w:r>
    </w:p>
    <w:p w14:paraId="6BF745D4">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083EB9A3">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0分：完全依赖别人协助如厕。</w:t>
      </w:r>
    </w:p>
    <w:p w14:paraId="69645563">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2分：某种程度上能参与，但在整个活动的过程中需要别人提供协助才能完成。</w:t>
      </w:r>
    </w:p>
    <w:p w14:paraId="492CB97D">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5分：能参与大部分活动，但在某些过程中仍需要别人提供协助才能完成整项活动。</w:t>
      </w:r>
    </w:p>
    <w:p w14:paraId="53D4DA48">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8分：除了在准备或收拾时需要协助，病人可以自行如厕；或过程中需有人从旁监督或提示，以策安全。</w:t>
      </w:r>
    </w:p>
    <w:p w14:paraId="27C6EF3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10分：病人可用任何适当的方法自行如厕。如有需要，病人亦可在晚间使用便盆、便椅或尿壶。</w:t>
      </w:r>
    </w:p>
    <w:p w14:paraId="15D51DBB">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8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⑧</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床椅转移：病人将轮椅移至床边，把煞掣锁紧及拉起脚踏，然后将身体转移到床上并躺下。再坐回床边(在有需要时可移动轮椅的位置)，并将身体转移坐回轮椅上。</w:t>
      </w:r>
    </w:p>
    <w:p w14:paraId="2BE23A3E">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20E135E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0分：完全依赖或需要两人从旁协助或要使用机械装置来帮助转移。</w:t>
      </w:r>
    </w:p>
    <w:p w14:paraId="7ADE203B">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3分：整个活动的过程中需要别人提供协助才能完成。</w:t>
      </w:r>
    </w:p>
    <w:p w14:paraId="3687698D">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8分：某些过程中仍需要别人提供协助才能完成整项活动。</w:t>
      </w:r>
    </w:p>
    <w:p w14:paraId="03E9124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12分：病人可以自行转移；或过程中需有人从旁监督或提示，以策安全。</w:t>
      </w:r>
    </w:p>
    <w:p w14:paraId="1F6EEF48">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15分：自行转移来回于床椅之间，并无需别人从旁监督、提示或协助。</w:t>
      </w:r>
    </w:p>
    <w:p w14:paraId="7DDE6D8D">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9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⑨</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行走：行走从病人站立开始，在平地步行五十米。病人在有需要时可戴上及除下矫形器或假肢，并能适当地使用助行器。</w:t>
      </w:r>
    </w:p>
    <w:p w14:paraId="591DB69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63F31FDD">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0分：完全不能步行。</w:t>
      </w:r>
    </w:p>
    <w:p w14:paraId="011A4D09">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3分：某种程度上能参与，但在整个活动的过程中需要别人提供协助才能完成。</w:t>
      </w:r>
    </w:p>
    <w:p w14:paraId="690A0D63">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8分：能参与大部分活动，但在某些过程中仍需要别人提供协助才能完成整项活动。</w:t>
      </w:r>
    </w:p>
    <w:p w14:paraId="41B074DE">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12分：可自行步行一段距离，但不能完成五十米；或过程中需有人从旁监督或提示，以策安全。</w:t>
      </w:r>
    </w:p>
    <w:p w14:paraId="29804F2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15分：可自行步行五十米，并无需其它人从旁监督、提示或协助。</w:t>
      </w:r>
    </w:p>
    <w:p w14:paraId="3A69513A">
      <w:pPr>
        <w:pStyle w:val="18"/>
        <w:jc w:val="left"/>
        <w:rPr>
          <w:rFonts w:hint="eastAsia" w:ascii="Times New Roman" w:hAnsi="Times New Roman" w:eastAsia="宋体" w:cs="Times New Roman"/>
          <w:bCs/>
          <w:szCs w:val="21"/>
        </w:rPr>
      </w:pPr>
      <w:r>
        <w:rPr>
          <w:rFonts w:ascii="Times New Roman" w:hAnsi="Times New Roman" w:eastAsia="宋体" w:cs="Times New Roman"/>
          <w:bCs/>
          <w:szCs w:val="21"/>
        </w:rPr>
        <w:fldChar w:fldCharType="begin"/>
      </w:r>
      <w:r>
        <w:rPr>
          <w:rFonts w:hint="eastAsia" w:ascii="Times New Roman" w:hAnsi="Times New Roman" w:eastAsia="宋体" w:cs="Times New Roman"/>
          <w:bCs/>
          <w:szCs w:val="21"/>
        </w:rPr>
        <w:instrText xml:space="preserve"> = 10 \* GB3 </w:instrText>
      </w:r>
      <w:r>
        <w:rPr>
          <w:rFonts w:ascii="Times New Roman" w:hAnsi="Times New Roman" w:eastAsia="宋体" w:cs="Times New Roman"/>
          <w:bCs/>
          <w:szCs w:val="21"/>
        </w:rPr>
        <w:fldChar w:fldCharType="separate"/>
      </w:r>
      <w:r>
        <w:rPr>
          <w:rFonts w:hint="eastAsia" w:ascii="Times New Roman" w:hAnsi="Times New Roman" w:eastAsia="宋体" w:cs="Times New Roman"/>
          <w:bCs/>
          <w:szCs w:val="21"/>
        </w:rPr>
        <w:t>⑩</w:t>
      </w:r>
      <w:r>
        <w:rPr>
          <w:rFonts w:ascii="Times New Roman" w:hAnsi="Times New Roman" w:eastAsia="宋体" w:cs="Times New Roman"/>
          <w:bCs/>
          <w:szCs w:val="21"/>
        </w:rPr>
        <w:fldChar w:fldCharType="end"/>
      </w:r>
      <w:r>
        <w:rPr>
          <w:rFonts w:hint="eastAsia" w:ascii="Times New Roman" w:hAnsi="Times New Roman" w:eastAsia="宋体" w:cs="Times New Roman"/>
          <w:bCs/>
          <w:szCs w:val="21"/>
        </w:rPr>
        <w:t>轮椅操作(代替步行)：</w:t>
      </w:r>
    </w:p>
    <w:p w14:paraId="755DF18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轮椅操控包括在平地上推动轮椅、转弯及操控轮椅至桌边、床边或洗手间等。病人需操控轮椅并移动至少五十米。</w:t>
      </w:r>
    </w:p>
    <w:p w14:paraId="3008224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43190F2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0分：完全不能操控轮椅。</w:t>
      </w:r>
    </w:p>
    <w:p w14:paraId="336859CA">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1分：可在平地上自行推动轮椅并移动短距离，但在整个活动的过程中需要别人提供协助才能完成。</w:t>
      </w:r>
    </w:p>
    <w:p w14:paraId="45495A72">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3分：能参与大部分轮椅活动，但在某些过程中仍需要提供协助才能完成整项活动。</w:t>
      </w:r>
    </w:p>
    <w:p w14:paraId="2A1FACDE">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4分：可驱动轮椅前进、后退、转弯及移至桌边、床边或洗手间等，但在准备及收拾时仍需协助；或过程中需有人从旁监督或提示，以策安全。</w:t>
      </w:r>
    </w:p>
    <w:p w14:paraId="1C37983E">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5分：可完全自行操控轮椅并移动至少五十米，无需其它人从旁监督、提示或协助。</w:t>
      </w:r>
    </w:p>
    <w:p w14:paraId="1BD842F7">
      <w:pPr>
        <w:pStyle w:val="18"/>
        <w:jc w:val="left"/>
        <w:rPr>
          <w:rFonts w:hint="eastAsia" w:ascii="Times New Roman" w:hAnsi="Times New Roman" w:eastAsia="宋体" w:cs="Times New Roman"/>
          <w:bCs/>
          <w:szCs w:val="21"/>
        </w:rPr>
      </w:pPr>
      <w:r>
        <w:rPr>
          <w:rFonts w:ascii="Times New Roman" w:hAnsi="Times New Roman" w:eastAsia="宋体" w:cs="Times New Roman"/>
          <w:bCs/>
          <w:sz w:val="11"/>
          <w:szCs w:val="21"/>
        </w:rPr>
        <w:fldChar w:fldCharType="begin"/>
      </w:r>
      <w:r>
        <w:rPr>
          <w:rFonts w:hint="eastAsia" w:ascii="Times New Roman" w:hAnsi="Times New Roman" w:eastAsia="宋体" w:cs="Times New Roman"/>
          <w:bCs/>
          <w:sz w:val="11"/>
          <w:szCs w:val="21"/>
        </w:rPr>
        <w:instrText xml:space="preserve"> eq \o\ac(</w:instrText>
      </w:r>
      <w:r>
        <w:rPr>
          <w:rFonts w:hint="eastAsia" w:ascii="Times New Roman" w:hAnsi="Times New Roman" w:eastAsia="宋体" w:cs="Times New Roman"/>
          <w:bCs/>
          <w:position w:val="-2"/>
          <w:sz w:val="16"/>
          <w:szCs w:val="21"/>
        </w:rPr>
        <w:instrText xml:space="preserve">○</w:instrText>
      </w:r>
      <w:r>
        <w:rPr>
          <w:rFonts w:hint="eastAsia" w:ascii="Times New Roman" w:hAnsi="Times New Roman" w:eastAsia="宋体" w:cs="Times New Roman"/>
          <w:bCs/>
          <w:sz w:val="11"/>
          <w:szCs w:val="21"/>
        </w:rPr>
        <w:instrText xml:space="preserve">,11)</w:instrText>
      </w:r>
      <w:r>
        <w:rPr>
          <w:rFonts w:ascii="Times New Roman" w:hAnsi="Times New Roman" w:eastAsia="宋体" w:cs="Times New Roman"/>
          <w:bCs/>
          <w:sz w:val="11"/>
          <w:szCs w:val="21"/>
        </w:rPr>
        <w:fldChar w:fldCharType="end"/>
      </w:r>
      <w:r>
        <w:rPr>
          <w:rFonts w:hint="eastAsia" w:ascii="Times New Roman" w:hAnsi="Times New Roman" w:eastAsia="宋体" w:cs="Times New Roman"/>
          <w:bCs/>
          <w:szCs w:val="21"/>
        </w:rPr>
        <w:t>上下楼梯</w:t>
      </w:r>
    </w:p>
    <w:p w14:paraId="528DB94C">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上下楼梯是指可安全地在两段分别有八级的楼梯来回上下行走.。</w:t>
      </w:r>
    </w:p>
    <w:p w14:paraId="220A81F6">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评级标准：</w:t>
      </w:r>
    </w:p>
    <w:p w14:paraId="08287CAF">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0分：完全依赖别人协助上下楼梯。</w:t>
      </w:r>
    </w:p>
    <w:p w14:paraId="1443EF89">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2分：某种程度上能参与，但在整个活动的过程中需要别人提供协助才能完成。</w:t>
      </w:r>
    </w:p>
    <w:p w14:paraId="0D4929D3">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5分：能参与大部份的活动，但在某些过程中仍需要别人提供协助才能完成整项活动。</w:t>
      </w:r>
    </w:p>
    <w:p w14:paraId="4AD628F7">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8分：病人基本上不需要别人协助，但在准备及收拾时仍需协助；或过程中需有人从旁监督或提示，以策安全。</w:t>
      </w:r>
    </w:p>
    <w:p w14:paraId="14EE771B">
      <w:pPr>
        <w:pStyle w:val="18"/>
        <w:jc w:val="left"/>
        <w:rPr>
          <w:rFonts w:hint="eastAsia" w:ascii="Times New Roman" w:hAnsi="Times New Roman" w:eastAsia="宋体" w:cs="Times New Roman"/>
          <w:bCs/>
          <w:szCs w:val="21"/>
        </w:rPr>
      </w:pPr>
      <w:r>
        <w:rPr>
          <w:rFonts w:hint="eastAsia" w:ascii="Times New Roman" w:hAnsi="Times New Roman" w:eastAsia="宋体" w:cs="Times New Roman"/>
          <w:bCs/>
          <w:szCs w:val="21"/>
        </w:rPr>
        <w:t>10分：病人可在没有监督、提示或协助下，安全地在两段楼梯上下。有需要时，可使用扶手或/及助行器。</w:t>
      </w:r>
    </w:p>
    <w:p w14:paraId="1B5C0574">
      <w:pPr>
        <w:jc w:val="left"/>
        <w:rPr>
          <w:rFonts w:hint="eastAsia" w:ascii="黑体" w:hAnsi="黑体" w:eastAsia="黑体" w:cs="黑体"/>
          <w:bCs/>
          <w:szCs w:val="21"/>
        </w:rPr>
      </w:pPr>
      <w:r>
        <w:rPr>
          <w:rFonts w:hint="eastAsia" w:ascii="黑体" w:hAnsi="黑体" w:eastAsia="黑体" w:cs="黑体"/>
          <w:bCs/>
          <w:szCs w:val="21"/>
        </w:rPr>
        <w:t>5.3.3 步态和行动能力评估</w:t>
      </w:r>
    </w:p>
    <w:p w14:paraId="3449E0EC">
      <w:pPr>
        <w:ind w:firstLine="420"/>
        <w:jc w:val="both"/>
        <w:rPr>
          <w:rFonts w:hint="eastAsia" w:ascii="Times New Roman" w:hAnsi="Times New Roman" w:eastAsia="宋体" w:cs="Times New Roman"/>
        </w:rPr>
      </w:pPr>
      <w:r>
        <w:rPr>
          <w:rFonts w:hint="eastAsia" w:ascii="Times New Roman" w:hAnsi="Times New Roman" w:eastAsia="宋体" w:cs="Times New Roman"/>
        </w:rPr>
        <w:t>应用起立-行走计时试验Time Up and Go（TUG）测试快速定量评定功能性步行能力的方法。试验工具为一张有扶手的椅子和秒表。具体操作如下：（1）患者穿平底鞋，端坐在有扶手的靠背椅上，双手放在扶手上。如果使用助行具，则将助行具握在手中。（2）在离座椅3米远的地面上做标记。（3）当测试者发出“开始”的指令后，患者从靠背椅上站起。站稳后，按照平时走路的步态，向前走3米，过标记后转身，然后走回到椅子前，再转身坐下，靠到椅背上。</w:t>
      </w:r>
    </w:p>
    <w:p w14:paraId="114696E7">
      <w:pPr>
        <w:ind w:firstLine="420"/>
        <w:jc w:val="both"/>
        <w:rPr>
          <w:rFonts w:hint="eastAsia" w:ascii="Times New Roman" w:hAnsi="Times New Roman" w:cs="Times New Roman"/>
        </w:rPr>
      </w:pPr>
      <w:r>
        <w:rPr>
          <w:rFonts w:hint="eastAsia" w:ascii="Times New Roman" w:hAnsi="Times New Roman" w:eastAsia="宋体" w:cs="Times New Roman"/>
        </w:rPr>
        <w:t>评分标准：＜10秒可自由活动；＜20秒大部分可独立活动；20</w:t>
      </w:r>
      <w:r>
        <w:rPr>
          <w:rFonts w:hint="eastAsia" w:ascii="Times New Roman" w:hAnsi="Times New Roman" w:eastAsia="宋体" w:cs="Times New Roman"/>
        </w:rPr>
        <w:t>-</w:t>
      </w:r>
      <w:r>
        <w:rPr>
          <w:rFonts w:hint="eastAsia" w:ascii="Times New Roman" w:hAnsi="Times New Roman" w:eastAsia="宋体" w:cs="Times New Roman"/>
        </w:rPr>
        <w:t>29秒活动不稳定；＞30秒存在活动障碍。除了记录所用的时间外，对测试过程中的步态及可能会摔倒的危险性按以下标准打分：1分，正常；2分，非常轻微异常；3分，轻度异常；4分，中度异常；5分，重度异常。</w:t>
      </w:r>
    </w:p>
    <w:p w14:paraId="5C17D53D">
      <w:pPr>
        <w:ind w:firstLine="0" w:firstLineChars="0"/>
        <w:jc w:val="left"/>
        <w:rPr>
          <w:rFonts w:hint="eastAsia" w:ascii="黑体" w:hAnsi="黑体" w:eastAsia="黑体" w:cs="黑体"/>
          <w:bCs/>
          <w:szCs w:val="21"/>
        </w:rPr>
      </w:pPr>
      <w:r>
        <w:rPr>
          <w:rFonts w:hint="eastAsia" w:ascii="黑体" w:hAnsi="黑体" w:eastAsia="黑体" w:cs="黑体"/>
          <w:bCs/>
          <w:szCs w:val="21"/>
        </w:rPr>
        <w:t>5.3.4 跌倒风险评估</w:t>
      </w:r>
    </w:p>
    <w:p w14:paraId="195C5D47">
      <w:pPr>
        <w:ind w:firstLine="420" w:firstLineChars="0"/>
        <w:jc w:val="both"/>
        <w:rPr>
          <w:rFonts w:hint="eastAsia" w:ascii="Times New Roman" w:hAnsi="Times New Roman" w:eastAsia="宋体" w:cs="Times New Roman"/>
        </w:rPr>
      </w:pPr>
      <w:r>
        <w:rPr>
          <w:rFonts w:hint="eastAsia" w:ascii="Times New Roman" w:hAnsi="Times New Roman" w:eastAsia="宋体" w:cs="Times New Roman"/>
        </w:rPr>
        <w:t>采纳Morse跌倒评估量表评估术前患者跌倒风险。该量表包括6个条目：跌倒史、&gt;1个医疗诊断、使用行走辅助工具、步态、静脉输液、认知和精神状况，总分125分，得分越高，表明老年人跌倒风险越大。&lt;25为低风险，25-45为中风险，&gt;45分为高风险。总评估时长2-3min，评估简单，适合任何老年人进行跌倒风险初步评估。具体评估内容见下表：</w:t>
      </w:r>
    </w:p>
    <w:p w14:paraId="077337A6">
      <w:pPr>
        <w:ind w:firstLine="210" w:firstLineChars="100"/>
        <w:jc w:val="center"/>
        <w:rPr>
          <w:rFonts w:hint="eastAsia" w:ascii="Times New Roman" w:hAnsi="Times New Roman" w:eastAsia="宋体" w:cs="Times New Roman"/>
        </w:rPr>
      </w:pPr>
      <w:r>
        <w:rPr>
          <w:rFonts w:hint="eastAsia" w:ascii="Times New Roman" w:hAnsi="Times New Roman" w:eastAsia="宋体" w:cs="Times New Roman"/>
        </w:rPr>
        <w:t>表2 Morse跌倒评估量表</w:t>
      </w:r>
    </w:p>
    <w:tbl>
      <w:tblPr>
        <w:tblStyle w:val="13"/>
        <w:tblW w:w="0" w:type="auto"/>
        <w:jc w:val="center"/>
        <w:tblBorders>
          <w:top w:val="single" w:color="auto" w:sz="4" w:space="0"/>
          <w:left w:val="none" w:color="auto" w:sz="0" w:space="0"/>
          <w:bottom w:val="none" w:color="auto" w:sz="0"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411"/>
        <w:gridCol w:w="2531"/>
        <w:gridCol w:w="2005"/>
      </w:tblGrid>
      <w:tr w14:paraId="3E73E529">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tcPr>
          <w:p w14:paraId="6A2AA063">
            <w:pPr>
              <w:jc w:val="left"/>
              <w:rPr>
                <w:rFonts w:hint="eastAsia" w:ascii="Times New Roman" w:hAnsi="Times New Roman" w:eastAsia="宋体" w:cs="Times New Roman"/>
                <w:szCs w:val="21"/>
              </w:rPr>
            </w:pPr>
            <w:r>
              <w:rPr>
                <w:rFonts w:hint="eastAsia" w:ascii="Times New Roman" w:hAnsi="Times New Roman" w:eastAsia="宋体" w:cs="Times New Roman"/>
                <w:szCs w:val="21"/>
              </w:rPr>
              <w:t>评估内容</w:t>
            </w:r>
          </w:p>
        </w:tc>
        <w:tc>
          <w:tcPr>
            <w:tcW w:w="2531" w:type="dxa"/>
          </w:tcPr>
          <w:p w14:paraId="0057E1F1">
            <w:pPr>
              <w:jc w:val="left"/>
              <w:rPr>
                <w:rFonts w:hint="eastAsia" w:ascii="Times New Roman" w:hAnsi="Times New Roman" w:eastAsia="宋体" w:cs="Times New Roman"/>
                <w:szCs w:val="21"/>
              </w:rPr>
            </w:pPr>
          </w:p>
        </w:tc>
        <w:tc>
          <w:tcPr>
            <w:tcW w:w="2005" w:type="dxa"/>
          </w:tcPr>
          <w:p w14:paraId="46838436">
            <w:pPr>
              <w:jc w:val="left"/>
              <w:rPr>
                <w:rFonts w:hint="eastAsia" w:ascii="Times New Roman" w:hAnsi="Times New Roman" w:eastAsia="宋体" w:cs="Times New Roman"/>
                <w:szCs w:val="21"/>
              </w:rPr>
            </w:pPr>
          </w:p>
        </w:tc>
      </w:tr>
      <w:tr w14:paraId="7E205F8A">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restart"/>
          </w:tcPr>
          <w:p w14:paraId="7F2B1A13">
            <w:pPr>
              <w:jc w:val="left"/>
              <w:rPr>
                <w:rFonts w:hint="eastAsia" w:ascii="Times New Roman" w:hAnsi="Times New Roman" w:eastAsia="宋体" w:cs="Times New Roman"/>
                <w:szCs w:val="21"/>
              </w:rPr>
            </w:pPr>
            <w:r>
              <w:rPr>
                <w:rFonts w:hint="eastAsia" w:ascii="Times New Roman" w:hAnsi="Times New Roman" w:eastAsia="宋体" w:cs="Times New Roman"/>
                <w:szCs w:val="21"/>
              </w:rPr>
              <w:t>近3个月内跌倒史</w:t>
            </w:r>
          </w:p>
        </w:tc>
        <w:tc>
          <w:tcPr>
            <w:tcW w:w="2531" w:type="dxa"/>
          </w:tcPr>
          <w:p w14:paraId="33945658">
            <w:pPr>
              <w:jc w:val="left"/>
              <w:rPr>
                <w:rFonts w:hint="eastAsia" w:ascii="Times New Roman" w:hAnsi="Times New Roman" w:eastAsia="宋体" w:cs="Times New Roman"/>
                <w:szCs w:val="21"/>
              </w:rPr>
            </w:pPr>
            <w:r>
              <w:rPr>
                <w:rFonts w:hint="eastAsia" w:ascii="Times New Roman" w:hAnsi="Times New Roman" w:eastAsia="宋体" w:cs="Times New Roman"/>
                <w:szCs w:val="21"/>
              </w:rPr>
              <w:t>无</w:t>
            </w:r>
          </w:p>
        </w:tc>
        <w:tc>
          <w:tcPr>
            <w:tcW w:w="2005" w:type="dxa"/>
          </w:tcPr>
          <w:p w14:paraId="5CC14928">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103091DA">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3AFE336F">
            <w:pPr>
              <w:jc w:val="left"/>
              <w:rPr>
                <w:rFonts w:hint="eastAsia" w:ascii="Times New Roman" w:hAnsi="Times New Roman" w:eastAsia="宋体" w:cs="Times New Roman"/>
                <w:szCs w:val="21"/>
              </w:rPr>
            </w:pPr>
          </w:p>
        </w:tc>
        <w:tc>
          <w:tcPr>
            <w:tcW w:w="2531" w:type="dxa"/>
          </w:tcPr>
          <w:p w14:paraId="4507FE5E">
            <w:pPr>
              <w:jc w:val="left"/>
              <w:rPr>
                <w:rFonts w:hint="eastAsia" w:ascii="Times New Roman" w:hAnsi="Times New Roman" w:eastAsia="宋体" w:cs="Times New Roman"/>
                <w:szCs w:val="21"/>
              </w:rPr>
            </w:pPr>
            <w:r>
              <w:rPr>
                <w:rFonts w:hint="eastAsia" w:ascii="Times New Roman" w:hAnsi="Times New Roman" w:eastAsia="宋体" w:cs="Times New Roman"/>
                <w:szCs w:val="21"/>
              </w:rPr>
              <w:t>有</w:t>
            </w:r>
          </w:p>
        </w:tc>
        <w:tc>
          <w:tcPr>
            <w:tcW w:w="2005" w:type="dxa"/>
          </w:tcPr>
          <w:p w14:paraId="5EB63C34">
            <w:pPr>
              <w:jc w:val="left"/>
              <w:rPr>
                <w:rFonts w:hint="eastAsia" w:ascii="Times New Roman" w:hAnsi="Times New Roman" w:eastAsia="宋体" w:cs="Times New Roman"/>
                <w:szCs w:val="21"/>
              </w:rPr>
            </w:pPr>
            <w:r>
              <w:rPr>
                <w:rFonts w:hint="eastAsia" w:ascii="Times New Roman" w:hAnsi="Times New Roman" w:eastAsia="宋体" w:cs="Times New Roman"/>
                <w:szCs w:val="21"/>
              </w:rPr>
              <w:t>25</w:t>
            </w:r>
          </w:p>
        </w:tc>
      </w:tr>
      <w:tr w14:paraId="43CF6D9D">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restart"/>
          </w:tcPr>
          <w:p w14:paraId="32580E72">
            <w:pPr>
              <w:jc w:val="left"/>
              <w:rPr>
                <w:rFonts w:hint="eastAsia" w:ascii="Times New Roman" w:hAnsi="Times New Roman" w:eastAsia="宋体" w:cs="Times New Roman"/>
                <w:szCs w:val="21"/>
              </w:rPr>
            </w:pPr>
            <w:r>
              <w:rPr>
                <w:rFonts w:hint="eastAsia" w:ascii="Times New Roman" w:hAnsi="Times New Roman" w:eastAsia="宋体" w:cs="Times New Roman"/>
                <w:szCs w:val="21"/>
              </w:rPr>
              <w:t>超过一个医学诊断</w:t>
            </w:r>
          </w:p>
        </w:tc>
        <w:tc>
          <w:tcPr>
            <w:tcW w:w="2531" w:type="dxa"/>
          </w:tcPr>
          <w:p w14:paraId="772EF25E">
            <w:pPr>
              <w:jc w:val="left"/>
              <w:rPr>
                <w:rFonts w:hint="eastAsia" w:ascii="Times New Roman" w:hAnsi="Times New Roman" w:eastAsia="宋体" w:cs="Times New Roman"/>
                <w:szCs w:val="21"/>
              </w:rPr>
            </w:pPr>
            <w:r>
              <w:rPr>
                <w:rFonts w:hint="eastAsia" w:ascii="Times New Roman" w:hAnsi="Times New Roman" w:eastAsia="宋体" w:cs="Times New Roman"/>
                <w:szCs w:val="21"/>
              </w:rPr>
              <w:t>否</w:t>
            </w:r>
          </w:p>
        </w:tc>
        <w:tc>
          <w:tcPr>
            <w:tcW w:w="2005" w:type="dxa"/>
          </w:tcPr>
          <w:p w14:paraId="5F1500E0">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6F48E368">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07ACEA85">
            <w:pPr>
              <w:jc w:val="left"/>
              <w:rPr>
                <w:rFonts w:hint="eastAsia" w:ascii="Times New Roman" w:hAnsi="Times New Roman" w:eastAsia="宋体" w:cs="Times New Roman"/>
                <w:szCs w:val="21"/>
              </w:rPr>
            </w:pPr>
          </w:p>
        </w:tc>
        <w:tc>
          <w:tcPr>
            <w:tcW w:w="2531" w:type="dxa"/>
          </w:tcPr>
          <w:p w14:paraId="0FAD9290">
            <w:pPr>
              <w:jc w:val="left"/>
              <w:rPr>
                <w:rFonts w:hint="eastAsia" w:ascii="Times New Roman" w:hAnsi="Times New Roman" w:eastAsia="宋体" w:cs="Times New Roman"/>
                <w:szCs w:val="21"/>
              </w:rPr>
            </w:pPr>
            <w:r>
              <w:rPr>
                <w:rFonts w:hint="eastAsia" w:ascii="Times New Roman" w:hAnsi="Times New Roman" w:eastAsia="宋体" w:cs="Times New Roman"/>
                <w:szCs w:val="21"/>
              </w:rPr>
              <w:t>是</w:t>
            </w:r>
          </w:p>
        </w:tc>
        <w:tc>
          <w:tcPr>
            <w:tcW w:w="2005" w:type="dxa"/>
          </w:tcPr>
          <w:p w14:paraId="10DC522B">
            <w:pPr>
              <w:jc w:val="left"/>
              <w:rPr>
                <w:rFonts w:hint="eastAsia" w:ascii="Times New Roman" w:hAnsi="Times New Roman" w:eastAsia="宋体" w:cs="Times New Roman"/>
                <w:szCs w:val="21"/>
              </w:rPr>
            </w:pPr>
            <w:r>
              <w:rPr>
                <w:rFonts w:hint="eastAsia" w:ascii="Times New Roman" w:hAnsi="Times New Roman" w:eastAsia="宋体" w:cs="Times New Roman"/>
                <w:szCs w:val="21"/>
              </w:rPr>
              <w:t>15</w:t>
            </w:r>
          </w:p>
        </w:tc>
      </w:tr>
      <w:tr w14:paraId="6D3C2753">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restart"/>
          </w:tcPr>
          <w:p w14:paraId="5A48F7ED">
            <w:pPr>
              <w:jc w:val="left"/>
              <w:rPr>
                <w:rFonts w:hint="eastAsia" w:ascii="Times New Roman" w:hAnsi="Times New Roman" w:eastAsia="宋体" w:cs="Times New Roman"/>
                <w:szCs w:val="21"/>
              </w:rPr>
            </w:pPr>
            <w:r>
              <w:rPr>
                <w:rFonts w:hint="eastAsia" w:ascii="Times New Roman" w:hAnsi="Times New Roman" w:eastAsia="宋体" w:cs="Times New Roman"/>
                <w:szCs w:val="21"/>
              </w:rPr>
              <w:t>行走使用辅助工具</w:t>
            </w:r>
          </w:p>
        </w:tc>
        <w:tc>
          <w:tcPr>
            <w:tcW w:w="2531" w:type="dxa"/>
          </w:tcPr>
          <w:p w14:paraId="3C5C35B6">
            <w:pPr>
              <w:jc w:val="left"/>
              <w:rPr>
                <w:rFonts w:hint="eastAsia" w:ascii="Times New Roman" w:hAnsi="Times New Roman" w:eastAsia="宋体" w:cs="Times New Roman"/>
                <w:szCs w:val="21"/>
              </w:rPr>
            </w:pPr>
            <w:r>
              <w:rPr>
                <w:rFonts w:hint="eastAsia" w:ascii="Times New Roman" w:hAnsi="Times New Roman" w:eastAsia="宋体" w:cs="Times New Roman"/>
                <w:szCs w:val="21"/>
              </w:rPr>
              <w:t>不需要任何辅助器</w:t>
            </w:r>
          </w:p>
        </w:tc>
        <w:tc>
          <w:tcPr>
            <w:tcW w:w="2005" w:type="dxa"/>
          </w:tcPr>
          <w:p w14:paraId="38854F33">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38E4B325">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37BD8627">
            <w:pPr>
              <w:jc w:val="left"/>
              <w:rPr>
                <w:rFonts w:hint="eastAsia" w:ascii="Times New Roman" w:hAnsi="Times New Roman" w:eastAsia="宋体" w:cs="Times New Roman"/>
                <w:szCs w:val="21"/>
              </w:rPr>
            </w:pPr>
          </w:p>
        </w:tc>
        <w:tc>
          <w:tcPr>
            <w:tcW w:w="2531" w:type="dxa"/>
          </w:tcPr>
          <w:p w14:paraId="7CD04854">
            <w:pPr>
              <w:jc w:val="left"/>
              <w:rPr>
                <w:rFonts w:hint="eastAsia" w:ascii="Times New Roman" w:hAnsi="Times New Roman" w:eastAsia="宋体" w:cs="Times New Roman"/>
                <w:szCs w:val="21"/>
              </w:rPr>
            </w:pPr>
            <w:r>
              <w:rPr>
                <w:rFonts w:hint="eastAsia" w:ascii="Times New Roman" w:hAnsi="Times New Roman" w:eastAsia="宋体" w:cs="Times New Roman"/>
                <w:szCs w:val="21"/>
              </w:rPr>
              <w:t>拐杖、助行器</w:t>
            </w:r>
          </w:p>
        </w:tc>
        <w:tc>
          <w:tcPr>
            <w:tcW w:w="2005" w:type="dxa"/>
          </w:tcPr>
          <w:p w14:paraId="5D73A744">
            <w:pPr>
              <w:jc w:val="left"/>
              <w:rPr>
                <w:rFonts w:hint="eastAsia" w:ascii="Times New Roman" w:hAnsi="Times New Roman" w:eastAsia="宋体" w:cs="Times New Roman"/>
                <w:szCs w:val="21"/>
              </w:rPr>
            </w:pPr>
            <w:r>
              <w:rPr>
                <w:rFonts w:hint="eastAsia" w:ascii="Times New Roman" w:hAnsi="Times New Roman" w:eastAsia="宋体" w:cs="Times New Roman"/>
                <w:szCs w:val="21"/>
              </w:rPr>
              <w:t>15</w:t>
            </w:r>
          </w:p>
        </w:tc>
      </w:tr>
      <w:tr w14:paraId="42DC865F">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38B96B4F">
            <w:pPr>
              <w:jc w:val="left"/>
              <w:rPr>
                <w:rFonts w:hint="eastAsia" w:ascii="Times New Roman" w:hAnsi="Times New Roman" w:eastAsia="宋体" w:cs="Times New Roman"/>
                <w:szCs w:val="21"/>
              </w:rPr>
            </w:pPr>
          </w:p>
        </w:tc>
        <w:tc>
          <w:tcPr>
            <w:tcW w:w="2531" w:type="dxa"/>
          </w:tcPr>
          <w:p w14:paraId="3C567983">
            <w:pPr>
              <w:jc w:val="left"/>
              <w:rPr>
                <w:rFonts w:hint="eastAsia" w:ascii="Times New Roman" w:hAnsi="Times New Roman" w:eastAsia="宋体" w:cs="Times New Roman"/>
                <w:szCs w:val="21"/>
              </w:rPr>
            </w:pPr>
            <w:r>
              <w:rPr>
                <w:rFonts w:hint="eastAsia" w:ascii="Times New Roman" w:hAnsi="Times New Roman" w:eastAsia="宋体" w:cs="Times New Roman"/>
                <w:szCs w:val="21"/>
              </w:rPr>
              <w:t>依扶着家具行走</w:t>
            </w:r>
          </w:p>
        </w:tc>
        <w:tc>
          <w:tcPr>
            <w:tcW w:w="2005" w:type="dxa"/>
          </w:tcPr>
          <w:p w14:paraId="5C8058D3">
            <w:pPr>
              <w:jc w:val="left"/>
              <w:rPr>
                <w:rFonts w:hint="eastAsia" w:ascii="Times New Roman" w:hAnsi="Times New Roman" w:eastAsia="宋体" w:cs="Times New Roman"/>
                <w:szCs w:val="21"/>
              </w:rPr>
            </w:pPr>
            <w:r>
              <w:rPr>
                <w:rFonts w:hint="eastAsia" w:ascii="Times New Roman" w:hAnsi="Times New Roman" w:eastAsia="宋体" w:cs="Times New Roman"/>
                <w:szCs w:val="21"/>
              </w:rPr>
              <w:t>30</w:t>
            </w:r>
          </w:p>
        </w:tc>
      </w:tr>
      <w:tr w14:paraId="15C47F51">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restart"/>
          </w:tcPr>
          <w:p w14:paraId="211BBDAF">
            <w:pPr>
              <w:jc w:val="left"/>
              <w:rPr>
                <w:rFonts w:hint="eastAsia" w:ascii="Times New Roman" w:hAnsi="Times New Roman" w:eastAsia="宋体" w:cs="Times New Roman"/>
                <w:szCs w:val="21"/>
              </w:rPr>
            </w:pPr>
            <w:r>
              <w:rPr>
                <w:rFonts w:hint="eastAsia" w:ascii="Times New Roman" w:hAnsi="Times New Roman" w:eastAsia="宋体" w:cs="Times New Roman"/>
                <w:szCs w:val="21"/>
              </w:rPr>
              <w:t>静脉输液接受药物治疗</w:t>
            </w:r>
          </w:p>
        </w:tc>
        <w:tc>
          <w:tcPr>
            <w:tcW w:w="2531" w:type="dxa"/>
          </w:tcPr>
          <w:p w14:paraId="4048ADE1">
            <w:pPr>
              <w:jc w:val="left"/>
              <w:rPr>
                <w:rFonts w:hint="eastAsia" w:ascii="Times New Roman" w:hAnsi="Times New Roman" w:eastAsia="宋体" w:cs="Times New Roman"/>
                <w:szCs w:val="21"/>
              </w:rPr>
            </w:pPr>
            <w:r>
              <w:rPr>
                <w:rFonts w:hint="eastAsia" w:ascii="Times New Roman" w:hAnsi="Times New Roman" w:eastAsia="宋体" w:cs="Times New Roman"/>
                <w:szCs w:val="21"/>
              </w:rPr>
              <w:t>否</w:t>
            </w:r>
          </w:p>
        </w:tc>
        <w:tc>
          <w:tcPr>
            <w:tcW w:w="2005" w:type="dxa"/>
          </w:tcPr>
          <w:p w14:paraId="3F435945">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215BF0A2">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2E54F256">
            <w:pPr>
              <w:jc w:val="left"/>
              <w:rPr>
                <w:rFonts w:hint="eastAsia" w:ascii="Times New Roman" w:hAnsi="Times New Roman" w:eastAsia="宋体" w:cs="Times New Roman"/>
                <w:szCs w:val="21"/>
              </w:rPr>
            </w:pPr>
          </w:p>
        </w:tc>
        <w:tc>
          <w:tcPr>
            <w:tcW w:w="2531" w:type="dxa"/>
          </w:tcPr>
          <w:p w14:paraId="0BE191A8">
            <w:pPr>
              <w:jc w:val="left"/>
              <w:rPr>
                <w:rFonts w:hint="eastAsia" w:ascii="Times New Roman" w:hAnsi="Times New Roman" w:eastAsia="宋体" w:cs="Times New Roman"/>
                <w:szCs w:val="21"/>
              </w:rPr>
            </w:pPr>
            <w:r>
              <w:rPr>
                <w:rFonts w:hint="eastAsia" w:ascii="Times New Roman" w:hAnsi="Times New Roman" w:eastAsia="宋体" w:cs="Times New Roman"/>
                <w:szCs w:val="21"/>
              </w:rPr>
              <w:t>是</w:t>
            </w:r>
          </w:p>
        </w:tc>
        <w:tc>
          <w:tcPr>
            <w:tcW w:w="2005" w:type="dxa"/>
          </w:tcPr>
          <w:p w14:paraId="679D8749">
            <w:pPr>
              <w:jc w:val="left"/>
              <w:rPr>
                <w:rFonts w:hint="eastAsia" w:ascii="Times New Roman" w:hAnsi="Times New Roman" w:eastAsia="宋体" w:cs="Times New Roman"/>
                <w:szCs w:val="21"/>
              </w:rPr>
            </w:pPr>
            <w:r>
              <w:rPr>
                <w:rFonts w:hint="eastAsia" w:ascii="Times New Roman" w:hAnsi="Times New Roman" w:eastAsia="宋体" w:cs="Times New Roman"/>
                <w:szCs w:val="21"/>
              </w:rPr>
              <w:t>20</w:t>
            </w:r>
          </w:p>
        </w:tc>
      </w:tr>
      <w:tr w14:paraId="3557BD1F">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restart"/>
          </w:tcPr>
          <w:p w14:paraId="5F2B4D04">
            <w:pPr>
              <w:jc w:val="left"/>
              <w:rPr>
                <w:rFonts w:hint="eastAsia" w:ascii="Times New Roman" w:hAnsi="Times New Roman" w:eastAsia="宋体" w:cs="Times New Roman"/>
                <w:szCs w:val="21"/>
              </w:rPr>
            </w:pPr>
            <w:r>
              <w:rPr>
                <w:rFonts w:hint="eastAsia" w:ascii="Times New Roman" w:hAnsi="Times New Roman" w:eastAsia="宋体" w:cs="Times New Roman"/>
                <w:szCs w:val="21"/>
              </w:rPr>
              <w:t>步态</w:t>
            </w:r>
          </w:p>
        </w:tc>
        <w:tc>
          <w:tcPr>
            <w:tcW w:w="2531" w:type="dxa"/>
          </w:tcPr>
          <w:p w14:paraId="1B368E50">
            <w:pPr>
              <w:jc w:val="left"/>
              <w:rPr>
                <w:rFonts w:hint="eastAsia" w:ascii="Times New Roman" w:hAnsi="Times New Roman" w:eastAsia="宋体" w:cs="Times New Roman"/>
                <w:szCs w:val="21"/>
              </w:rPr>
            </w:pPr>
            <w:r>
              <w:rPr>
                <w:rFonts w:hint="eastAsia" w:ascii="Times New Roman" w:hAnsi="Times New Roman" w:eastAsia="宋体" w:cs="Times New Roman"/>
                <w:szCs w:val="21"/>
              </w:rPr>
              <w:t>正常/卧床休息/坐轮椅</w:t>
            </w:r>
          </w:p>
        </w:tc>
        <w:tc>
          <w:tcPr>
            <w:tcW w:w="2005" w:type="dxa"/>
          </w:tcPr>
          <w:p w14:paraId="16FE5035">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59E468B2">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01FF2D20">
            <w:pPr>
              <w:jc w:val="left"/>
              <w:rPr>
                <w:rFonts w:hint="eastAsia" w:ascii="Times New Roman" w:hAnsi="Times New Roman" w:eastAsia="宋体" w:cs="Times New Roman"/>
                <w:szCs w:val="21"/>
              </w:rPr>
            </w:pPr>
          </w:p>
        </w:tc>
        <w:tc>
          <w:tcPr>
            <w:tcW w:w="2531" w:type="dxa"/>
          </w:tcPr>
          <w:p w14:paraId="3572D674">
            <w:pPr>
              <w:jc w:val="left"/>
              <w:rPr>
                <w:rFonts w:hint="eastAsia" w:ascii="Times New Roman" w:hAnsi="Times New Roman" w:eastAsia="宋体" w:cs="Times New Roman"/>
                <w:szCs w:val="21"/>
              </w:rPr>
            </w:pPr>
            <w:r>
              <w:rPr>
                <w:rFonts w:hint="eastAsia" w:ascii="Times New Roman" w:hAnsi="Times New Roman" w:eastAsia="宋体" w:cs="Times New Roman"/>
                <w:szCs w:val="21"/>
              </w:rPr>
              <w:t>虚弱乏力</w:t>
            </w:r>
          </w:p>
        </w:tc>
        <w:tc>
          <w:tcPr>
            <w:tcW w:w="2005" w:type="dxa"/>
          </w:tcPr>
          <w:p w14:paraId="1199F1F8">
            <w:pPr>
              <w:jc w:val="left"/>
              <w:rPr>
                <w:rFonts w:hint="eastAsia" w:ascii="Times New Roman" w:hAnsi="Times New Roman" w:eastAsia="宋体" w:cs="Times New Roman"/>
                <w:szCs w:val="21"/>
              </w:rPr>
            </w:pPr>
            <w:r>
              <w:rPr>
                <w:rFonts w:hint="eastAsia" w:ascii="Times New Roman" w:hAnsi="Times New Roman" w:eastAsia="宋体" w:cs="Times New Roman"/>
                <w:szCs w:val="21"/>
              </w:rPr>
              <w:t>10</w:t>
            </w:r>
          </w:p>
        </w:tc>
      </w:tr>
      <w:tr w14:paraId="103B05AC">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vMerge w:val="continue"/>
          </w:tcPr>
          <w:p w14:paraId="2A9157F2">
            <w:pPr>
              <w:jc w:val="left"/>
              <w:rPr>
                <w:rFonts w:hint="eastAsia" w:ascii="Times New Roman" w:hAnsi="Times New Roman" w:eastAsia="宋体" w:cs="Times New Roman"/>
                <w:szCs w:val="21"/>
              </w:rPr>
            </w:pPr>
          </w:p>
        </w:tc>
        <w:tc>
          <w:tcPr>
            <w:tcW w:w="2531" w:type="dxa"/>
          </w:tcPr>
          <w:p w14:paraId="24E7AC3E">
            <w:pPr>
              <w:jc w:val="left"/>
              <w:rPr>
                <w:rFonts w:hint="eastAsia" w:ascii="Times New Roman" w:hAnsi="Times New Roman" w:eastAsia="宋体" w:cs="Times New Roman"/>
                <w:szCs w:val="21"/>
              </w:rPr>
            </w:pPr>
            <w:r>
              <w:rPr>
                <w:rFonts w:hint="eastAsia" w:ascii="Times New Roman" w:hAnsi="Times New Roman" w:eastAsia="宋体" w:cs="Times New Roman"/>
                <w:szCs w:val="21"/>
              </w:rPr>
              <w:t>功能障碍/残疾</w:t>
            </w:r>
          </w:p>
        </w:tc>
        <w:tc>
          <w:tcPr>
            <w:tcW w:w="2005" w:type="dxa"/>
          </w:tcPr>
          <w:p w14:paraId="66C78B61">
            <w:pPr>
              <w:jc w:val="left"/>
              <w:rPr>
                <w:rFonts w:hint="eastAsia" w:ascii="Times New Roman" w:hAnsi="Times New Roman" w:eastAsia="宋体" w:cs="Times New Roman"/>
                <w:szCs w:val="21"/>
              </w:rPr>
            </w:pPr>
            <w:r>
              <w:rPr>
                <w:rFonts w:hint="eastAsia" w:ascii="Times New Roman" w:hAnsi="Times New Roman" w:eastAsia="宋体" w:cs="Times New Roman"/>
                <w:szCs w:val="21"/>
              </w:rPr>
              <w:t>20</w:t>
            </w:r>
          </w:p>
        </w:tc>
      </w:tr>
      <w:tr w14:paraId="0A4C894D">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tcBorders>
              <w:bottom w:val="single" w:color="auto" w:sz="4" w:space="0"/>
            </w:tcBorders>
          </w:tcPr>
          <w:p w14:paraId="43554D82">
            <w:pPr>
              <w:jc w:val="left"/>
              <w:rPr>
                <w:rFonts w:hint="eastAsia" w:ascii="Times New Roman" w:hAnsi="Times New Roman" w:eastAsia="宋体" w:cs="Times New Roman"/>
                <w:szCs w:val="21"/>
              </w:rPr>
            </w:pPr>
            <w:r>
              <w:rPr>
                <w:rFonts w:hint="eastAsia" w:ascii="Times New Roman" w:hAnsi="Times New Roman" w:eastAsia="宋体" w:cs="Times New Roman"/>
                <w:szCs w:val="21"/>
              </w:rPr>
              <w:t>认知状态</w:t>
            </w:r>
          </w:p>
        </w:tc>
        <w:tc>
          <w:tcPr>
            <w:tcW w:w="2531" w:type="dxa"/>
            <w:tcBorders>
              <w:bottom w:val="single" w:color="auto" w:sz="4" w:space="0"/>
            </w:tcBorders>
          </w:tcPr>
          <w:p w14:paraId="3A8B4CA5">
            <w:pPr>
              <w:jc w:val="left"/>
              <w:rPr>
                <w:rFonts w:hint="eastAsia" w:ascii="Times New Roman" w:hAnsi="Times New Roman" w:eastAsia="宋体" w:cs="Times New Roman"/>
                <w:szCs w:val="21"/>
              </w:rPr>
            </w:pPr>
            <w:r>
              <w:rPr>
                <w:rFonts w:hint="eastAsia" w:ascii="Times New Roman" w:hAnsi="Times New Roman" w:eastAsia="宋体" w:cs="Times New Roman"/>
                <w:szCs w:val="21"/>
              </w:rPr>
              <w:t>量力而行</w:t>
            </w:r>
          </w:p>
        </w:tc>
        <w:tc>
          <w:tcPr>
            <w:tcW w:w="2005" w:type="dxa"/>
            <w:tcBorders>
              <w:bottom w:val="single" w:color="auto" w:sz="4" w:space="0"/>
            </w:tcBorders>
          </w:tcPr>
          <w:p w14:paraId="0D08164F">
            <w:pPr>
              <w:jc w:val="left"/>
              <w:rPr>
                <w:rFonts w:hint="eastAsia" w:ascii="Times New Roman" w:hAnsi="Times New Roman" w:eastAsia="宋体" w:cs="Times New Roman"/>
                <w:szCs w:val="21"/>
              </w:rPr>
            </w:pPr>
            <w:r>
              <w:rPr>
                <w:rFonts w:hint="eastAsia" w:ascii="Times New Roman" w:hAnsi="Times New Roman" w:eastAsia="宋体" w:cs="Times New Roman"/>
                <w:szCs w:val="21"/>
              </w:rPr>
              <w:t>0</w:t>
            </w:r>
          </w:p>
        </w:tc>
      </w:tr>
      <w:tr w14:paraId="0B2634F9">
        <w:tblPrEx>
          <w:tblBorders>
            <w:top w:val="single" w:color="auto" w:sz="4" w:space="0"/>
            <w:left w:val="none" w:color="auto" w:sz="0" w:space="0"/>
            <w:bottom w:val="none" w:color="auto" w:sz="0"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411" w:type="dxa"/>
            <w:tcBorders>
              <w:bottom w:val="single" w:color="auto" w:sz="4" w:space="0"/>
            </w:tcBorders>
          </w:tcPr>
          <w:p w14:paraId="353C1615">
            <w:pPr>
              <w:jc w:val="left"/>
              <w:rPr>
                <w:rFonts w:hint="eastAsia" w:ascii="Times New Roman" w:hAnsi="Times New Roman" w:eastAsia="宋体" w:cs="Times New Roman"/>
                <w:szCs w:val="21"/>
              </w:rPr>
            </w:pPr>
          </w:p>
        </w:tc>
        <w:tc>
          <w:tcPr>
            <w:tcW w:w="2531" w:type="dxa"/>
            <w:tcBorders>
              <w:bottom w:val="single" w:color="auto" w:sz="4" w:space="0"/>
            </w:tcBorders>
          </w:tcPr>
          <w:p w14:paraId="5D27E590">
            <w:pPr>
              <w:jc w:val="left"/>
              <w:rPr>
                <w:rFonts w:hint="eastAsia" w:ascii="Times New Roman" w:hAnsi="Times New Roman" w:eastAsia="宋体" w:cs="Times New Roman"/>
                <w:szCs w:val="21"/>
              </w:rPr>
            </w:pPr>
            <w:r>
              <w:rPr>
                <w:rFonts w:hint="eastAsia" w:ascii="Times New Roman" w:hAnsi="Times New Roman" w:eastAsia="宋体" w:cs="Times New Roman"/>
                <w:szCs w:val="21"/>
              </w:rPr>
              <w:t>高估自己/忘记自己能力有限</w:t>
            </w:r>
          </w:p>
        </w:tc>
        <w:tc>
          <w:tcPr>
            <w:tcW w:w="2005" w:type="dxa"/>
            <w:tcBorders>
              <w:bottom w:val="single" w:color="auto" w:sz="4" w:space="0"/>
            </w:tcBorders>
          </w:tcPr>
          <w:p w14:paraId="5E9EBF85">
            <w:pPr>
              <w:jc w:val="left"/>
              <w:rPr>
                <w:rFonts w:hint="eastAsia" w:ascii="Times New Roman" w:hAnsi="Times New Roman" w:eastAsia="宋体" w:cs="Times New Roman"/>
                <w:szCs w:val="21"/>
              </w:rPr>
            </w:pPr>
            <w:r>
              <w:rPr>
                <w:rFonts w:hint="eastAsia" w:ascii="Times New Roman" w:hAnsi="Times New Roman" w:eastAsia="宋体" w:cs="Times New Roman"/>
                <w:szCs w:val="21"/>
              </w:rPr>
              <w:t>15</w:t>
            </w:r>
          </w:p>
        </w:tc>
      </w:tr>
    </w:tbl>
    <w:p w14:paraId="53CAFE43">
      <w:pPr>
        <w:ind w:firstLine="0" w:firstLineChars="0"/>
        <w:jc w:val="left"/>
        <w:rPr>
          <w:rFonts w:hint="eastAsia" w:ascii="黑体" w:hAnsi="黑体" w:eastAsia="黑体" w:cs="黑体"/>
          <w:bCs/>
          <w:szCs w:val="21"/>
        </w:rPr>
      </w:pPr>
      <w:r>
        <w:rPr>
          <w:rFonts w:hint="eastAsia" w:ascii="黑体" w:hAnsi="黑体" w:eastAsia="黑体" w:cs="黑体"/>
          <w:bCs/>
          <w:szCs w:val="21"/>
        </w:rPr>
        <w:t>5.3.5 衰弱评估</w:t>
      </w:r>
    </w:p>
    <w:p w14:paraId="2D8926F5">
      <w:pPr>
        <w:ind w:firstLine="420" w:firstLineChars="0"/>
        <w:jc w:val="both"/>
        <w:rPr>
          <w:rFonts w:hint="eastAsia" w:ascii="Times New Roman" w:hAnsi="Times New Roman" w:eastAsia="宋体" w:cs="Times New Roman"/>
        </w:rPr>
      </w:pPr>
      <w:r>
        <w:rPr>
          <w:rFonts w:hint="eastAsia" w:ascii="Times New Roman" w:hAnsi="Times New Roman" w:eastAsia="宋体" w:cs="Times New Roman"/>
        </w:rPr>
        <w:t>目前关于衰弱的评估方法尚无统一标准，较常用的有</w:t>
      </w:r>
      <w:bookmarkStart w:id="15" w:name="_Hlk207433446"/>
      <w:r>
        <w:rPr>
          <w:rFonts w:hint="eastAsia" w:ascii="Times New Roman" w:hAnsi="Times New Roman" w:eastAsia="宋体" w:cs="Times New Roman"/>
        </w:rPr>
        <w:t>简易衰弱问卷（Simple Frailty Questionnaire, FRAIL）</w:t>
      </w:r>
      <w:bookmarkEnd w:id="15"/>
      <w:r>
        <w:rPr>
          <w:rFonts w:hint="eastAsia" w:ascii="Times New Roman" w:hAnsi="Times New Roman" w:eastAsia="宋体" w:cs="Times New Roman"/>
        </w:rPr>
        <w:t>，该量表快捷、高效、经济，是快速筛查老年人衰弱风险的有效工具。具体内容如下。</w:t>
      </w:r>
    </w:p>
    <w:p w14:paraId="01A85DF3">
      <w:pPr>
        <w:ind w:firstLine="210" w:firstLineChars="100"/>
        <w:jc w:val="center"/>
        <w:rPr>
          <w:rFonts w:hint="eastAsia" w:ascii="Times New Roman" w:hAnsi="Times New Roman" w:eastAsia="宋体" w:cs="Times New Roman"/>
        </w:rPr>
      </w:pPr>
      <w:r>
        <w:rPr>
          <w:rFonts w:hint="eastAsia" w:ascii="Times New Roman" w:hAnsi="Times New Roman" w:eastAsia="宋体" w:cs="Times New Roman"/>
        </w:rPr>
        <w:t>表3 FRAIL量表</w:t>
      </w:r>
    </w:p>
    <w:tbl>
      <w:tblPr>
        <w:tblStyle w:val="13"/>
        <w:tblW w:w="8505"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2977"/>
        <w:gridCol w:w="5528"/>
      </w:tblGrid>
      <w:tr w14:paraId="0D041EE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3328D7B2">
            <w:pPr>
              <w:jc w:val="left"/>
              <w:rPr>
                <w:rFonts w:hint="eastAsia" w:ascii="Times New Roman" w:hAnsi="Times New Roman" w:eastAsia="宋体" w:cs="Times New Roman"/>
              </w:rPr>
            </w:pPr>
            <w:r>
              <w:rPr>
                <w:rFonts w:hint="eastAsia" w:ascii="Times New Roman" w:hAnsi="Times New Roman" w:eastAsia="宋体" w:cs="Times New Roman"/>
              </w:rPr>
              <w:t>评估内容</w:t>
            </w:r>
          </w:p>
        </w:tc>
        <w:tc>
          <w:tcPr>
            <w:tcW w:w="5528" w:type="dxa"/>
          </w:tcPr>
          <w:p w14:paraId="40E785C8">
            <w:pPr>
              <w:jc w:val="left"/>
              <w:rPr>
                <w:rFonts w:hint="eastAsia" w:ascii="Times New Roman" w:hAnsi="Times New Roman" w:eastAsia="宋体" w:cs="Times New Roman"/>
              </w:rPr>
            </w:pPr>
            <w:r>
              <w:rPr>
                <w:rFonts w:hint="eastAsia" w:ascii="Times New Roman" w:hAnsi="Times New Roman" w:eastAsia="宋体" w:cs="Times New Roman"/>
              </w:rPr>
              <w:t>概念</w:t>
            </w:r>
          </w:p>
        </w:tc>
      </w:tr>
      <w:tr w14:paraId="46B1ABB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7221C8B9">
            <w:pPr>
              <w:jc w:val="left"/>
              <w:rPr>
                <w:rFonts w:hint="eastAsia" w:ascii="Times New Roman" w:hAnsi="Times New Roman" w:eastAsia="宋体" w:cs="Times New Roman"/>
              </w:rPr>
            </w:pPr>
            <w:r>
              <w:rPr>
                <w:rFonts w:hint="eastAsia" w:ascii="Times New Roman" w:hAnsi="Times New Roman" w:eastAsia="宋体" w:cs="Times New Roman"/>
              </w:rPr>
              <w:t>疲乏</w:t>
            </w:r>
          </w:p>
        </w:tc>
        <w:tc>
          <w:tcPr>
            <w:tcW w:w="5528" w:type="dxa"/>
          </w:tcPr>
          <w:p w14:paraId="151E4E61">
            <w:pPr>
              <w:jc w:val="left"/>
              <w:rPr>
                <w:rFonts w:hint="eastAsia" w:ascii="Times New Roman" w:hAnsi="Times New Roman" w:eastAsia="宋体" w:cs="Times New Roman"/>
              </w:rPr>
            </w:pPr>
            <w:r>
              <w:rPr>
                <w:rFonts w:hint="eastAsia" w:ascii="Times New Roman" w:hAnsi="Times New Roman" w:eastAsia="宋体" w:cs="Times New Roman"/>
              </w:rPr>
              <w:t>过去四周内，大部分时间或所有时间感到疲乏</w:t>
            </w:r>
          </w:p>
        </w:tc>
      </w:tr>
      <w:tr w14:paraId="40A9B4E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29165CF6">
            <w:pPr>
              <w:jc w:val="left"/>
              <w:rPr>
                <w:rFonts w:hint="eastAsia" w:ascii="Times New Roman" w:hAnsi="Times New Roman" w:eastAsia="宋体" w:cs="Times New Roman"/>
              </w:rPr>
            </w:pPr>
            <w:r>
              <w:rPr>
                <w:rFonts w:hint="eastAsia" w:ascii="Times New Roman" w:hAnsi="Times New Roman" w:eastAsia="宋体" w:cs="Times New Roman"/>
              </w:rPr>
              <w:t>阻力增减/耐力减退</w:t>
            </w:r>
          </w:p>
        </w:tc>
        <w:tc>
          <w:tcPr>
            <w:tcW w:w="5528" w:type="dxa"/>
          </w:tcPr>
          <w:p w14:paraId="59F9010A">
            <w:pPr>
              <w:jc w:val="left"/>
              <w:rPr>
                <w:rFonts w:hint="eastAsia" w:ascii="Times New Roman" w:hAnsi="Times New Roman" w:eastAsia="宋体" w:cs="Times New Roman"/>
              </w:rPr>
            </w:pPr>
            <w:r>
              <w:rPr>
                <w:rFonts w:hint="eastAsia" w:ascii="Times New Roman" w:hAnsi="Times New Roman" w:eastAsia="宋体" w:cs="Times New Roman"/>
              </w:rPr>
              <w:t>在不使用任何辅助工具及他人帮助的情况下，中途不休息很难上一层楼梯</w:t>
            </w:r>
          </w:p>
        </w:tc>
      </w:tr>
      <w:tr w14:paraId="7C84BFB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498DB458">
            <w:pPr>
              <w:jc w:val="left"/>
              <w:rPr>
                <w:rFonts w:hint="eastAsia" w:ascii="Times New Roman" w:hAnsi="Times New Roman" w:eastAsia="宋体" w:cs="Times New Roman"/>
              </w:rPr>
            </w:pPr>
            <w:r>
              <w:rPr>
                <w:rFonts w:hint="eastAsia" w:ascii="Times New Roman" w:hAnsi="Times New Roman" w:eastAsia="宋体" w:cs="Times New Roman"/>
              </w:rPr>
              <w:t>自由活动下降</w:t>
            </w:r>
          </w:p>
        </w:tc>
        <w:tc>
          <w:tcPr>
            <w:tcW w:w="5528" w:type="dxa"/>
          </w:tcPr>
          <w:p w14:paraId="5C4C772C">
            <w:pPr>
              <w:jc w:val="left"/>
              <w:rPr>
                <w:rFonts w:hint="eastAsia" w:ascii="Times New Roman" w:hAnsi="Times New Roman" w:eastAsia="宋体" w:cs="Times New Roman"/>
              </w:rPr>
            </w:pPr>
            <w:r>
              <w:rPr>
                <w:rFonts w:hint="eastAsia" w:ascii="Times New Roman" w:hAnsi="Times New Roman" w:eastAsia="宋体" w:cs="Times New Roman"/>
              </w:rPr>
              <w:t>无辅助工具或人为帮助，很难走完100m米（一个街区）</w:t>
            </w:r>
          </w:p>
        </w:tc>
      </w:tr>
      <w:tr w14:paraId="00D7269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0BBB4BBD">
            <w:pPr>
              <w:jc w:val="left"/>
              <w:rPr>
                <w:rFonts w:hint="eastAsia" w:ascii="Times New Roman" w:hAnsi="Times New Roman" w:eastAsia="宋体" w:cs="Times New Roman"/>
              </w:rPr>
            </w:pPr>
            <w:r>
              <w:rPr>
                <w:rFonts w:hint="eastAsia" w:ascii="Times New Roman" w:hAnsi="Times New Roman" w:eastAsia="宋体" w:cs="Times New Roman"/>
              </w:rPr>
              <w:t>合并疾病情况（5种以上）</w:t>
            </w:r>
          </w:p>
        </w:tc>
        <w:tc>
          <w:tcPr>
            <w:tcW w:w="5528" w:type="dxa"/>
          </w:tcPr>
          <w:p w14:paraId="2B554224">
            <w:pPr>
              <w:jc w:val="left"/>
              <w:rPr>
                <w:rFonts w:hint="eastAsia" w:ascii="Times New Roman" w:hAnsi="Times New Roman" w:eastAsia="宋体" w:cs="Times New Roman"/>
              </w:rPr>
            </w:pPr>
            <w:r>
              <w:rPr>
                <w:rFonts w:hint="eastAsia" w:ascii="Times New Roman" w:hAnsi="Times New Roman" w:eastAsia="宋体" w:cs="Times New Roman"/>
              </w:rPr>
              <w:t>高血压、糖尿病、冠心病、脑卒中、心功能不全、恶性肿瘤、哮喘、关节炎、慢性肺病、肾脏疾病等</w:t>
            </w:r>
          </w:p>
        </w:tc>
      </w:tr>
      <w:tr w14:paraId="448139F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2977" w:type="dxa"/>
          </w:tcPr>
          <w:p w14:paraId="58EF20BA">
            <w:pPr>
              <w:jc w:val="left"/>
              <w:rPr>
                <w:rFonts w:hint="eastAsia" w:ascii="Times New Roman" w:hAnsi="Times New Roman" w:eastAsia="宋体" w:cs="Times New Roman"/>
              </w:rPr>
            </w:pPr>
            <w:r>
              <w:rPr>
                <w:rFonts w:hint="eastAsia" w:ascii="Times New Roman" w:hAnsi="Times New Roman" w:eastAsia="宋体" w:cs="Times New Roman"/>
              </w:rPr>
              <w:t>体重下降（≥5%）</w:t>
            </w:r>
          </w:p>
        </w:tc>
        <w:tc>
          <w:tcPr>
            <w:tcW w:w="5528" w:type="dxa"/>
          </w:tcPr>
          <w:p w14:paraId="68C7652C">
            <w:pPr>
              <w:jc w:val="left"/>
              <w:rPr>
                <w:rFonts w:hint="eastAsia" w:ascii="Times New Roman" w:hAnsi="Times New Roman" w:eastAsia="宋体" w:cs="Times New Roman"/>
              </w:rPr>
            </w:pPr>
            <w:r>
              <w:rPr>
                <w:rFonts w:hint="eastAsia" w:ascii="Times New Roman" w:hAnsi="Times New Roman" w:eastAsia="宋体" w:cs="Times New Roman"/>
              </w:rPr>
              <w:t>1年或更短时间内体重下降超过5%</w:t>
            </w:r>
          </w:p>
        </w:tc>
      </w:tr>
    </w:tbl>
    <w:p w14:paraId="2C9A025D">
      <w:pPr>
        <w:ind w:firstLine="420" w:firstLineChars="200"/>
        <w:jc w:val="both"/>
        <w:rPr>
          <w:rFonts w:hint="eastAsia" w:ascii="Times New Roman" w:hAnsi="Times New Roman" w:eastAsia="宋体" w:cs="Times New Roman"/>
        </w:rPr>
      </w:pPr>
      <w:r>
        <w:rPr>
          <w:rFonts w:hint="eastAsia" w:ascii="Times New Roman" w:hAnsi="Times New Roman" w:eastAsia="宋体" w:cs="Times New Roman"/>
        </w:rPr>
        <w:t>另外Fried衰弱量表有以下5项：</w:t>
      </w:r>
      <w:r>
        <w:rPr>
          <w:rFonts w:ascii="Times New Roman" w:hAnsi="Times New Roman" w:eastAsia="宋体" w:cs="Times New Roman"/>
        </w:rPr>
        <w:fldChar w:fldCharType="begin"/>
      </w:r>
      <w:r>
        <w:rPr>
          <w:rFonts w:hint="eastAsia" w:ascii="Times New Roman" w:hAnsi="Times New Roman" w:eastAsia="宋体" w:cs="Times New Roman"/>
        </w:rPr>
        <w:instrText xml:space="preserve"> = 1 \* GB3 </w:instrText>
      </w:r>
      <w:r>
        <w:rPr>
          <w:rFonts w:ascii="Times New Roman" w:hAnsi="Times New Roman" w:eastAsia="宋体" w:cs="Times New Roman"/>
        </w:rPr>
        <w:fldChar w:fldCharType="separate"/>
      </w:r>
      <w:r>
        <w:rPr>
          <w:rFonts w:hint="eastAsia" w:ascii="Cambria Math" w:hAnsi="Cambria Math" w:eastAsia="宋体" w:cs="Cambria Math"/>
        </w:rPr>
        <w:t>①</w:t>
      </w:r>
      <w:r>
        <w:rPr>
          <w:rFonts w:ascii="Times New Roman" w:hAnsi="Times New Roman" w:eastAsia="宋体" w:cs="Times New Roman"/>
        </w:rPr>
        <w:fldChar w:fldCharType="end"/>
      </w:r>
      <w:r>
        <w:rPr>
          <w:rFonts w:hint="eastAsia" w:ascii="Times New Roman" w:hAnsi="Times New Roman" w:eastAsia="宋体" w:cs="Times New Roman"/>
        </w:rPr>
        <w:t>不明原因体重下降；</w:t>
      </w:r>
      <w:r>
        <w:rPr>
          <w:rFonts w:ascii="Times New Roman" w:hAnsi="Times New Roman" w:eastAsia="宋体" w:cs="Times New Roman"/>
        </w:rPr>
        <w:fldChar w:fldCharType="begin"/>
      </w:r>
      <w:r>
        <w:rPr>
          <w:rFonts w:hint="eastAsia" w:ascii="Times New Roman" w:hAnsi="Times New Roman" w:eastAsia="宋体" w:cs="Times New Roman"/>
        </w:rPr>
        <w:instrText xml:space="preserve"> = 2 \* GB3 </w:instrText>
      </w:r>
      <w:r>
        <w:rPr>
          <w:rFonts w:ascii="Times New Roman" w:hAnsi="Times New Roman" w:eastAsia="宋体" w:cs="Times New Roman"/>
        </w:rPr>
        <w:fldChar w:fldCharType="separate"/>
      </w:r>
      <w:r>
        <w:rPr>
          <w:rFonts w:hint="eastAsia" w:ascii="Cambria Math" w:hAnsi="Cambria Math" w:eastAsia="宋体" w:cs="Cambria Math"/>
        </w:rPr>
        <w:t>②</w:t>
      </w:r>
      <w:r>
        <w:rPr>
          <w:rFonts w:ascii="Times New Roman" w:hAnsi="Times New Roman" w:eastAsia="宋体" w:cs="Times New Roman"/>
        </w:rPr>
        <w:fldChar w:fldCharType="end"/>
      </w:r>
      <w:r>
        <w:rPr>
          <w:rFonts w:hint="eastAsia" w:ascii="Times New Roman" w:hAnsi="Times New Roman" w:eastAsia="宋体" w:cs="Times New Roman"/>
        </w:rPr>
        <w:t>疲乏；</w:t>
      </w:r>
      <w:r>
        <w:rPr>
          <w:rFonts w:ascii="Times New Roman" w:hAnsi="Times New Roman" w:eastAsia="宋体" w:cs="Times New Roman"/>
        </w:rPr>
        <w:fldChar w:fldCharType="begin"/>
      </w:r>
      <w:r>
        <w:rPr>
          <w:rFonts w:hint="eastAsia" w:ascii="Times New Roman" w:hAnsi="Times New Roman" w:eastAsia="宋体" w:cs="Times New Roman"/>
        </w:rPr>
        <w:instrText xml:space="preserve"> = 3 \* GB3 </w:instrText>
      </w:r>
      <w:r>
        <w:rPr>
          <w:rFonts w:ascii="Times New Roman" w:hAnsi="Times New Roman" w:eastAsia="宋体" w:cs="Times New Roman"/>
        </w:rPr>
        <w:fldChar w:fldCharType="separate"/>
      </w:r>
      <w:r>
        <w:rPr>
          <w:rFonts w:hint="eastAsia" w:ascii="Cambria Math" w:hAnsi="Cambria Math" w:eastAsia="宋体" w:cs="Cambria Math"/>
        </w:rPr>
        <w:t>③</w:t>
      </w:r>
      <w:r>
        <w:rPr>
          <w:rFonts w:ascii="Times New Roman" w:hAnsi="Times New Roman" w:eastAsia="宋体" w:cs="Times New Roman"/>
        </w:rPr>
        <w:fldChar w:fldCharType="end"/>
      </w:r>
      <w:r>
        <w:rPr>
          <w:rFonts w:hint="eastAsia" w:ascii="Times New Roman" w:hAnsi="Times New Roman" w:eastAsia="宋体" w:cs="Times New Roman"/>
        </w:rPr>
        <w:t>握力下降；</w:t>
      </w:r>
      <w:r>
        <w:rPr>
          <w:rFonts w:ascii="Times New Roman" w:hAnsi="Times New Roman" w:eastAsia="宋体" w:cs="Times New Roman"/>
        </w:rPr>
        <w:fldChar w:fldCharType="begin"/>
      </w:r>
      <w:r>
        <w:rPr>
          <w:rFonts w:hint="eastAsia" w:ascii="Times New Roman" w:hAnsi="Times New Roman" w:eastAsia="宋体" w:cs="Times New Roman"/>
        </w:rPr>
        <w:instrText xml:space="preserve"> = 4 \* GB3 </w:instrText>
      </w:r>
      <w:r>
        <w:rPr>
          <w:rFonts w:ascii="Times New Roman" w:hAnsi="Times New Roman" w:eastAsia="宋体" w:cs="Times New Roman"/>
        </w:rPr>
        <w:fldChar w:fldCharType="separate"/>
      </w:r>
      <w:r>
        <w:rPr>
          <w:rFonts w:hint="eastAsia" w:ascii="Cambria Math" w:hAnsi="Cambria Math" w:eastAsia="宋体" w:cs="Cambria Math"/>
        </w:rPr>
        <w:t>④</w:t>
      </w:r>
      <w:r>
        <w:rPr>
          <w:rFonts w:ascii="Times New Roman" w:hAnsi="Times New Roman" w:eastAsia="宋体" w:cs="Times New Roman"/>
        </w:rPr>
        <w:fldChar w:fldCharType="end"/>
      </w:r>
      <w:r>
        <w:rPr>
          <w:rFonts w:hint="eastAsia" w:ascii="Times New Roman" w:hAnsi="Times New Roman" w:eastAsia="宋体" w:cs="Times New Roman"/>
        </w:rPr>
        <w:t>行走速度下降</w:t>
      </w:r>
      <w:r>
        <w:rPr>
          <w:rFonts w:hint="eastAsia" w:ascii="Times New Roman" w:hAnsi="Times New Roman" w:eastAsia="宋体" w:cs="Times New Roman"/>
        </w:rPr>
        <w:t>；</w:t>
      </w:r>
      <w:r>
        <w:rPr>
          <w:rFonts w:ascii="Times New Roman" w:hAnsi="Times New Roman" w:eastAsia="宋体" w:cs="Times New Roman"/>
        </w:rPr>
        <w:fldChar w:fldCharType="begin"/>
      </w:r>
      <w:r>
        <w:rPr>
          <w:rFonts w:hint="eastAsia" w:ascii="Times New Roman" w:hAnsi="Times New Roman" w:eastAsia="宋体" w:cs="Times New Roman"/>
        </w:rPr>
        <w:instrText xml:space="preserve"> = 5 \* GB3 </w:instrText>
      </w:r>
      <w:r>
        <w:rPr>
          <w:rFonts w:ascii="Times New Roman" w:hAnsi="Times New Roman" w:eastAsia="宋体" w:cs="Times New Roman"/>
        </w:rPr>
        <w:fldChar w:fldCharType="separate"/>
      </w:r>
      <w:r>
        <w:rPr>
          <w:rFonts w:hint="eastAsia" w:ascii="Cambria Math" w:hAnsi="Cambria Math" w:eastAsia="宋体" w:cs="Cambria Math"/>
        </w:rPr>
        <w:t>⑤</w:t>
      </w:r>
      <w:r>
        <w:rPr>
          <w:rFonts w:ascii="Times New Roman" w:hAnsi="Times New Roman" w:eastAsia="宋体" w:cs="Times New Roman"/>
        </w:rPr>
        <w:fldChar w:fldCharType="end"/>
      </w:r>
      <w:r>
        <w:rPr>
          <w:rFonts w:hint="eastAsia" w:ascii="Times New Roman" w:hAnsi="Times New Roman" w:eastAsia="宋体" w:cs="Times New Roman"/>
        </w:rPr>
        <w:t>躯体活动降低。具有1条或2条的状态是衰弱前期，满足3条或以上的为衰弱综合征。</w:t>
      </w:r>
    </w:p>
    <w:p w14:paraId="2B597BC2">
      <w:pPr>
        <w:pStyle w:val="48"/>
        <w:numPr>
          <w:ilvl w:val="1"/>
          <w:numId w:val="1"/>
        </w:numPr>
        <w:spacing w:before="156" w:beforeLines="50" w:after="156" w:afterLines="50"/>
        <w:ind w:firstLineChars="0"/>
        <w:jc w:val="left"/>
        <w:rPr>
          <w:rFonts w:hint="eastAsia" w:ascii="黑体" w:hAnsi="黑体" w:eastAsia="黑体" w:cs="黑体"/>
          <w:b/>
          <w:bCs/>
          <w:szCs w:val="21"/>
        </w:rPr>
      </w:pPr>
      <w:r>
        <w:rPr>
          <w:rFonts w:hint="eastAsia" w:ascii="黑体" w:hAnsi="黑体" w:eastAsia="黑体" w:cs="黑体"/>
          <w:b/>
          <w:bCs/>
          <w:szCs w:val="21"/>
        </w:rPr>
        <w:t>认知功能评估</w:t>
      </w:r>
    </w:p>
    <w:p w14:paraId="22ED9061">
      <w:pPr>
        <w:spacing w:before="156" w:beforeLines="50" w:after="156" w:afterLines="50"/>
        <w:ind w:firstLine="420"/>
        <w:jc w:val="left"/>
        <w:rPr>
          <w:rFonts w:hint="eastAsia" w:ascii="Times New Roman" w:hAnsi="Times New Roman" w:eastAsia="宋体" w:cs="Times New Roman"/>
          <w:bCs/>
          <w:szCs w:val="21"/>
        </w:rPr>
      </w:pPr>
      <w:r>
        <w:rPr>
          <w:rFonts w:hint="eastAsia" w:ascii="Times New Roman" w:hAnsi="Times New Roman" w:eastAsia="宋体" w:cs="Times New Roman"/>
        </w:rPr>
        <w:t>老年患者术前综合评估包括术前常规认知功能评估。 “</w:t>
      </w:r>
      <w:bookmarkStart w:id="16" w:name="_Hlk207433492"/>
      <w:r>
        <w:rPr>
          <w:rFonts w:hint="eastAsia" w:ascii="Times New Roman" w:hAnsi="Times New Roman" w:eastAsia="宋体" w:cs="Times New Roman"/>
        </w:rPr>
        <w:t>简易精神状态检查（mini-mental state examination, MMSE）</w:t>
      </w:r>
      <w:bookmarkEnd w:id="16"/>
      <w:r>
        <w:rPr>
          <w:rFonts w:hint="eastAsia" w:ascii="Times New Roman" w:hAnsi="Times New Roman" w:eastAsia="宋体" w:cs="Times New Roman"/>
        </w:rPr>
        <w:t>”作为一种简短、易于应用且研究充分的工具，是国内外应用最为广泛的认知功能筛查工具。仔细记录患者的术前认知状态对于诊断和预测常见的术后并发症至关重要，如术后谵妄或认知功能障碍。MMSE由不同的神经心理测验中抽调出的项目组合而成，包括定向力（10分）、执行功能（3分）、注意和计算（5分）、回忆（3分）和语言（9分）5个认知域共30分的内容。该筛查方法用于初筛轻度认知功能障碍患者，或用于脑卒中患者认知功能损害情况，但是受年龄和文化程度限制。</w:t>
      </w:r>
    </w:p>
    <w:p w14:paraId="0EC896FC">
      <w:pPr>
        <w:ind w:left="0" w:firstLine="420" w:firstLineChars="200"/>
        <w:jc w:val="left"/>
        <w:rPr>
          <w:rFonts w:hint="eastAsia" w:ascii="Times New Roman" w:hAnsi="Times New Roman" w:eastAsia="宋体" w:cs="Times New Roman"/>
        </w:rPr>
      </w:pPr>
      <w:bookmarkStart w:id="17" w:name="_Hlk207433522"/>
      <w:r>
        <w:rPr>
          <w:rFonts w:hint="eastAsia" w:ascii="Times New Roman" w:hAnsi="Times New Roman" w:eastAsia="宋体" w:cs="Times New Roman"/>
        </w:rPr>
        <w:t>简易认知评估工具（mini-cognitive assessment instrument, Mini-Cog）</w:t>
      </w:r>
      <w:bookmarkEnd w:id="17"/>
      <w:r>
        <w:rPr>
          <w:rFonts w:hint="eastAsia" w:ascii="Times New Roman" w:hAnsi="Times New Roman" w:eastAsia="宋体" w:cs="Times New Roman"/>
        </w:rPr>
        <w:t>Mini-Cog由一名医生完成，用于区分痴呆和非痴呆人群，用时约3分钟，不受年龄和文化程度影响。见下表：</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701"/>
        <w:gridCol w:w="3827"/>
        <w:gridCol w:w="2069"/>
        <w:tblGridChange w:id="0">
          <w:tblGrid>
            <w:gridCol w:w="709"/>
            <w:gridCol w:w="1701"/>
            <w:gridCol w:w="3827"/>
            <w:gridCol w:w="2069"/>
          </w:tblGrid>
        </w:tblGridChange>
      </w:tblGrid>
      <w:tr w14:paraId="20B2D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top w:val="nil"/>
              <w:left w:val="nil"/>
              <w:bottom w:val="single" w:color="auto" w:sz="4" w:space="0"/>
              <w:right w:val="nil"/>
            </w:tcBorders>
          </w:tcPr>
          <w:p w14:paraId="1465CE95">
            <w:pPr>
              <w:jc w:val="center"/>
              <w:rPr>
                <w:rFonts w:hint="eastAsia" w:ascii="Times New Roman" w:hAnsi="Times New Roman" w:eastAsia="宋体" w:cs="Times New Roman"/>
                <w:b w:val="0"/>
                <w:bCs w:val="0"/>
                <w:szCs w:val="21"/>
              </w:rPr>
            </w:pPr>
            <w:r>
              <w:rPr>
                <w:rFonts w:hint="eastAsia" w:ascii="Times New Roman" w:hAnsi="Times New Roman" w:eastAsia="宋体" w:cs="Times New Roman"/>
                <w:b w:val="0"/>
                <w:bCs w:val="0"/>
                <w:szCs w:val="21"/>
              </w:rPr>
              <w:t>表4 简易认知评估工具（Mini-Cog）</w:t>
            </w:r>
          </w:p>
        </w:tc>
      </w:tr>
      <w:tr w14:paraId="0F3BA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092012A8">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序号</w:t>
            </w:r>
          </w:p>
        </w:tc>
        <w:tc>
          <w:tcPr>
            <w:tcW w:w="1701" w:type="dxa"/>
            <w:tcBorders>
              <w:left w:val="single" w:color="auto" w:sz="4" w:space="0"/>
              <w:right w:val="single" w:color="auto" w:sz="4" w:space="0"/>
            </w:tcBorders>
          </w:tcPr>
          <w:p w14:paraId="2E786C9B">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项目</w:t>
            </w:r>
          </w:p>
        </w:tc>
        <w:tc>
          <w:tcPr>
            <w:tcW w:w="3827" w:type="dxa"/>
            <w:tcBorders>
              <w:left w:val="single" w:color="auto" w:sz="4" w:space="0"/>
              <w:right w:val="single" w:color="auto" w:sz="4" w:space="0"/>
            </w:tcBorders>
          </w:tcPr>
          <w:p w14:paraId="5CEB4B47">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评估内容</w:t>
            </w:r>
          </w:p>
        </w:tc>
        <w:tc>
          <w:tcPr>
            <w:tcW w:w="2069" w:type="dxa"/>
            <w:tcBorders>
              <w:left w:val="single" w:color="auto" w:sz="4" w:space="0"/>
              <w:right w:val="nil"/>
            </w:tcBorders>
          </w:tcPr>
          <w:p w14:paraId="49B3BBE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评分</w:t>
            </w:r>
          </w:p>
        </w:tc>
      </w:tr>
      <w:tr w14:paraId="0D8B6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7E551F29">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c>
          <w:tcPr>
            <w:tcW w:w="1701" w:type="dxa"/>
            <w:vMerge w:val="restart"/>
            <w:tcBorders>
              <w:left w:val="single" w:color="auto" w:sz="4" w:space="0"/>
              <w:right w:val="single" w:color="auto" w:sz="4" w:space="0"/>
            </w:tcBorders>
          </w:tcPr>
          <w:p w14:paraId="229958BD">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引导语</w:t>
            </w:r>
          </w:p>
        </w:tc>
        <w:tc>
          <w:tcPr>
            <w:tcW w:w="3827" w:type="dxa"/>
            <w:tcBorders>
              <w:left w:val="single" w:color="auto" w:sz="4" w:space="0"/>
              <w:right w:val="single" w:color="auto" w:sz="4" w:space="0"/>
            </w:tcBorders>
          </w:tcPr>
          <w:p w14:paraId="6FEE136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A．“我说三样东西：苹果/手表/国旗，请重复一遍并记住，一会儿问您”</w:t>
            </w:r>
          </w:p>
        </w:tc>
        <w:tc>
          <w:tcPr>
            <w:tcW w:w="2069" w:type="dxa"/>
            <w:tcBorders>
              <w:left w:val="single" w:color="auto" w:sz="4" w:space="0"/>
              <w:right w:val="nil"/>
            </w:tcBorders>
          </w:tcPr>
          <w:p w14:paraId="1B6BB1A9">
            <w:pPr>
              <w:jc w:val="center"/>
              <w:rPr>
                <w:rFonts w:hint="eastAsia" w:ascii="Times New Roman" w:hAnsi="Times New Roman" w:eastAsia="宋体" w:cs="Times New Roman"/>
                <w:sz w:val="21"/>
                <w:szCs w:val="21"/>
              </w:rPr>
            </w:pPr>
          </w:p>
        </w:tc>
      </w:tr>
      <w:tr w14:paraId="7C932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37E6439D">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7BC9EDA">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3A26C93E">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B. 画钟试验：“请您在纸上画一个圆形钟，并在时钟上标注出10点20分”</w:t>
            </w:r>
          </w:p>
        </w:tc>
        <w:tc>
          <w:tcPr>
            <w:tcW w:w="2069" w:type="dxa"/>
            <w:tcBorders>
              <w:left w:val="single" w:color="auto" w:sz="4" w:space="0"/>
              <w:right w:val="nil"/>
            </w:tcBorders>
          </w:tcPr>
          <w:p w14:paraId="7D032444">
            <w:pPr>
              <w:jc w:val="center"/>
              <w:rPr>
                <w:rFonts w:hint="eastAsia" w:ascii="Times New Roman" w:hAnsi="Times New Roman" w:eastAsia="宋体" w:cs="Times New Roman"/>
                <w:sz w:val="21"/>
                <w:szCs w:val="21"/>
              </w:rPr>
            </w:pPr>
          </w:p>
        </w:tc>
      </w:tr>
      <w:tr w14:paraId="6B199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35888F7B">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52F52472">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2183FD30">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C.回忆词语：“现在请您告诉我，刚才我要您记住的三样东西是什么？”</w:t>
            </w:r>
          </w:p>
        </w:tc>
        <w:tc>
          <w:tcPr>
            <w:tcW w:w="2069" w:type="dxa"/>
            <w:tcBorders>
              <w:left w:val="single" w:color="auto" w:sz="4" w:space="0"/>
              <w:right w:val="nil"/>
            </w:tcBorders>
          </w:tcPr>
          <w:p w14:paraId="5F94D0C2">
            <w:pPr>
              <w:jc w:val="center"/>
              <w:rPr>
                <w:rFonts w:hint="eastAsia" w:ascii="Times New Roman" w:hAnsi="Times New Roman" w:eastAsia="宋体" w:cs="Times New Roman"/>
                <w:sz w:val="21"/>
                <w:szCs w:val="21"/>
              </w:rPr>
            </w:pPr>
          </w:p>
        </w:tc>
      </w:tr>
      <w:tr w14:paraId="239C1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4FB9B372">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c>
          <w:tcPr>
            <w:tcW w:w="1701" w:type="dxa"/>
            <w:vMerge w:val="restart"/>
            <w:tcBorders>
              <w:left w:val="single" w:color="auto" w:sz="4" w:space="0"/>
              <w:right w:val="single" w:color="auto" w:sz="4" w:space="0"/>
            </w:tcBorders>
          </w:tcPr>
          <w:p w14:paraId="2225F8F4">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评估建议</w:t>
            </w:r>
          </w:p>
        </w:tc>
        <w:tc>
          <w:tcPr>
            <w:tcW w:w="3827" w:type="dxa"/>
            <w:tcBorders>
              <w:left w:val="single" w:color="auto" w:sz="4" w:space="0"/>
              <w:right w:val="single" w:color="auto" w:sz="4" w:space="0"/>
            </w:tcBorders>
          </w:tcPr>
          <w:p w14:paraId="25CC68A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能记住三个词语，非痴呆</w:t>
            </w:r>
          </w:p>
        </w:tc>
        <w:tc>
          <w:tcPr>
            <w:tcW w:w="2069" w:type="dxa"/>
            <w:tcBorders>
              <w:left w:val="single" w:color="auto" w:sz="4" w:space="0"/>
              <w:right w:val="nil"/>
            </w:tcBorders>
          </w:tcPr>
          <w:p w14:paraId="2DD6C6F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3分</w:t>
            </w:r>
          </w:p>
        </w:tc>
      </w:tr>
      <w:tr w14:paraId="585DA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36A4CA0D">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6AE813CF">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644CEA27">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能记住三个词中的1-2个，画钟试验正常，认知功能正常</w:t>
            </w:r>
          </w:p>
        </w:tc>
        <w:tc>
          <w:tcPr>
            <w:tcW w:w="2069" w:type="dxa"/>
            <w:tcBorders>
              <w:left w:val="single" w:color="auto" w:sz="4" w:space="0"/>
              <w:right w:val="nil"/>
            </w:tcBorders>
          </w:tcPr>
          <w:p w14:paraId="75BFC10B">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2分</w:t>
            </w:r>
          </w:p>
        </w:tc>
      </w:tr>
      <w:tr w14:paraId="32F1D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1C98556C">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B11D2EC">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15D5748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能记住三个词中的1-2个，画钟试验不能正常完成，认知功能受损，有待于进一步检查</w:t>
            </w:r>
          </w:p>
        </w:tc>
        <w:tc>
          <w:tcPr>
            <w:tcW w:w="2069" w:type="dxa"/>
            <w:tcBorders>
              <w:left w:val="single" w:color="auto" w:sz="4" w:space="0"/>
              <w:right w:val="nil"/>
            </w:tcBorders>
          </w:tcPr>
          <w:p w14:paraId="38E48C94">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1分</w:t>
            </w:r>
          </w:p>
        </w:tc>
      </w:tr>
      <w:tr w14:paraId="5ABB1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02DE1832">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D52DA82">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0E95646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三个问题都没记住，可能痴呆，需进一步检查</w:t>
            </w:r>
          </w:p>
        </w:tc>
        <w:tc>
          <w:tcPr>
            <w:tcW w:w="2069" w:type="dxa"/>
            <w:tcBorders>
              <w:left w:val="single" w:color="auto" w:sz="4" w:space="0"/>
              <w:right w:val="nil"/>
            </w:tcBorders>
          </w:tcPr>
          <w:p w14:paraId="14389BBB">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0分</w:t>
            </w:r>
          </w:p>
        </w:tc>
      </w:tr>
    </w:tbl>
    <w:p w14:paraId="4D77C058">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营养评估</w:t>
      </w:r>
    </w:p>
    <w:p w14:paraId="061ABDAC">
      <w:pPr>
        <w:ind w:left="0" w:firstLine="420"/>
        <w:jc w:val="left"/>
        <w:rPr>
          <w:rFonts w:hint="eastAsia" w:ascii="Times New Roman" w:hAnsi="Times New Roman" w:eastAsia="宋体" w:cs="Times New Roman"/>
        </w:rPr>
      </w:pPr>
      <w:r>
        <w:rPr>
          <w:rFonts w:hint="eastAsia" w:ascii="Times New Roman" w:hAnsi="Times New Roman" w:eastAsia="宋体" w:cs="Times New Roman"/>
        </w:rPr>
        <w:t>患者营养状况评估应包括膳食史、食物过敏史、疾病史，了解分析有无厌食、吞咽困难或进食困难、药物副作用等。通过细致的体格检查来评估患者营养状况，主要观察有无脂肪及肌肉萎缩，皮肤弹性下降，凹陷性水肿及肝脏肿大和腮腺肿大等表现，以上征象是营养不良的表现。如果患者符合下列情况之一者（</w:t>
      </w:r>
      <w:r>
        <w:rPr>
          <w:rFonts w:ascii="Times New Roman" w:hAnsi="Times New Roman" w:eastAsia="宋体" w:cs="Times New Roman"/>
        </w:rPr>
        <w:fldChar w:fldCharType="begin"/>
      </w:r>
      <w:r>
        <w:rPr>
          <w:rFonts w:hint="eastAsia" w:ascii="Times New Roman" w:hAnsi="Times New Roman" w:eastAsia="宋体" w:cs="Times New Roman"/>
        </w:rPr>
        <w:instrText xml:space="preserve"> = 1 \* GB3 </w:instrText>
      </w:r>
      <w:r>
        <w:rPr>
          <w:rFonts w:ascii="Times New Roman" w:hAnsi="Times New Roman" w:eastAsia="宋体" w:cs="Times New Roman"/>
        </w:rPr>
        <w:fldChar w:fldCharType="separate"/>
      </w:r>
      <w:r>
        <w:rPr>
          <w:rFonts w:hint="eastAsia" w:ascii="Times New Roman" w:hAnsi="Times New Roman" w:eastAsia="宋体" w:cs="Times New Roman"/>
        </w:rPr>
        <w:t>①</w:t>
      </w:r>
      <w:r>
        <w:rPr>
          <w:rFonts w:ascii="Times New Roman" w:hAnsi="Times New Roman" w:eastAsia="宋体" w:cs="Times New Roman"/>
        </w:rPr>
        <w:fldChar w:fldCharType="end"/>
      </w:r>
      <w:r>
        <w:rPr>
          <w:rFonts w:hint="eastAsia" w:ascii="Times New Roman" w:hAnsi="Times New Roman" w:eastAsia="宋体" w:cs="Times New Roman"/>
        </w:rPr>
        <w:t>非自主性体重降，6个月内体重下降≥10%或3个月内体重下降≥5%；</w:t>
      </w:r>
      <w:r>
        <w:rPr>
          <w:rFonts w:ascii="Times New Roman" w:hAnsi="Times New Roman" w:eastAsia="宋体" w:cs="Times New Roman"/>
        </w:rPr>
        <w:fldChar w:fldCharType="begin"/>
      </w:r>
      <w:r>
        <w:rPr>
          <w:rFonts w:hint="eastAsia" w:ascii="Times New Roman" w:hAnsi="Times New Roman" w:eastAsia="宋体" w:cs="Times New Roman"/>
        </w:rPr>
        <w:instrText xml:space="preserve"> = 2 \* GB3 </w:instrText>
      </w:r>
      <w:r>
        <w:rPr>
          <w:rFonts w:ascii="Times New Roman" w:hAnsi="Times New Roman" w:eastAsia="宋体" w:cs="Times New Roman"/>
        </w:rPr>
        <w:fldChar w:fldCharType="separate"/>
      </w:r>
      <w:r>
        <w:rPr>
          <w:rFonts w:hint="eastAsia" w:ascii="Times New Roman" w:hAnsi="Times New Roman" w:eastAsia="宋体" w:cs="Times New Roman"/>
        </w:rPr>
        <w:t>②</w:t>
      </w:r>
      <w:r>
        <w:rPr>
          <w:rFonts w:ascii="Times New Roman" w:hAnsi="Times New Roman" w:eastAsia="宋体" w:cs="Times New Roman"/>
        </w:rPr>
        <w:fldChar w:fldCharType="end"/>
      </w:r>
      <w:r>
        <w:rPr>
          <w:rFonts w:hint="eastAsia" w:ascii="Times New Roman" w:hAnsi="Times New Roman" w:eastAsia="宋体" w:cs="Times New Roman"/>
        </w:rPr>
        <w:t>与日常进食相比，经口摄入减少。）应进行营养风险筛查2002（NRS2002）或微型营养评定。</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701"/>
        <w:gridCol w:w="3827"/>
        <w:gridCol w:w="2069"/>
        <w:tblGridChange w:id="1">
          <w:tblGrid>
            <w:gridCol w:w="709"/>
            <w:gridCol w:w="1701"/>
            <w:gridCol w:w="3827"/>
            <w:gridCol w:w="2069"/>
          </w:tblGrid>
        </w:tblGridChange>
      </w:tblGrid>
      <w:tr w14:paraId="55AF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top w:val="nil"/>
              <w:left w:val="nil"/>
              <w:bottom w:val="single" w:color="auto" w:sz="4" w:space="0"/>
              <w:right w:val="nil"/>
            </w:tcBorders>
          </w:tcPr>
          <w:p w14:paraId="3BBCD11D">
            <w:pPr>
              <w:jc w:val="center"/>
              <w:rPr>
                <w:rFonts w:hint="eastAsia" w:ascii="Times New Roman" w:hAnsi="Times New Roman" w:eastAsia="宋体" w:cs="Times New Roman"/>
                <w:b w:val="0"/>
                <w:bCs w:val="0"/>
                <w:szCs w:val="21"/>
              </w:rPr>
            </w:pPr>
            <w:r>
              <w:rPr>
                <w:rFonts w:hint="eastAsia" w:ascii="Times New Roman" w:hAnsi="Times New Roman" w:eastAsia="宋体" w:cs="Times New Roman"/>
                <w:b w:val="0"/>
                <w:bCs w:val="0"/>
                <w:szCs w:val="21"/>
              </w:rPr>
              <w:t>表5 营养风险筛查2002（NRS2002）</w:t>
            </w:r>
          </w:p>
        </w:tc>
      </w:tr>
      <w:tr w14:paraId="2E57E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3AFD0FEB">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序号</w:t>
            </w:r>
          </w:p>
        </w:tc>
        <w:tc>
          <w:tcPr>
            <w:tcW w:w="1701" w:type="dxa"/>
            <w:tcBorders>
              <w:left w:val="single" w:color="auto" w:sz="4" w:space="0"/>
              <w:right w:val="single" w:color="auto" w:sz="4" w:space="0"/>
            </w:tcBorders>
          </w:tcPr>
          <w:p w14:paraId="195876CD">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项目</w:t>
            </w:r>
          </w:p>
        </w:tc>
        <w:tc>
          <w:tcPr>
            <w:tcW w:w="3827" w:type="dxa"/>
            <w:tcBorders>
              <w:left w:val="single" w:color="auto" w:sz="4" w:space="0"/>
              <w:right w:val="single" w:color="auto" w:sz="4" w:space="0"/>
            </w:tcBorders>
          </w:tcPr>
          <w:p w14:paraId="71D25470">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评估内容</w:t>
            </w:r>
          </w:p>
        </w:tc>
        <w:tc>
          <w:tcPr>
            <w:tcW w:w="2069" w:type="dxa"/>
            <w:tcBorders>
              <w:left w:val="single" w:color="auto" w:sz="4" w:space="0"/>
              <w:right w:val="nil"/>
            </w:tcBorders>
          </w:tcPr>
          <w:p w14:paraId="2CFE2ED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评分</w:t>
            </w:r>
          </w:p>
        </w:tc>
      </w:tr>
      <w:tr w14:paraId="0527B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7E192179">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c>
          <w:tcPr>
            <w:tcW w:w="1701" w:type="dxa"/>
            <w:vMerge w:val="restart"/>
            <w:tcBorders>
              <w:left w:val="single" w:color="auto" w:sz="4" w:space="0"/>
              <w:right w:val="single" w:color="auto" w:sz="4" w:space="0"/>
            </w:tcBorders>
          </w:tcPr>
          <w:p w14:paraId="25260E87">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疾病状态</w:t>
            </w:r>
          </w:p>
        </w:tc>
        <w:tc>
          <w:tcPr>
            <w:tcW w:w="3827" w:type="dxa"/>
            <w:tcBorders>
              <w:left w:val="single" w:color="auto" w:sz="4" w:space="0"/>
              <w:right w:val="single" w:color="auto" w:sz="4" w:space="0"/>
            </w:tcBorders>
          </w:tcPr>
          <w:p w14:paraId="4008165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慢性病患者合并肝硬化、慢性阻塞性肺病、糖尿病、长期血液透析、恶性肿瘤</w:t>
            </w:r>
          </w:p>
        </w:tc>
        <w:tc>
          <w:tcPr>
            <w:tcW w:w="2069" w:type="dxa"/>
            <w:tcBorders>
              <w:left w:val="single" w:color="auto" w:sz="4" w:space="0"/>
              <w:right w:val="nil"/>
            </w:tcBorders>
          </w:tcPr>
          <w:p w14:paraId="114E5536">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6C105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606ECA74">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559BC1B">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2E9203DE">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腹部大手术、脑卒中、重症肺炎、血液系统肿瘤</w:t>
            </w:r>
          </w:p>
        </w:tc>
        <w:tc>
          <w:tcPr>
            <w:tcW w:w="2069" w:type="dxa"/>
            <w:tcBorders>
              <w:left w:val="single" w:color="auto" w:sz="4" w:space="0"/>
              <w:right w:val="nil"/>
            </w:tcBorders>
          </w:tcPr>
          <w:p w14:paraId="32AB2DFF">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0F231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4A8077F4">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3D869AD7">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6FEF03B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颅脑损伤、骨髓抑制、加护病患</w:t>
            </w:r>
          </w:p>
        </w:tc>
        <w:tc>
          <w:tcPr>
            <w:tcW w:w="2069" w:type="dxa"/>
            <w:tcBorders>
              <w:left w:val="single" w:color="auto" w:sz="4" w:space="0"/>
              <w:right w:val="nil"/>
            </w:tcBorders>
          </w:tcPr>
          <w:p w14:paraId="3F6E8CF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r>
      <w:tr w14:paraId="6CFA6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4F814E97">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c>
          <w:tcPr>
            <w:tcW w:w="1701" w:type="dxa"/>
            <w:vMerge w:val="restart"/>
            <w:tcBorders>
              <w:left w:val="single" w:color="auto" w:sz="4" w:space="0"/>
              <w:right w:val="single" w:color="auto" w:sz="4" w:space="0"/>
            </w:tcBorders>
          </w:tcPr>
          <w:p w14:paraId="2EB0C90E">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营养状态</w:t>
            </w:r>
          </w:p>
        </w:tc>
        <w:tc>
          <w:tcPr>
            <w:tcW w:w="3827" w:type="dxa"/>
            <w:tcBorders>
              <w:left w:val="single" w:color="auto" w:sz="4" w:space="0"/>
              <w:right w:val="single" w:color="auto" w:sz="4" w:space="0"/>
            </w:tcBorders>
          </w:tcPr>
          <w:p w14:paraId="4F1DDB87">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正常营养状态</w:t>
            </w:r>
          </w:p>
        </w:tc>
        <w:tc>
          <w:tcPr>
            <w:tcW w:w="2069" w:type="dxa"/>
            <w:tcBorders>
              <w:left w:val="single" w:color="auto" w:sz="4" w:space="0"/>
              <w:right w:val="nil"/>
            </w:tcBorders>
          </w:tcPr>
          <w:p w14:paraId="477BA1C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657EF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5DD07E61">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228D396A">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1EE059BF">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3月内体重下降＞5%或一周内进食量减少20%-50%</w:t>
            </w:r>
          </w:p>
        </w:tc>
        <w:tc>
          <w:tcPr>
            <w:tcW w:w="2069" w:type="dxa"/>
            <w:tcBorders>
              <w:left w:val="single" w:color="auto" w:sz="4" w:space="0"/>
              <w:right w:val="nil"/>
            </w:tcBorders>
          </w:tcPr>
          <w:p w14:paraId="1FDFBDBE">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368A2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52914A77">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2AE2A620">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540BECDF">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2月内体重下降＞5%或BMI18.5-20.5或最近一周内进食量减少50%-75%</w:t>
            </w:r>
          </w:p>
        </w:tc>
        <w:tc>
          <w:tcPr>
            <w:tcW w:w="2069" w:type="dxa"/>
            <w:tcBorders>
              <w:left w:val="single" w:color="auto" w:sz="4" w:space="0"/>
              <w:right w:val="nil"/>
            </w:tcBorders>
          </w:tcPr>
          <w:p w14:paraId="688AF94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5A6F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6D776314">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820EB62">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41F2BE7B">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1月内体重下降＞5%或3月内体重下降＞15%或BMI＜18.5或最近一周内进食量减少70%-100%</w:t>
            </w:r>
          </w:p>
        </w:tc>
        <w:tc>
          <w:tcPr>
            <w:tcW w:w="2069" w:type="dxa"/>
            <w:tcBorders>
              <w:left w:val="single" w:color="auto" w:sz="4" w:space="0"/>
              <w:right w:val="nil"/>
            </w:tcBorders>
          </w:tcPr>
          <w:p w14:paraId="18825126">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r>
      <w:tr w14:paraId="57CDD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0FB79C43">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c>
          <w:tcPr>
            <w:tcW w:w="1701" w:type="dxa"/>
            <w:tcBorders>
              <w:left w:val="single" w:color="auto" w:sz="4" w:space="0"/>
              <w:right w:val="single" w:color="auto" w:sz="4" w:space="0"/>
            </w:tcBorders>
          </w:tcPr>
          <w:p w14:paraId="11F26B51">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年龄</w:t>
            </w:r>
          </w:p>
        </w:tc>
        <w:tc>
          <w:tcPr>
            <w:tcW w:w="3827" w:type="dxa"/>
            <w:tcBorders>
              <w:left w:val="single" w:color="auto" w:sz="4" w:space="0"/>
              <w:right w:val="single" w:color="auto" w:sz="4" w:space="0"/>
            </w:tcBorders>
          </w:tcPr>
          <w:p w14:paraId="1C0BC603">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≥70岁</w:t>
            </w:r>
          </w:p>
        </w:tc>
        <w:tc>
          <w:tcPr>
            <w:tcW w:w="2069" w:type="dxa"/>
            <w:tcBorders>
              <w:left w:val="single" w:color="auto" w:sz="4" w:space="0"/>
              <w:right w:val="nil"/>
            </w:tcBorders>
          </w:tcPr>
          <w:p w14:paraId="0AB834C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2588A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0F009CB6">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总分</w:t>
            </w:r>
          </w:p>
        </w:tc>
      </w:tr>
      <w:tr w14:paraId="40B29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05AD30C0">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评价：总分≥3分：患者有营养不良的风险，需要营养支持。</w:t>
            </w:r>
          </w:p>
          <w:p w14:paraId="6033DD03">
            <w:pPr>
              <w:ind w:firstLine="630" w:firstLineChars="300"/>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总分&lt;3分：若患者需接受重大手术，应每周进行营养状况评估。</w:t>
            </w:r>
          </w:p>
        </w:tc>
      </w:tr>
    </w:tbl>
    <w:p w14:paraId="1F37113D">
      <w:pPr>
        <w:pStyle w:val="48"/>
        <w:ind w:left="0"/>
        <w:jc w:val="left"/>
        <w:rPr>
          <w:rFonts w:hint="eastAsia" w:ascii="宋体" w:hAnsi="宋体" w:eastAsia="宋体"/>
        </w:rPr>
      </w:pP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701"/>
        <w:gridCol w:w="3827"/>
        <w:gridCol w:w="2069"/>
        <w:tblGridChange w:id="2">
          <w:tblGrid>
            <w:gridCol w:w="709"/>
            <w:gridCol w:w="1701"/>
            <w:gridCol w:w="3827"/>
            <w:gridCol w:w="2069"/>
          </w:tblGrid>
        </w:tblGridChange>
      </w:tblGrid>
      <w:tr w14:paraId="3300D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top w:val="nil"/>
              <w:left w:val="nil"/>
              <w:bottom w:val="single" w:color="auto" w:sz="4" w:space="0"/>
              <w:right w:val="nil"/>
            </w:tcBorders>
          </w:tcPr>
          <w:p w14:paraId="0962EBE8">
            <w:pPr>
              <w:jc w:val="center"/>
              <w:rPr>
                <w:rFonts w:hint="eastAsia" w:ascii="Times New Roman" w:hAnsi="Times New Roman" w:eastAsia="宋体" w:cs="Times New Roman"/>
                <w:b w:val="0"/>
                <w:bCs w:val="0"/>
                <w:szCs w:val="21"/>
              </w:rPr>
            </w:pPr>
            <w:r>
              <w:rPr>
                <w:rFonts w:hint="eastAsia" w:ascii="Times New Roman" w:hAnsi="Times New Roman" w:eastAsia="宋体" w:cs="Times New Roman"/>
                <w:b w:val="0"/>
                <w:bCs w:val="0"/>
                <w:szCs w:val="21"/>
              </w:rPr>
              <w:t>表6微型营养评定简表</w:t>
            </w:r>
          </w:p>
        </w:tc>
      </w:tr>
      <w:tr w14:paraId="130E5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434F95BC">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序号</w:t>
            </w:r>
          </w:p>
        </w:tc>
        <w:tc>
          <w:tcPr>
            <w:tcW w:w="1701" w:type="dxa"/>
            <w:tcBorders>
              <w:left w:val="single" w:color="auto" w:sz="4" w:space="0"/>
              <w:right w:val="single" w:color="auto" w:sz="4" w:space="0"/>
            </w:tcBorders>
          </w:tcPr>
          <w:p w14:paraId="5F301AB2">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筛查项目</w:t>
            </w:r>
          </w:p>
        </w:tc>
        <w:tc>
          <w:tcPr>
            <w:tcW w:w="3827" w:type="dxa"/>
            <w:tcBorders>
              <w:left w:val="single" w:color="auto" w:sz="4" w:space="0"/>
              <w:right w:val="single" w:color="auto" w:sz="4" w:space="0"/>
            </w:tcBorders>
          </w:tcPr>
          <w:p w14:paraId="537D10DB">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评估标准</w:t>
            </w:r>
          </w:p>
        </w:tc>
        <w:tc>
          <w:tcPr>
            <w:tcW w:w="2069" w:type="dxa"/>
            <w:tcBorders>
              <w:left w:val="single" w:color="auto" w:sz="4" w:space="0"/>
              <w:right w:val="nil"/>
            </w:tcBorders>
          </w:tcPr>
          <w:p w14:paraId="7FFC7480">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得分</w:t>
            </w:r>
          </w:p>
        </w:tc>
      </w:tr>
      <w:tr w14:paraId="05889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27F7B02C">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c>
          <w:tcPr>
            <w:tcW w:w="1701" w:type="dxa"/>
            <w:vMerge w:val="restart"/>
            <w:tcBorders>
              <w:left w:val="single" w:color="auto" w:sz="4" w:space="0"/>
              <w:right w:val="single" w:color="auto" w:sz="4" w:space="0"/>
            </w:tcBorders>
          </w:tcPr>
          <w:p w14:paraId="642E41AD">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过去3个月食物摄入量有减少吗？</w:t>
            </w:r>
          </w:p>
        </w:tc>
        <w:tc>
          <w:tcPr>
            <w:tcW w:w="3827" w:type="dxa"/>
            <w:tcBorders>
              <w:left w:val="single" w:color="auto" w:sz="4" w:space="0"/>
              <w:right w:val="single" w:color="auto" w:sz="4" w:space="0"/>
            </w:tcBorders>
          </w:tcPr>
          <w:p w14:paraId="5D9A84CE">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食物摄入量严重减少</w:t>
            </w:r>
          </w:p>
        </w:tc>
        <w:tc>
          <w:tcPr>
            <w:tcW w:w="2069" w:type="dxa"/>
            <w:tcBorders>
              <w:left w:val="single" w:color="auto" w:sz="4" w:space="0"/>
              <w:right w:val="nil"/>
            </w:tcBorders>
          </w:tcPr>
          <w:p w14:paraId="0BE5AF73">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4D6E3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63E527A9">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692F5A7B">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58AF0396">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食物摄入量中等程度减少</w:t>
            </w:r>
          </w:p>
        </w:tc>
        <w:tc>
          <w:tcPr>
            <w:tcW w:w="2069" w:type="dxa"/>
            <w:tcBorders>
              <w:left w:val="single" w:color="auto" w:sz="4" w:space="0"/>
              <w:right w:val="nil"/>
            </w:tcBorders>
          </w:tcPr>
          <w:p w14:paraId="4D2988B4">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5302D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18D4B8C1">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33C08BBF">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7CBDEABC">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食物摄入量无变化</w:t>
            </w:r>
          </w:p>
        </w:tc>
        <w:tc>
          <w:tcPr>
            <w:tcW w:w="2069" w:type="dxa"/>
            <w:tcBorders>
              <w:left w:val="single" w:color="auto" w:sz="4" w:space="0"/>
              <w:right w:val="nil"/>
            </w:tcBorders>
          </w:tcPr>
          <w:p w14:paraId="1CE33206">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65E65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2DFBBFFA">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c>
          <w:tcPr>
            <w:tcW w:w="1701" w:type="dxa"/>
            <w:vMerge w:val="restart"/>
            <w:tcBorders>
              <w:left w:val="single" w:color="auto" w:sz="4" w:space="0"/>
              <w:right w:val="single" w:color="auto" w:sz="4" w:space="0"/>
            </w:tcBorders>
          </w:tcPr>
          <w:p w14:paraId="2E00B16A">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最近3个月的体重有减轻吗？</w:t>
            </w:r>
          </w:p>
        </w:tc>
        <w:tc>
          <w:tcPr>
            <w:tcW w:w="3827" w:type="dxa"/>
            <w:tcBorders>
              <w:left w:val="single" w:color="auto" w:sz="4" w:space="0"/>
              <w:right w:val="single" w:color="auto" w:sz="4" w:space="0"/>
            </w:tcBorders>
          </w:tcPr>
          <w:p w14:paraId="6BA2EFF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体重减轻＞3kg</w:t>
            </w:r>
          </w:p>
        </w:tc>
        <w:tc>
          <w:tcPr>
            <w:tcW w:w="2069" w:type="dxa"/>
            <w:tcBorders>
              <w:left w:val="single" w:color="auto" w:sz="4" w:space="0"/>
              <w:right w:val="nil"/>
            </w:tcBorders>
          </w:tcPr>
          <w:p w14:paraId="64DBF8D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4E56A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51F99D78">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701AF728">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5588AF5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不知道</w:t>
            </w:r>
          </w:p>
        </w:tc>
        <w:tc>
          <w:tcPr>
            <w:tcW w:w="2069" w:type="dxa"/>
            <w:tcBorders>
              <w:left w:val="single" w:color="auto" w:sz="4" w:space="0"/>
              <w:right w:val="nil"/>
            </w:tcBorders>
          </w:tcPr>
          <w:p w14:paraId="77BAA4F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31C40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6E78303C">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13DF64A3">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7C2477FC">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体重减轻1-3kg</w:t>
            </w:r>
          </w:p>
        </w:tc>
        <w:tc>
          <w:tcPr>
            <w:tcW w:w="2069" w:type="dxa"/>
            <w:tcBorders>
              <w:left w:val="single" w:color="auto" w:sz="4" w:space="0"/>
              <w:right w:val="nil"/>
            </w:tcBorders>
          </w:tcPr>
          <w:p w14:paraId="1E1BF64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71EE9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491453B8">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2BDCA238">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4A48192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无体重减轻</w:t>
            </w:r>
          </w:p>
        </w:tc>
        <w:tc>
          <w:tcPr>
            <w:tcW w:w="2069" w:type="dxa"/>
            <w:tcBorders>
              <w:left w:val="single" w:color="auto" w:sz="4" w:space="0"/>
              <w:right w:val="nil"/>
            </w:tcBorders>
          </w:tcPr>
          <w:p w14:paraId="4AF9F31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r>
      <w:tr w14:paraId="22E8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6A177F27">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c>
          <w:tcPr>
            <w:tcW w:w="1701" w:type="dxa"/>
            <w:vMerge w:val="restart"/>
            <w:tcBorders>
              <w:left w:val="single" w:color="auto" w:sz="4" w:space="0"/>
              <w:right w:val="single" w:color="auto" w:sz="4" w:space="0"/>
            </w:tcBorders>
          </w:tcPr>
          <w:p w14:paraId="2275E5F1">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移动</w:t>
            </w:r>
          </w:p>
        </w:tc>
        <w:tc>
          <w:tcPr>
            <w:tcW w:w="3827" w:type="dxa"/>
            <w:tcBorders>
              <w:left w:val="single" w:color="auto" w:sz="4" w:space="0"/>
              <w:right w:val="single" w:color="auto" w:sz="4" w:space="0"/>
            </w:tcBorders>
          </w:tcPr>
          <w:p w14:paraId="2003222C">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只能在床或椅子上活动</w:t>
            </w:r>
          </w:p>
        </w:tc>
        <w:tc>
          <w:tcPr>
            <w:tcW w:w="2069" w:type="dxa"/>
            <w:tcBorders>
              <w:left w:val="single" w:color="auto" w:sz="4" w:space="0"/>
              <w:right w:val="nil"/>
            </w:tcBorders>
          </w:tcPr>
          <w:p w14:paraId="3342C0BC">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53945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567924B9">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0082B0B7">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30C2185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能离开床或椅子，但不能外出</w:t>
            </w:r>
          </w:p>
        </w:tc>
        <w:tc>
          <w:tcPr>
            <w:tcW w:w="2069" w:type="dxa"/>
            <w:tcBorders>
              <w:left w:val="single" w:color="auto" w:sz="4" w:space="0"/>
              <w:right w:val="nil"/>
            </w:tcBorders>
          </w:tcPr>
          <w:p w14:paraId="212CED3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72D19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7C7A463E">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79E5A039">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79409387">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可以外出</w:t>
            </w:r>
          </w:p>
        </w:tc>
        <w:tc>
          <w:tcPr>
            <w:tcW w:w="2069" w:type="dxa"/>
            <w:tcBorders>
              <w:left w:val="single" w:color="auto" w:sz="4" w:space="0"/>
              <w:right w:val="nil"/>
            </w:tcBorders>
          </w:tcPr>
          <w:p w14:paraId="3D68A6BE">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43BB6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6D4924A6">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4</w:t>
            </w:r>
          </w:p>
        </w:tc>
        <w:tc>
          <w:tcPr>
            <w:tcW w:w="1701" w:type="dxa"/>
            <w:vMerge w:val="restart"/>
            <w:tcBorders>
              <w:left w:val="single" w:color="auto" w:sz="4" w:space="0"/>
              <w:right w:val="single" w:color="auto" w:sz="4" w:space="0"/>
            </w:tcBorders>
          </w:tcPr>
          <w:p w14:paraId="2A0FD50A">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过去3个月遭受心理压力或急性疾病</w:t>
            </w:r>
          </w:p>
        </w:tc>
        <w:tc>
          <w:tcPr>
            <w:tcW w:w="3827" w:type="dxa"/>
            <w:tcBorders>
              <w:left w:val="single" w:color="auto" w:sz="4" w:space="0"/>
              <w:right w:val="single" w:color="auto" w:sz="4" w:space="0"/>
            </w:tcBorders>
          </w:tcPr>
          <w:p w14:paraId="3C6CA74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是</w:t>
            </w:r>
          </w:p>
        </w:tc>
        <w:tc>
          <w:tcPr>
            <w:tcW w:w="2069" w:type="dxa"/>
            <w:tcBorders>
              <w:left w:val="single" w:color="auto" w:sz="4" w:space="0"/>
              <w:right w:val="nil"/>
            </w:tcBorders>
          </w:tcPr>
          <w:p w14:paraId="2F5AA6BD">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6A3FA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0766340F">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76E7DC04">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37F08AF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否</w:t>
            </w:r>
          </w:p>
        </w:tc>
        <w:tc>
          <w:tcPr>
            <w:tcW w:w="2069" w:type="dxa"/>
            <w:tcBorders>
              <w:left w:val="single" w:color="auto" w:sz="4" w:space="0"/>
              <w:right w:val="nil"/>
            </w:tcBorders>
          </w:tcPr>
          <w:p w14:paraId="221066AC">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2D6C7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267A2A10">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5</w:t>
            </w:r>
          </w:p>
        </w:tc>
        <w:tc>
          <w:tcPr>
            <w:tcW w:w="1701" w:type="dxa"/>
            <w:vMerge w:val="restart"/>
            <w:tcBorders>
              <w:left w:val="single" w:color="auto" w:sz="4" w:space="0"/>
              <w:right w:val="single" w:color="auto" w:sz="4" w:space="0"/>
            </w:tcBorders>
          </w:tcPr>
          <w:p w14:paraId="37AC6076">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神经心理问题</w:t>
            </w:r>
          </w:p>
        </w:tc>
        <w:tc>
          <w:tcPr>
            <w:tcW w:w="3827" w:type="dxa"/>
            <w:tcBorders>
              <w:left w:val="single" w:color="auto" w:sz="4" w:space="0"/>
              <w:right w:val="single" w:color="auto" w:sz="4" w:space="0"/>
            </w:tcBorders>
          </w:tcPr>
          <w:p w14:paraId="6AFD4EA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严重的精神紊乱或抑郁</w:t>
            </w:r>
          </w:p>
        </w:tc>
        <w:tc>
          <w:tcPr>
            <w:tcW w:w="2069" w:type="dxa"/>
            <w:tcBorders>
              <w:left w:val="single" w:color="auto" w:sz="4" w:space="0"/>
              <w:right w:val="nil"/>
            </w:tcBorders>
          </w:tcPr>
          <w:p w14:paraId="12BE666F">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33071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34656851">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315FACD7">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3E767D8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中等程度的精神紊乱</w:t>
            </w:r>
          </w:p>
        </w:tc>
        <w:tc>
          <w:tcPr>
            <w:tcW w:w="2069" w:type="dxa"/>
            <w:tcBorders>
              <w:left w:val="single" w:color="auto" w:sz="4" w:space="0"/>
              <w:right w:val="nil"/>
            </w:tcBorders>
          </w:tcPr>
          <w:p w14:paraId="62BACAE8">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140E9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319074EC">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0DE25176">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3E5BD98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无神经心理问题</w:t>
            </w:r>
          </w:p>
        </w:tc>
        <w:tc>
          <w:tcPr>
            <w:tcW w:w="2069" w:type="dxa"/>
            <w:tcBorders>
              <w:left w:val="single" w:color="auto" w:sz="4" w:space="0"/>
              <w:right w:val="nil"/>
            </w:tcBorders>
          </w:tcPr>
          <w:p w14:paraId="64B5230D">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70C8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restart"/>
            <w:tcBorders>
              <w:left w:val="nil"/>
              <w:right w:val="single" w:color="auto" w:sz="4" w:space="0"/>
            </w:tcBorders>
          </w:tcPr>
          <w:p w14:paraId="0E07A3E6">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6</w:t>
            </w:r>
          </w:p>
        </w:tc>
        <w:tc>
          <w:tcPr>
            <w:tcW w:w="1701" w:type="dxa"/>
            <w:vMerge w:val="restart"/>
            <w:tcBorders>
              <w:left w:val="single" w:color="auto" w:sz="4" w:space="0"/>
              <w:right w:val="single" w:color="auto" w:sz="4" w:space="0"/>
            </w:tcBorders>
          </w:tcPr>
          <w:p w14:paraId="562767B9">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体重指数</w:t>
            </w:r>
          </w:p>
        </w:tc>
        <w:tc>
          <w:tcPr>
            <w:tcW w:w="3827" w:type="dxa"/>
            <w:tcBorders>
              <w:left w:val="single" w:color="auto" w:sz="4" w:space="0"/>
              <w:right w:val="single" w:color="auto" w:sz="4" w:space="0"/>
            </w:tcBorders>
          </w:tcPr>
          <w:p w14:paraId="40C314C0">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＜19</w:t>
            </w:r>
          </w:p>
        </w:tc>
        <w:tc>
          <w:tcPr>
            <w:tcW w:w="2069" w:type="dxa"/>
            <w:tcBorders>
              <w:left w:val="single" w:color="auto" w:sz="4" w:space="0"/>
              <w:right w:val="nil"/>
            </w:tcBorders>
          </w:tcPr>
          <w:p w14:paraId="16FFDCD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232EB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4BAC7F46">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339B7360">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6DA606A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19≤BMI＜21</w:t>
            </w:r>
          </w:p>
        </w:tc>
        <w:tc>
          <w:tcPr>
            <w:tcW w:w="2069" w:type="dxa"/>
            <w:tcBorders>
              <w:left w:val="single" w:color="auto" w:sz="4" w:space="0"/>
              <w:right w:val="nil"/>
            </w:tcBorders>
          </w:tcPr>
          <w:p w14:paraId="1559701D">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1</w:t>
            </w:r>
          </w:p>
        </w:tc>
      </w:tr>
      <w:tr w14:paraId="75FD8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51CA5DF4">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5B833161">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530A4AFA">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21≤BMI＜23</w:t>
            </w:r>
          </w:p>
        </w:tc>
        <w:tc>
          <w:tcPr>
            <w:tcW w:w="2069" w:type="dxa"/>
            <w:tcBorders>
              <w:left w:val="single" w:color="auto" w:sz="4" w:space="0"/>
              <w:right w:val="nil"/>
            </w:tcBorders>
          </w:tcPr>
          <w:p w14:paraId="4CEB3282">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2</w:t>
            </w:r>
          </w:p>
        </w:tc>
      </w:tr>
      <w:tr w14:paraId="52E41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1B7044C9">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3D0BA092">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021BDACF">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BMI≥23</w:t>
            </w:r>
          </w:p>
        </w:tc>
        <w:tc>
          <w:tcPr>
            <w:tcW w:w="2069" w:type="dxa"/>
            <w:tcBorders>
              <w:left w:val="single" w:color="auto" w:sz="4" w:space="0"/>
              <w:right w:val="nil"/>
            </w:tcBorders>
          </w:tcPr>
          <w:p w14:paraId="01A5DB8B">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r>
      <w:tr w14:paraId="5E75B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13DF10CB">
            <w:pPr>
              <w:rPr>
                <w:rFonts w:hint="eastAsia" w:ascii="Times New Roman" w:hAnsi="Times New Roman" w:eastAsia="宋体" w:cs="Times New Roman"/>
                <w:sz w:val="21"/>
                <w:szCs w:val="21"/>
              </w:rPr>
            </w:pPr>
          </w:p>
        </w:tc>
        <w:tc>
          <w:tcPr>
            <w:tcW w:w="1701" w:type="dxa"/>
            <w:vMerge w:val="restart"/>
            <w:tcBorders>
              <w:left w:val="single" w:color="auto" w:sz="4" w:space="0"/>
              <w:right w:val="single" w:color="auto" w:sz="4" w:space="0"/>
            </w:tcBorders>
          </w:tcPr>
          <w:p w14:paraId="6F93EED8">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如无法获得BMI，可以测量小腿围</w:t>
            </w:r>
          </w:p>
        </w:tc>
        <w:tc>
          <w:tcPr>
            <w:tcW w:w="3827" w:type="dxa"/>
            <w:tcBorders>
              <w:left w:val="single" w:color="auto" w:sz="4" w:space="0"/>
              <w:right w:val="single" w:color="auto" w:sz="4" w:space="0"/>
            </w:tcBorders>
          </w:tcPr>
          <w:p w14:paraId="193ED007">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&lt;31厘米</w:t>
            </w:r>
          </w:p>
        </w:tc>
        <w:tc>
          <w:tcPr>
            <w:tcW w:w="2069" w:type="dxa"/>
            <w:tcBorders>
              <w:left w:val="single" w:color="auto" w:sz="4" w:space="0"/>
              <w:right w:val="nil"/>
            </w:tcBorders>
          </w:tcPr>
          <w:p w14:paraId="19BF6441">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0</w:t>
            </w:r>
          </w:p>
        </w:tc>
      </w:tr>
      <w:tr w14:paraId="7F047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Merge w:val="continue"/>
            <w:tcBorders>
              <w:left w:val="nil"/>
              <w:right w:val="single" w:color="auto" w:sz="4" w:space="0"/>
            </w:tcBorders>
          </w:tcPr>
          <w:p w14:paraId="661CC047">
            <w:pPr>
              <w:rPr>
                <w:rFonts w:hint="eastAsia" w:ascii="Times New Roman" w:hAnsi="Times New Roman" w:eastAsia="宋体" w:cs="Times New Roman"/>
                <w:sz w:val="21"/>
                <w:szCs w:val="21"/>
              </w:rPr>
            </w:pPr>
          </w:p>
        </w:tc>
        <w:tc>
          <w:tcPr>
            <w:tcW w:w="1701" w:type="dxa"/>
            <w:vMerge w:val="continue"/>
            <w:tcBorders>
              <w:left w:val="single" w:color="auto" w:sz="4" w:space="0"/>
              <w:right w:val="single" w:color="auto" w:sz="4" w:space="0"/>
            </w:tcBorders>
          </w:tcPr>
          <w:p w14:paraId="78094A71">
            <w:pPr>
              <w:rPr>
                <w:rFonts w:hint="eastAsia" w:ascii="Times New Roman" w:hAnsi="Times New Roman" w:eastAsia="宋体" w:cs="Times New Roman"/>
                <w:sz w:val="21"/>
                <w:szCs w:val="21"/>
              </w:rPr>
            </w:pPr>
          </w:p>
        </w:tc>
        <w:tc>
          <w:tcPr>
            <w:tcW w:w="3827" w:type="dxa"/>
            <w:tcBorders>
              <w:left w:val="single" w:color="auto" w:sz="4" w:space="0"/>
              <w:right w:val="single" w:color="auto" w:sz="4" w:space="0"/>
            </w:tcBorders>
          </w:tcPr>
          <w:p w14:paraId="1779CB69">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≥31厘米</w:t>
            </w:r>
          </w:p>
        </w:tc>
        <w:tc>
          <w:tcPr>
            <w:tcW w:w="2069" w:type="dxa"/>
            <w:tcBorders>
              <w:left w:val="single" w:color="auto" w:sz="4" w:space="0"/>
              <w:right w:val="nil"/>
            </w:tcBorders>
          </w:tcPr>
          <w:p w14:paraId="367D4673">
            <w:pPr>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3</w:t>
            </w:r>
          </w:p>
        </w:tc>
      </w:tr>
      <w:tr w14:paraId="2CE3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68A213F1">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总分</w:t>
            </w:r>
          </w:p>
        </w:tc>
      </w:tr>
      <w:tr w14:paraId="29DC6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4177BEB8">
            <w:pP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 xml:space="preserve">评价：筛查总分14分。12-14分 正常营养状态；8-11分营养不良风险；0-7分 营养不良。 </w:t>
            </w:r>
          </w:p>
        </w:tc>
      </w:tr>
    </w:tbl>
    <w:p w14:paraId="079BC719">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
          <w:bCs/>
          <w:szCs w:val="21"/>
        </w:rPr>
        <w:t>心理评估</w:t>
      </w:r>
    </w:p>
    <w:p w14:paraId="7E31B65C">
      <w:pPr>
        <w:ind w:firstLine="420" w:firstLineChars="200"/>
        <w:jc w:val="both"/>
        <w:rPr>
          <w:rFonts w:hint="eastAsia" w:ascii="Times New Roman" w:hAnsi="Times New Roman" w:eastAsia="宋体" w:cs="Times New Roman"/>
        </w:rPr>
      </w:pPr>
      <w:r>
        <w:rPr>
          <w:rFonts w:hint="eastAsia" w:ascii="Times New Roman" w:hAnsi="Times New Roman" w:eastAsia="宋体" w:cs="Times New Roman"/>
        </w:rPr>
        <w:t>手术前后患者往往存在不同程度的紧张恐惧、焦虑抑郁等心理应激反应，轻则影响患者身心健康和手术效果，重则影响术后顺利康复，增加术后并发症发生风险。围术期有多种量表可以进行焦虑抑郁评估，其中</w:t>
      </w:r>
      <w:bookmarkStart w:id="18" w:name="_Hlk207433564"/>
      <w:r>
        <w:rPr>
          <w:rFonts w:hint="eastAsia" w:ascii="Times New Roman" w:hAnsi="Times New Roman" w:eastAsia="宋体" w:cs="Times New Roman"/>
        </w:rPr>
        <w:t>状态-特质焦虑问卷（State-Trait Anxiety Inventory, STAI）</w:t>
      </w:r>
      <w:bookmarkEnd w:id="18"/>
      <w:r>
        <w:rPr>
          <w:rFonts w:hint="eastAsia" w:ascii="Times New Roman" w:hAnsi="Times New Roman" w:eastAsia="宋体" w:cs="Times New Roman"/>
        </w:rPr>
        <w:t>评估结果比较准确，被誉为术前焦虑评估的“金标准”，该量表包括状态焦虑评估项目和特质焦虑评估项目，每部分均由20个问题，列出的问题是描述自己当时感受，不要刻意考虑，选择的答案应是当时最恰当的感觉。评定办法：每一项进行1-4级评分，由受试者根据自己的体验选择最合适的分值，状态焦虑量表和特质焦虑量表累计加分，分值越高，说明焦虑程度越严重。</w:t>
      </w:r>
    </w:p>
    <w:tbl>
      <w:tblPr>
        <w:tblStyle w:val="13"/>
        <w:tblW w:w="0" w:type="auto"/>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659"/>
        <w:gridCol w:w="1659"/>
        <w:gridCol w:w="1659"/>
        <w:gridCol w:w="1659"/>
        <w:gridCol w:w="1660"/>
        <w:tblGridChange w:id="3">
          <w:tblGrid>
            <w:gridCol w:w="1659"/>
            <w:gridCol w:w="1659"/>
            <w:gridCol w:w="1659"/>
            <w:gridCol w:w="1659"/>
            <w:gridCol w:w="1660"/>
          </w:tblGrid>
        </w:tblGridChange>
      </w:tblGrid>
      <w:tr w14:paraId="021E3FC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8296" w:type="dxa"/>
            <w:gridSpan w:val="5"/>
            <w:tcBorders>
              <w:top w:val="nil"/>
            </w:tcBorders>
          </w:tcPr>
          <w:p w14:paraId="542DF509">
            <w:pPr>
              <w:jc w:val="center"/>
              <w:rPr>
                <w:rFonts w:hint="default" w:ascii="Times New Roman" w:hAnsi="Times New Roman" w:eastAsia="宋体" w:cs="Times New Roman"/>
                <w:sz w:val="21"/>
                <w:szCs w:val="21"/>
              </w:rPr>
            </w:pPr>
            <w:r>
              <w:rPr>
                <w:rFonts w:hint="default" w:ascii="Times New Roman" w:hAnsi="Times New Roman" w:eastAsia="宋体" w:cs="Times New Roman"/>
                <w:b w:val="0"/>
                <w:bCs w:val="0"/>
                <w:szCs w:val="21"/>
              </w:rPr>
              <w:t>表7 状态-特质焦虑问卷</w:t>
            </w:r>
          </w:p>
        </w:tc>
      </w:tr>
      <w:tr w14:paraId="31188F3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D8253A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状态焦虑评估项目</w:t>
            </w:r>
          </w:p>
        </w:tc>
        <w:tc>
          <w:tcPr>
            <w:tcW w:w="1659" w:type="dxa"/>
          </w:tcPr>
          <w:p w14:paraId="6BD0A9C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无</w:t>
            </w:r>
          </w:p>
        </w:tc>
        <w:tc>
          <w:tcPr>
            <w:tcW w:w="1659" w:type="dxa"/>
          </w:tcPr>
          <w:p w14:paraId="3F0F16C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有些</w:t>
            </w:r>
          </w:p>
        </w:tc>
        <w:tc>
          <w:tcPr>
            <w:tcW w:w="1659" w:type="dxa"/>
          </w:tcPr>
          <w:p w14:paraId="40E9D37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中等程度</w:t>
            </w:r>
          </w:p>
        </w:tc>
        <w:tc>
          <w:tcPr>
            <w:tcW w:w="1660" w:type="dxa"/>
          </w:tcPr>
          <w:p w14:paraId="656364A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非常明显</w:t>
            </w:r>
          </w:p>
        </w:tc>
      </w:tr>
      <w:tr w14:paraId="113CA7D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63B0E3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1．我感到心情平静</w:t>
            </w:r>
          </w:p>
        </w:tc>
        <w:tc>
          <w:tcPr>
            <w:tcW w:w="1659" w:type="dxa"/>
          </w:tcPr>
          <w:p w14:paraId="729C462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703BB2D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3D489AF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256E3D9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67E3DD9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F00880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2.我感到安全</w:t>
            </w:r>
          </w:p>
        </w:tc>
        <w:tc>
          <w:tcPr>
            <w:tcW w:w="1659" w:type="dxa"/>
          </w:tcPr>
          <w:p w14:paraId="326E431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4B11849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7A1801D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060AD04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12810A4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BB81E5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3.我是紧张的</w:t>
            </w:r>
          </w:p>
        </w:tc>
        <w:tc>
          <w:tcPr>
            <w:tcW w:w="1659" w:type="dxa"/>
          </w:tcPr>
          <w:p w14:paraId="517052C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5D23B8F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3E7AAE9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0387F9A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6262B71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B742FB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4.我感到紧张束缚</w:t>
            </w:r>
          </w:p>
        </w:tc>
        <w:tc>
          <w:tcPr>
            <w:tcW w:w="1659" w:type="dxa"/>
          </w:tcPr>
          <w:p w14:paraId="33585FB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605CEBA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67C8A53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17779A2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46466BA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0015F7A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5.我感到安逸</w:t>
            </w:r>
          </w:p>
        </w:tc>
        <w:tc>
          <w:tcPr>
            <w:tcW w:w="1659" w:type="dxa"/>
          </w:tcPr>
          <w:p w14:paraId="65CA411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1B2F180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78B86B8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5602D8D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2B90F21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69BD50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6.我感到烦乱</w:t>
            </w:r>
          </w:p>
        </w:tc>
        <w:tc>
          <w:tcPr>
            <w:tcW w:w="1659" w:type="dxa"/>
          </w:tcPr>
          <w:p w14:paraId="7349648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61A3A00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D403EA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04B1943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01F1ED5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2A4B8A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7.我正感到烦恼，且烦恼程度超过了可能的不幸</w:t>
            </w:r>
          </w:p>
        </w:tc>
        <w:tc>
          <w:tcPr>
            <w:tcW w:w="1659" w:type="dxa"/>
          </w:tcPr>
          <w:p w14:paraId="344C6CA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72F227D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4EEFAB7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5B91C2F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55F1D88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392B6B3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8.我感到满意</w:t>
            </w:r>
          </w:p>
        </w:tc>
        <w:tc>
          <w:tcPr>
            <w:tcW w:w="1659" w:type="dxa"/>
          </w:tcPr>
          <w:p w14:paraId="51BBF3F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328A5DC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013CBDD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124AAD9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32FCF30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3A0C057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9.我感到害怕</w:t>
            </w:r>
          </w:p>
        </w:tc>
        <w:tc>
          <w:tcPr>
            <w:tcW w:w="1659" w:type="dxa"/>
          </w:tcPr>
          <w:p w14:paraId="7A39E57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1A25EF0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3C4F10A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403E598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20758A5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D04E1E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10.我感到舒适</w:t>
            </w:r>
          </w:p>
        </w:tc>
        <w:tc>
          <w:tcPr>
            <w:tcW w:w="1659" w:type="dxa"/>
          </w:tcPr>
          <w:p w14:paraId="2F5A82B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3E55FB6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039B66F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7BCA719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512440B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8494AF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11.我有自信心</w:t>
            </w:r>
          </w:p>
        </w:tc>
        <w:tc>
          <w:tcPr>
            <w:tcW w:w="1659" w:type="dxa"/>
          </w:tcPr>
          <w:p w14:paraId="0ECE401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197CD7E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657422F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336F553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758BB94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6D3BFB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12.我觉得神经过敏</w:t>
            </w:r>
          </w:p>
        </w:tc>
        <w:tc>
          <w:tcPr>
            <w:tcW w:w="1659" w:type="dxa"/>
          </w:tcPr>
          <w:p w14:paraId="346EA66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13F2658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52CE68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3694624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1D3DDB9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0C4EBC9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13.我极度紧张不安</w:t>
            </w:r>
          </w:p>
        </w:tc>
        <w:tc>
          <w:tcPr>
            <w:tcW w:w="1659" w:type="dxa"/>
          </w:tcPr>
          <w:p w14:paraId="43A4EB4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28E3E70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4A21D8C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0F85DB6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53A2BDD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691E61B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14.我优柔寡断</w:t>
            </w:r>
          </w:p>
        </w:tc>
        <w:tc>
          <w:tcPr>
            <w:tcW w:w="1659" w:type="dxa"/>
          </w:tcPr>
          <w:p w14:paraId="4D984B6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6690992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4509A5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333D599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71A94BD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55A901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15.我是轻松的</w:t>
            </w:r>
          </w:p>
        </w:tc>
        <w:tc>
          <w:tcPr>
            <w:tcW w:w="1659" w:type="dxa"/>
          </w:tcPr>
          <w:p w14:paraId="1E5797A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2161C9D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3F88433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6986C10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75F3C8F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06D0615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16.我感到心满意足</w:t>
            </w:r>
          </w:p>
        </w:tc>
        <w:tc>
          <w:tcPr>
            <w:tcW w:w="1659" w:type="dxa"/>
          </w:tcPr>
          <w:p w14:paraId="0331EFA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2DC3152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3010852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04D18BF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1492A96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472839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17.我是烦恼的</w:t>
            </w:r>
          </w:p>
        </w:tc>
        <w:tc>
          <w:tcPr>
            <w:tcW w:w="1659" w:type="dxa"/>
          </w:tcPr>
          <w:p w14:paraId="582E8D5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0CF24FB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46E960B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02305DF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6A5E322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978820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18.我感到烦乱</w:t>
            </w:r>
          </w:p>
        </w:tc>
        <w:tc>
          <w:tcPr>
            <w:tcW w:w="1659" w:type="dxa"/>
          </w:tcPr>
          <w:p w14:paraId="7F20E8D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2C92211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7D0CD2E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7004272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2449204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3AB78E5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19.我感觉镇定</w:t>
            </w:r>
          </w:p>
        </w:tc>
        <w:tc>
          <w:tcPr>
            <w:tcW w:w="1659" w:type="dxa"/>
          </w:tcPr>
          <w:p w14:paraId="2EDC569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55F3383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6EC0BA3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72B4FC8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053EA7C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46773F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20.我感到愉快</w:t>
            </w:r>
          </w:p>
        </w:tc>
        <w:tc>
          <w:tcPr>
            <w:tcW w:w="1659" w:type="dxa"/>
          </w:tcPr>
          <w:p w14:paraId="2FD9C65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5099F29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3CFD14B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5410028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67FE4FC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8296" w:type="dxa"/>
            <w:gridSpan w:val="5"/>
          </w:tcPr>
          <w:p w14:paraId="4FB82F6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特质焦虑评估项目</w:t>
            </w:r>
          </w:p>
        </w:tc>
      </w:tr>
      <w:tr w14:paraId="2D95414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247D10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21.我感到愉快</w:t>
            </w:r>
          </w:p>
        </w:tc>
        <w:tc>
          <w:tcPr>
            <w:tcW w:w="1659" w:type="dxa"/>
          </w:tcPr>
          <w:p w14:paraId="382AA87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578D126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5A06DB7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541E685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5F1BCB8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1F5DD5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22.我感到神经过敏和不安</w:t>
            </w:r>
          </w:p>
        </w:tc>
        <w:tc>
          <w:tcPr>
            <w:tcW w:w="1659" w:type="dxa"/>
          </w:tcPr>
          <w:p w14:paraId="6039344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0D98B58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36780AE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36470F1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7D4CA72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485B43B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23.我感到自我满足</w:t>
            </w:r>
          </w:p>
        </w:tc>
        <w:tc>
          <w:tcPr>
            <w:tcW w:w="1659" w:type="dxa"/>
          </w:tcPr>
          <w:p w14:paraId="7041CF9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27C5EDA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6F3C28F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71FC762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7CC470D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00B4806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24.我希望能像别人一样高兴</w:t>
            </w:r>
          </w:p>
        </w:tc>
        <w:tc>
          <w:tcPr>
            <w:tcW w:w="1659" w:type="dxa"/>
          </w:tcPr>
          <w:p w14:paraId="27AF643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0EA42F3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4BB3BD1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4969D95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4922BED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729E0D1">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25.我感到被掏空</w:t>
            </w:r>
          </w:p>
        </w:tc>
        <w:tc>
          <w:tcPr>
            <w:tcW w:w="1659" w:type="dxa"/>
          </w:tcPr>
          <w:p w14:paraId="3CA27D6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40B0C8B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91092C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6BDAEF7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003D2BF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5011B7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26.我感到很平静</w:t>
            </w:r>
          </w:p>
        </w:tc>
        <w:tc>
          <w:tcPr>
            <w:tcW w:w="1659" w:type="dxa"/>
          </w:tcPr>
          <w:p w14:paraId="2688B09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64EBD92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46F601B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66AC6F7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6A5C994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45CC15E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27.我是平静的、冷静的和泰然自若的</w:t>
            </w:r>
          </w:p>
        </w:tc>
        <w:tc>
          <w:tcPr>
            <w:tcW w:w="1659" w:type="dxa"/>
          </w:tcPr>
          <w:p w14:paraId="4171AFE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417585A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54966BD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29B39B6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24FF435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D7105B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28.我感到困难一一堆集，无法克服</w:t>
            </w:r>
          </w:p>
        </w:tc>
        <w:tc>
          <w:tcPr>
            <w:tcW w:w="1659" w:type="dxa"/>
          </w:tcPr>
          <w:p w14:paraId="73F638C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47ECA306">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C3705B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45E2B32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6178010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6FC85E7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29.过分担忧一些实则无关紧要的事 </w:t>
            </w:r>
          </w:p>
        </w:tc>
        <w:tc>
          <w:tcPr>
            <w:tcW w:w="1659" w:type="dxa"/>
          </w:tcPr>
          <w:p w14:paraId="74DBE11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32578A5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636435F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1676AA8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4DD83F4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3CC9ED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30.我是高兴的</w:t>
            </w:r>
          </w:p>
        </w:tc>
        <w:tc>
          <w:tcPr>
            <w:tcW w:w="1659" w:type="dxa"/>
          </w:tcPr>
          <w:p w14:paraId="6BF79A5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14E9DB5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6A8FA43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239CB4F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07BAEAB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C0059C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31.我的思想处于混乱状态</w:t>
            </w:r>
          </w:p>
        </w:tc>
        <w:tc>
          <w:tcPr>
            <w:tcW w:w="1659" w:type="dxa"/>
          </w:tcPr>
          <w:p w14:paraId="3482644B">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094E621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1F160C2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2BDE3C4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4C1FA19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28CAA16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32.我处于混乱状态</w:t>
            </w:r>
          </w:p>
        </w:tc>
        <w:tc>
          <w:tcPr>
            <w:tcW w:w="1659" w:type="dxa"/>
          </w:tcPr>
          <w:p w14:paraId="009DE39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44314AD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3211B17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6BD100F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1D082CC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7486A97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33.我感到安全</w:t>
            </w:r>
          </w:p>
        </w:tc>
        <w:tc>
          <w:tcPr>
            <w:tcW w:w="1659" w:type="dxa"/>
          </w:tcPr>
          <w:p w14:paraId="6D20405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09519BEF">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1AD7CE3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640E8B7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3A27959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DAA365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34.我容易做出决断</w:t>
            </w:r>
          </w:p>
        </w:tc>
        <w:tc>
          <w:tcPr>
            <w:tcW w:w="1659" w:type="dxa"/>
          </w:tcPr>
          <w:p w14:paraId="65F2967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268359A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1813304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332F56F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7610455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BA2E8F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35.我感到不合适</w:t>
            </w:r>
          </w:p>
        </w:tc>
        <w:tc>
          <w:tcPr>
            <w:tcW w:w="1659" w:type="dxa"/>
          </w:tcPr>
          <w:p w14:paraId="53CF6800">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56D5AAE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E0A572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4DBD6674">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70737BF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6940BBD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36.我是满足的</w:t>
            </w:r>
          </w:p>
        </w:tc>
        <w:tc>
          <w:tcPr>
            <w:tcW w:w="1659" w:type="dxa"/>
          </w:tcPr>
          <w:p w14:paraId="73744CB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4FB058E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3B5088E3">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1BA051E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2B4896C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967732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37.一些不重要的想法总干扰我</w:t>
            </w:r>
          </w:p>
        </w:tc>
        <w:tc>
          <w:tcPr>
            <w:tcW w:w="1659" w:type="dxa"/>
          </w:tcPr>
          <w:p w14:paraId="30BA1A8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6E997C9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114CD5B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4BAF9DE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1D4418D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1ACC580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38.我产生的沮丧特别强烈，以至于不能从思想中排除</w:t>
            </w:r>
          </w:p>
        </w:tc>
        <w:tc>
          <w:tcPr>
            <w:tcW w:w="1659" w:type="dxa"/>
          </w:tcPr>
          <w:p w14:paraId="2C5A16A8">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1723E627">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574125B5">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79506BC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r w14:paraId="0435287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5879149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39.我是一个镇静的人</w:t>
            </w:r>
          </w:p>
        </w:tc>
        <w:tc>
          <w:tcPr>
            <w:tcW w:w="1659" w:type="dxa"/>
          </w:tcPr>
          <w:p w14:paraId="3818D38E">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c>
          <w:tcPr>
            <w:tcW w:w="1659" w:type="dxa"/>
          </w:tcPr>
          <w:p w14:paraId="2B78C67A">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59" w:type="dxa"/>
          </w:tcPr>
          <w:p w14:paraId="536312A2">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60" w:type="dxa"/>
          </w:tcPr>
          <w:p w14:paraId="1ACEA24D">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r>
      <w:tr w14:paraId="2E35258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659" w:type="dxa"/>
          </w:tcPr>
          <w:p w14:paraId="065DEB1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40.当考虑目前的事情和利益时，就陷入紧张状态</w:t>
            </w:r>
          </w:p>
        </w:tc>
        <w:tc>
          <w:tcPr>
            <w:tcW w:w="1659" w:type="dxa"/>
          </w:tcPr>
          <w:p w14:paraId="5C10C25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1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①</w:t>
            </w:r>
            <w:r>
              <w:rPr>
                <w:rFonts w:ascii="Times New Roman" w:hAnsi="Times New Roman" w:eastAsia="宋体" w:cs="Times New Roman"/>
                <w:sz w:val="21"/>
                <w:szCs w:val="21"/>
              </w:rPr>
              <w:fldChar w:fldCharType="end"/>
            </w:r>
          </w:p>
        </w:tc>
        <w:tc>
          <w:tcPr>
            <w:tcW w:w="1659" w:type="dxa"/>
          </w:tcPr>
          <w:p w14:paraId="09FCA6E1">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2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②</w:t>
            </w:r>
            <w:r>
              <w:rPr>
                <w:rFonts w:ascii="Times New Roman" w:hAnsi="Times New Roman" w:eastAsia="宋体" w:cs="Times New Roman"/>
                <w:sz w:val="21"/>
                <w:szCs w:val="21"/>
              </w:rPr>
              <w:fldChar w:fldCharType="end"/>
            </w:r>
          </w:p>
        </w:tc>
        <w:tc>
          <w:tcPr>
            <w:tcW w:w="1659" w:type="dxa"/>
          </w:tcPr>
          <w:p w14:paraId="3C9AB159">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3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③</w:t>
            </w:r>
            <w:r>
              <w:rPr>
                <w:rFonts w:ascii="Times New Roman" w:hAnsi="Times New Roman" w:eastAsia="宋体" w:cs="Times New Roman"/>
                <w:sz w:val="21"/>
                <w:szCs w:val="21"/>
              </w:rPr>
              <w:fldChar w:fldCharType="end"/>
            </w:r>
          </w:p>
        </w:tc>
        <w:tc>
          <w:tcPr>
            <w:tcW w:w="1660" w:type="dxa"/>
          </w:tcPr>
          <w:p w14:paraId="1592723C">
            <w:pPr>
              <w:jc w:val="left"/>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 </w:instrText>
            </w:r>
            <w:r>
              <w:rPr>
                <w:rFonts w:hint="default" w:ascii="Times New Roman" w:hAnsi="Times New Roman" w:eastAsia="宋体" w:cs="Times New Roman"/>
                <w:sz w:val="21"/>
                <w:szCs w:val="21"/>
              </w:rPr>
              <w:instrText xml:space="preserve">= 4 \* GB3</w:instrText>
            </w:r>
            <w:r>
              <w:rPr>
                <w:rFonts w:ascii="Times New Roman" w:hAnsi="Times New Roman" w:eastAsia="宋体" w:cs="Times New Roman"/>
                <w:sz w:val="21"/>
                <w:szCs w:val="21"/>
              </w:rPr>
              <w:instrText xml:space="preserve"> </w:instrText>
            </w:r>
            <w:r>
              <w:rPr>
                <w:rFonts w:ascii="Times New Roman" w:hAnsi="Times New Roman" w:eastAsia="宋体" w:cs="Times New Roman"/>
                <w:sz w:val="21"/>
                <w:szCs w:val="21"/>
              </w:rPr>
              <w:fldChar w:fldCharType="separate"/>
            </w:r>
            <w:r>
              <w:rPr>
                <w:rFonts w:hint="default" w:ascii="Cambria Math" w:hAnsi="Cambria Math" w:eastAsia="宋体" w:cs="Cambria Math"/>
                <w:sz w:val="21"/>
                <w:szCs w:val="21"/>
              </w:rPr>
              <w:t>④</w:t>
            </w:r>
            <w:r>
              <w:rPr>
                <w:rFonts w:ascii="Times New Roman" w:hAnsi="Times New Roman" w:eastAsia="宋体" w:cs="Times New Roman"/>
                <w:sz w:val="21"/>
                <w:szCs w:val="21"/>
              </w:rPr>
              <w:fldChar w:fldCharType="end"/>
            </w:r>
          </w:p>
        </w:tc>
      </w:tr>
    </w:tbl>
    <w:p w14:paraId="0D924FDC">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
          <w:bCs/>
          <w:szCs w:val="21"/>
        </w:rPr>
        <w:t>多重用药及潜在不恰当用药评估</w:t>
      </w:r>
    </w:p>
    <w:p w14:paraId="410E5FBF">
      <w:pPr>
        <w:pStyle w:val="48"/>
        <w:ind w:left="0" w:firstLine="420" w:firstLineChars="200"/>
        <w:jc w:val="both"/>
        <w:rPr>
          <w:rFonts w:hint="default" w:ascii="Times New Roman" w:hAnsi="Times New Roman" w:eastAsia="宋体" w:cs="Times New Roman"/>
        </w:rPr>
      </w:pPr>
      <w:r>
        <w:rPr>
          <w:rFonts w:hint="default" w:ascii="Times New Roman" w:hAnsi="Times New Roman" w:eastAsia="宋体" w:cs="Times New Roman"/>
        </w:rPr>
        <w:t>是指患者接受药物治疗时同时服用了</w:t>
      </w:r>
      <w:r>
        <w:rPr>
          <w:rFonts w:ascii="Times New Roman" w:hAnsi="Times New Roman" w:eastAsia="宋体" w:cs="Times New Roman"/>
        </w:rPr>
        <w:t>5种及以上药物。大部分老年人同时患有两种以上疾病，术前多重用药情况不可避免，给围术期管理带来诸多挑战。</w:t>
      </w:r>
      <w:r>
        <w:rPr>
          <w:rFonts w:hint="default" w:ascii="Times New Roman" w:hAnsi="Times New Roman" w:eastAsia="宋体" w:cs="Times New Roman"/>
        </w:rPr>
        <w:t>目前临床上多采用</w:t>
      </w:r>
      <w:r>
        <w:rPr>
          <w:rFonts w:ascii="Times New Roman" w:hAnsi="Times New Roman" w:eastAsia="宋体" w:cs="Times New Roman"/>
        </w:rPr>
        <w:t>Beers和STOPP/START等基于客观标准的方法，术前应根据患者功能状态、共病情况及用药情况进行处方精简，以减少围手术期药物之间的相互作用。</w:t>
      </w:r>
      <w:r>
        <w:rPr>
          <w:rFonts w:hint="default" w:ascii="Times New Roman" w:hAnsi="Times New Roman" w:eastAsia="宋体" w:cs="Times New Roman"/>
        </w:rPr>
        <w:t>建议临床工作中遵循以下原则</w:t>
      </w:r>
      <w:r>
        <w:rPr>
          <w:rFonts w:hint="eastAsia" w:ascii="Times New Roman" w:hAnsi="Times New Roman" w:eastAsia="宋体" w:cs="Times New Roman"/>
        </w:rPr>
        <w:t>：</w:t>
      </w:r>
      <w:r>
        <w:rPr>
          <w:rFonts w:hint="default" w:ascii="Times New Roman" w:hAnsi="Times New Roman" w:eastAsia="宋体" w:cs="Times New Roman"/>
        </w:rPr>
        <w:t>首先，整理患者正在使用的药物</w:t>
      </w:r>
      <w:r>
        <w:rPr>
          <w:rFonts w:ascii="Times New Roman" w:hAnsi="Times New Roman" w:eastAsia="宋体" w:cs="Times New Roman"/>
        </w:rPr>
        <w:t>/手术前在家服用的药物，并制作成一份围手术期中的</w:t>
      </w:r>
      <w:r>
        <w:rPr>
          <w:rFonts w:hint="default" w:ascii="Times New Roman" w:hAnsi="Times New Roman" w:eastAsia="宋体" w:cs="Times New Roman"/>
        </w:rPr>
        <w:t>使用</w:t>
      </w:r>
      <w:r>
        <w:rPr>
          <w:rFonts w:ascii="Times New Roman" w:hAnsi="Times New Roman" w:eastAsia="宋体" w:cs="Times New Roman"/>
        </w:rPr>
        <w:t>药物清单</w:t>
      </w:r>
      <w:r>
        <w:rPr>
          <w:rFonts w:hint="default" w:ascii="Times New Roman" w:hAnsi="Times New Roman" w:eastAsia="宋体" w:cs="Times New Roman"/>
        </w:rPr>
        <w:t>，并结合患者临床病情对药物使用种类、剂量进行核实，必要时根据病情调整和优化用药，要重点关注术前哪些药物需要停用，如果停用，应该术前几天停用，是否需要围术期桥接治疗，术后何时恢复。建议采用基于年龄校正的评分量表，比如查尔森合并症指数进行共病评估，并针对用药情况进行围术期适当的用药调整。</w:t>
      </w:r>
      <w:r>
        <w:rPr>
          <w:rFonts w:ascii="Times New Roman" w:hAnsi="Times New Roman" w:eastAsia="宋体" w:cs="Times New Roman"/>
        </w:rPr>
        <w:t>用药时应优先选择获益最大、损害最小并可以改善生活质量的用药方案；优先考虑非药物治疗方式，如物理康复治疗等，强化安全用药意识。但是多重用药是一个非常复杂的问题</w:t>
      </w:r>
      <w:r>
        <w:rPr>
          <w:rFonts w:hint="eastAsia" w:ascii="Times New Roman" w:hAnsi="Times New Roman" w:eastAsia="宋体" w:cs="Times New Roman"/>
        </w:rPr>
        <w:t>，</w:t>
      </w:r>
      <w:r>
        <w:rPr>
          <w:rFonts w:ascii="Times New Roman" w:hAnsi="Times New Roman" w:eastAsia="宋体" w:cs="Times New Roman"/>
        </w:rPr>
        <w:t>不仅是指患者服药的数量</w:t>
      </w:r>
      <w:r>
        <w:rPr>
          <w:rFonts w:hint="eastAsia" w:ascii="Times New Roman" w:hAnsi="Times New Roman" w:eastAsia="宋体" w:cs="Times New Roman"/>
        </w:rPr>
        <w:t>，</w:t>
      </w:r>
      <w:r>
        <w:rPr>
          <w:rFonts w:ascii="Times New Roman" w:hAnsi="Times New Roman" w:eastAsia="宋体" w:cs="Times New Roman"/>
        </w:rPr>
        <w:t>还涉及药物之间的相互作用及其可能产生的不良反应等。老年人每天用药多于5种时应进一步了解以下内容</w:t>
      </w:r>
      <w:r>
        <w:rPr>
          <w:rFonts w:hint="eastAsia" w:ascii="Times New Roman" w:hAnsi="Times New Roman" w:eastAsia="宋体" w:cs="Times New Roman"/>
        </w:rPr>
        <w:t>：</w:t>
      </w:r>
    </w:p>
    <w:p w14:paraId="5F7BFE66">
      <w:pPr>
        <w:pStyle w:val="48"/>
        <w:ind w:left="0"/>
        <w:jc w:val="both"/>
        <w:rPr>
          <w:rFonts w:hint="default" w:ascii="Times New Roman" w:hAnsi="Times New Roman" w:eastAsia="宋体" w:cs="Times New Roman"/>
        </w:rPr>
      </w:pPr>
      <w:r>
        <w:rPr>
          <w:rFonts w:hint="default" w:ascii="Cambria Math" w:hAnsi="Cambria Math" w:eastAsia="宋体" w:cs="Cambria Math"/>
        </w:rPr>
        <w:t>①</w:t>
      </w:r>
      <w:r>
        <w:rPr>
          <w:rFonts w:ascii="Times New Roman" w:hAnsi="Times New Roman" w:eastAsia="宋体" w:cs="Times New Roman"/>
        </w:rPr>
        <w:tab/>
      </w:r>
      <w:r>
        <w:rPr>
          <w:rFonts w:hint="default" w:ascii="Times New Roman" w:hAnsi="Times New Roman" w:eastAsia="宋体" w:cs="Times New Roman"/>
        </w:rPr>
        <w:t>综合评估患者既往病史及用药史﹐包括疾病诊断、病况评估、目前是否用药</w:t>
      </w:r>
      <w:r>
        <w:rPr>
          <w:rFonts w:ascii="Times New Roman" w:hAnsi="Times New Roman" w:eastAsia="宋体" w:cs="Times New Roman"/>
        </w:rPr>
        <w:t>(含中药和健康食品)药物反应及不良反应等</w:t>
      </w:r>
      <w:r>
        <w:rPr>
          <w:rFonts w:hint="default" w:ascii="Times New Roman" w:hAnsi="Times New Roman" w:eastAsia="宋体" w:cs="Times New Roman"/>
        </w:rPr>
        <w:t>，</w:t>
      </w:r>
      <w:r>
        <w:rPr>
          <w:rFonts w:ascii="Times New Roman" w:hAnsi="Times New Roman" w:eastAsia="宋体" w:cs="Times New Roman"/>
        </w:rPr>
        <w:t>确定治疗与预防目标</w:t>
      </w:r>
      <w:r>
        <w:rPr>
          <w:rFonts w:hint="eastAsia" w:ascii="Times New Roman" w:hAnsi="Times New Roman" w:eastAsia="宋体" w:cs="Times New Roman"/>
        </w:rPr>
        <w:t>，</w:t>
      </w:r>
      <w:r>
        <w:rPr>
          <w:rFonts w:ascii="Times New Roman" w:hAnsi="Times New Roman" w:eastAsia="宋体" w:cs="Times New Roman"/>
        </w:rPr>
        <w:t>制定个体化用药方案</w:t>
      </w:r>
      <w:r>
        <w:rPr>
          <w:rFonts w:hint="eastAsia" w:ascii="Times New Roman" w:hAnsi="Times New Roman" w:eastAsia="宋体" w:cs="Times New Roman"/>
        </w:rPr>
        <w:t>；</w:t>
      </w:r>
    </w:p>
    <w:p w14:paraId="32DB6AFE">
      <w:pPr>
        <w:pStyle w:val="48"/>
        <w:ind w:left="0"/>
        <w:jc w:val="both"/>
        <w:rPr>
          <w:rFonts w:hint="default" w:ascii="Times New Roman" w:hAnsi="Times New Roman" w:eastAsia="宋体" w:cs="Times New Roman"/>
        </w:rPr>
      </w:pPr>
      <w:r>
        <w:rPr>
          <w:rFonts w:hint="default" w:ascii="Cambria Math" w:hAnsi="Cambria Math" w:eastAsia="宋体" w:cs="Cambria Math"/>
        </w:rPr>
        <w:t>②</w:t>
      </w:r>
      <w:r>
        <w:rPr>
          <w:rFonts w:ascii="Times New Roman" w:hAnsi="Times New Roman" w:eastAsia="宋体" w:cs="Times New Roman"/>
        </w:rPr>
        <w:tab/>
      </w:r>
      <w:r>
        <w:rPr>
          <w:rFonts w:ascii="Times New Roman" w:hAnsi="Times New Roman" w:eastAsia="宋体" w:cs="Times New Roman"/>
        </w:rPr>
        <w:t>基本替代功能的药物需长期服用，如左旋甲状腺素等</w:t>
      </w:r>
      <w:r>
        <w:rPr>
          <w:rFonts w:hint="eastAsia" w:ascii="Times New Roman" w:hAnsi="Times New Roman" w:eastAsia="宋体" w:cs="Times New Roman"/>
        </w:rPr>
        <w:t>；</w:t>
      </w:r>
    </w:p>
    <w:p w14:paraId="26A4673E">
      <w:pPr>
        <w:pStyle w:val="48"/>
        <w:ind w:left="0"/>
        <w:jc w:val="both"/>
        <w:rPr>
          <w:rFonts w:hint="default" w:ascii="Times New Roman" w:hAnsi="Times New Roman" w:eastAsia="宋体" w:cs="Times New Roman"/>
        </w:rPr>
      </w:pPr>
      <w:r>
        <w:rPr>
          <w:rFonts w:hint="default" w:ascii="Cambria Math" w:hAnsi="Cambria Math" w:eastAsia="宋体" w:cs="Cambria Math"/>
        </w:rPr>
        <w:t>③</w:t>
      </w:r>
      <w:r>
        <w:rPr>
          <w:rFonts w:ascii="Times New Roman" w:hAnsi="Times New Roman" w:eastAsia="宋体" w:cs="Times New Roman"/>
        </w:rPr>
        <w:tab/>
      </w:r>
      <w:r>
        <w:rPr>
          <w:rFonts w:ascii="Times New Roman" w:hAnsi="Times New Roman" w:eastAsia="宋体" w:cs="Times New Roman"/>
        </w:rPr>
        <w:t>明确诊断的慢性病长期用药遵医嘱用药</w:t>
      </w:r>
      <w:r>
        <w:rPr>
          <w:rFonts w:hint="eastAsia" w:ascii="Times New Roman" w:hAnsi="Times New Roman" w:eastAsia="宋体" w:cs="Times New Roman"/>
        </w:rPr>
        <w:t>；</w:t>
      </w:r>
    </w:p>
    <w:p w14:paraId="0C198E9E">
      <w:pPr>
        <w:pStyle w:val="48"/>
        <w:ind w:left="0"/>
        <w:jc w:val="both"/>
        <w:rPr>
          <w:rFonts w:hint="default" w:ascii="Times New Roman" w:hAnsi="Times New Roman" w:eastAsia="宋体" w:cs="Times New Roman"/>
        </w:rPr>
      </w:pPr>
      <w:r>
        <w:rPr>
          <w:rFonts w:hint="default" w:ascii="Cambria Math" w:hAnsi="Cambria Math" w:eastAsia="宋体" w:cs="Cambria Math"/>
        </w:rPr>
        <w:t>④</w:t>
      </w:r>
      <w:r>
        <w:rPr>
          <w:rFonts w:ascii="Times New Roman" w:hAnsi="Times New Roman" w:eastAsia="宋体" w:cs="Times New Roman"/>
        </w:rPr>
        <w:tab/>
      </w:r>
      <w:r>
        <w:rPr>
          <w:rFonts w:ascii="Times New Roman" w:hAnsi="Times New Roman" w:eastAsia="宋体" w:cs="Times New Roman"/>
        </w:rPr>
        <w:t>排查不必要的药物治疗，如某些疗效不明确的药物，无明确适应证的药物，超常规维持剂量的药物，虽然符合用药适应证但是患者受益有限的药物。</w:t>
      </w:r>
    </w:p>
    <w:p w14:paraId="4B80F5C0">
      <w:pPr>
        <w:pStyle w:val="48"/>
        <w:ind w:left="0"/>
        <w:jc w:val="both"/>
        <w:rPr>
          <w:rFonts w:hint="default" w:ascii="Times New Roman" w:hAnsi="Times New Roman" w:eastAsia="宋体" w:cs="Times New Roman"/>
        </w:rPr>
      </w:pPr>
      <w:r>
        <w:rPr>
          <w:rFonts w:hint="default" w:ascii="Cambria Math" w:hAnsi="Cambria Math" w:eastAsia="宋体" w:cs="Cambria Math"/>
        </w:rPr>
        <w:t>⑤</w:t>
      </w:r>
      <w:r>
        <w:rPr>
          <w:rFonts w:ascii="Times New Roman" w:hAnsi="Times New Roman" w:eastAsia="宋体" w:cs="Times New Roman"/>
        </w:rPr>
        <w:tab/>
      </w:r>
      <w:r>
        <w:rPr>
          <w:rFonts w:ascii="Times New Roman" w:hAnsi="Times New Roman" w:eastAsia="宋体" w:cs="Times New Roman"/>
        </w:rPr>
        <w:t>关注有无药物不良反应或潜在药物不良反应风险，主要通过检查药物-疾病的相互作用、药物-药物的相互作用、密切关注药品监管机构发布的药品安全警示信息进而识别高龄患者药物治疗的安全风险。</w:t>
      </w:r>
    </w:p>
    <w:p w14:paraId="2D60A2FD">
      <w:pPr>
        <w:pStyle w:val="48"/>
        <w:ind w:left="0"/>
        <w:jc w:val="both"/>
        <w:rPr>
          <w:rFonts w:hint="default" w:ascii="Times New Roman" w:hAnsi="Times New Roman" w:eastAsia="宋体" w:cs="Times New Roman"/>
        </w:rPr>
      </w:pPr>
      <w:r>
        <w:rPr>
          <w:rFonts w:hint="default" w:ascii="Cambria Math" w:hAnsi="Cambria Math" w:eastAsia="宋体" w:cs="Cambria Math"/>
        </w:rPr>
        <w:t>⑥</w:t>
      </w:r>
      <w:r>
        <w:rPr>
          <w:rFonts w:ascii="Times New Roman" w:hAnsi="Times New Roman" w:eastAsia="宋体" w:cs="Times New Roman"/>
        </w:rPr>
        <w:tab/>
      </w:r>
      <w:r>
        <w:rPr>
          <w:rFonts w:ascii="Times New Roman" w:hAnsi="Times New Roman" w:eastAsia="宋体" w:cs="Times New Roman"/>
        </w:rPr>
        <w:t>高龄老年人应全面评估脏器功能，评估用药剂量、种类是否合适。</w:t>
      </w:r>
      <w:r>
        <w:rPr>
          <w:rFonts w:hint="default" w:ascii="Times New Roman" w:hAnsi="Times New Roman" w:eastAsia="宋体" w:cs="Times New Roman"/>
        </w:rPr>
        <w:t>如﹕治疗高血压使用β受体阻断剂会对慢性阻塞性肺疾病造成影响，利尿药是否会引起低钾血症等；应尽量避免新开的处方药物与已用药物或目前的疾病间的不良交互作用。</w:t>
      </w:r>
    </w:p>
    <w:p w14:paraId="6F598E63">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
          <w:bCs/>
          <w:szCs w:val="21"/>
        </w:rPr>
        <w:t>器官功能评估</w:t>
      </w:r>
    </w:p>
    <w:p w14:paraId="59B85AEF">
      <w:pPr>
        <w:ind w:firstLine="0" w:firstLineChars="0"/>
        <w:jc w:val="left"/>
        <w:rPr>
          <w:rFonts w:hint="eastAsia" w:ascii="黑体" w:hAnsi="黑体" w:eastAsia="黑体" w:cs="黑体"/>
          <w:bCs/>
          <w:szCs w:val="21"/>
        </w:rPr>
      </w:pPr>
      <w:r>
        <w:rPr>
          <w:rFonts w:hint="eastAsia" w:ascii="黑体" w:hAnsi="黑体" w:eastAsia="黑体" w:cs="黑体"/>
          <w:bCs/>
          <w:szCs w:val="21"/>
        </w:rPr>
        <w:t>5.8.1 心脏评估</w:t>
      </w:r>
    </w:p>
    <w:p w14:paraId="10855D1E">
      <w:pPr>
        <w:jc w:val="both"/>
        <w:rPr>
          <w:rFonts w:hint="default"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w:instrText>
      </w:r>
      <w:r>
        <w:rPr>
          <w:rFonts w:hint="default" w:ascii="Times New Roman" w:hAnsi="Times New Roman" w:eastAsia="宋体" w:cs="Times New Roman"/>
        </w:rPr>
        <w:instrText xml:space="preserve">= 1 \* GB3</w:instrText>
      </w:r>
      <w:r>
        <w:rPr>
          <w:rFonts w:ascii="Times New Roman" w:hAnsi="Times New Roman" w:eastAsia="宋体" w:cs="Times New Roman"/>
        </w:rPr>
        <w:instrText xml:space="preserve"> </w:instrText>
      </w:r>
      <w:r>
        <w:rPr>
          <w:rFonts w:ascii="Times New Roman" w:hAnsi="Times New Roman" w:eastAsia="宋体" w:cs="Times New Roman"/>
        </w:rPr>
        <w:fldChar w:fldCharType="separate"/>
      </w:r>
      <w:r>
        <w:rPr>
          <w:rFonts w:hint="default" w:ascii="Cambria Math" w:hAnsi="Cambria Math" w:eastAsia="宋体" w:cs="Cambria Math"/>
        </w:rPr>
        <w:t>①</w:t>
      </w:r>
      <w:r>
        <w:rPr>
          <w:rFonts w:ascii="Times New Roman" w:hAnsi="Times New Roman" w:eastAsia="宋体" w:cs="Times New Roman"/>
        </w:rPr>
        <w:fldChar w:fldCharType="end"/>
      </w:r>
      <w:r>
        <w:rPr>
          <w:rFonts w:hint="default" w:ascii="Times New Roman" w:hAnsi="Times New Roman" w:eastAsia="宋体" w:cs="Times New Roman"/>
        </w:rPr>
        <w:t>有心血管危险因素的老年人群术前常规完成1</w:t>
      </w:r>
      <w:r>
        <w:rPr>
          <w:rFonts w:ascii="Times New Roman" w:hAnsi="Times New Roman" w:eastAsia="宋体" w:cs="Times New Roman"/>
        </w:rPr>
        <w:t>2</w:t>
      </w:r>
      <w:r>
        <w:rPr>
          <w:rFonts w:hint="default" w:ascii="Times New Roman" w:hAnsi="Times New Roman" w:eastAsia="宋体" w:cs="Times New Roman"/>
        </w:rPr>
        <w:t>导联心电图检查。</w:t>
      </w:r>
    </w:p>
    <w:p w14:paraId="6751F6A7">
      <w:pPr>
        <w:jc w:val="both"/>
        <w:rPr>
          <w:rFonts w:hint="default"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w:instrText>
      </w:r>
      <w:r>
        <w:rPr>
          <w:rFonts w:hint="default" w:ascii="Times New Roman" w:hAnsi="Times New Roman" w:eastAsia="宋体" w:cs="Times New Roman"/>
        </w:rPr>
        <w:instrText xml:space="preserve">= 2 \* GB3</w:instrText>
      </w:r>
      <w:r>
        <w:rPr>
          <w:rFonts w:ascii="Times New Roman" w:hAnsi="Times New Roman" w:eastAsia="宋体" w:cs="Times New Roman"/>
        </w:rPr>
        <w:instrText xml:space="preserve"> </w:instrText>
      </w:r>
      <w:r>
        <w:rPr>
          <w:rFonts w:ascii="Times New Roman" w:hAnsi="Times New Roman" w:eastAsia="宋体" w:cs="Times New Roman"/>
        </w:rPr>
        <w:fldChar w:fldCharType="separate"/>
      </w:r>
      <w:r>
        <w:rPr>
          <w:rFonts w:hint="default" w:ascii="Cambria Math" w:hAnsi="Cambria Math" w:eastAsia="宋体" w:cs="Cambria Math"/>
        </w:rPr>
        <w:t>②</w:t>
      </w:r>
      <w:r>
        <w:rPr>
          <w:rFonts w:ascii="Times New Roman" w:hAnsi="Times New Roman" w:eastAsia="宋体" w:cs="Times New Roman"/>
        </w:rPr>
        <w:fldChar w:fldCharType="end"/>
      </w:r>
      <w:r>
        <w:rPr>
          <w:rFonts w:hint="default" w:ascii="Times New Roman" w:hAnsi="Times New Roman" w:eastAsia="宋体" w:cs="Times New Roman"/>
        </w:rPr>
        <w:t>以下情况行超声心动图检查：</w:t>
      </w:r>
      <w:r>
        <w:rPr>
          <w:rFonts w:ascii="Times New Roman" w:hAnsi="Times New Roman" w:eastAsia="宋体" w:cs="Times New Roman"/>
        </w:rPr>
        <w:t>a.</w:t>
      </w:r>
      <w:r>
        <w:rPr>
          <w:rFonts w:hint="default" w:ascii="Times New Roman" w:hAnsi="Times New Roman" w:eastAsia="宋体" w:cs="Times New Roman"/>
        </w:rPr>
        <w:t>确诊或疑似心衰</w:t>
      </w:r>
      <w:r>
        <w:rPr>
          <w:rFonts w:ascii="Times New Roman" w:hAnsi="Times New Roman" w:eastAsia="宋体" w:cs="Times New Roman"/>
        </w:rPr>
        <w:t>患者</w:t>
      </w:r>
      <w:r>
        <w:rPr>
          <w:rFonts w:hint="default" w:ascii="Times New Roman" w:hAnsi="Times New Roman" w:eastAsia="宋体" w:cs="Times New Roman"/>
        </w:rPr>
        <w:t>拟接受中高危手术且最近1年未做过超声心动图检查，或出现了新的心衰症状/体征时；</w:t>
      </w:r>
      <w:r>
        <w:rPr>
          <w:rFonts w:ascii="Times New Roman" w:hAnsi="Times New Roman" w:eastAsia="宋体" w:cs="Times New Roman"/>
        </w:rPr>
        <w:t>b.</w:t>
      </w:r>
      <w:r>
        <w:rPr>
          <w:rFonts w:hint="default" w:ascii="Times New Roman" w:hAnsi="Times New Roman" w:eastAsia="宋体" w:cs="Times New Roman"/>
        </w:rPr>
        <w:t>确诊或疑似中</w:t>
      </w:r>
      <w:r>
        <w:rPr>
          <w:rFonts w:ascii="Times New Roman" w:hAnsi="Times New Roman" w:eastAsia="宋体" w:cs="Times New Roman"/>
        </w:rPr>
        <w:t>/重</w:t>
      </w:r>
      <w:r>
        <w:rPr>
          <w:rFonts w:hint="default" w:ascii="Times New Roman" w:hAnsi="Times New Roman" w:eastAsia="宋体" w:cs="Times New Roman"/>
        </w:rPr>
        <w:t>度</w:t>
      </w:r>
      <w:r>
        <w:rPr>
          <w:rFonts w:ascii="Times New Roman" w:hAnsi="Times New Roman" w:eastAsia="宋体" w:cs="Times New Roman"/>
        </w:rPr>
        <w:t>瓣膜</w:t>
      </w:r>
      <w:r>
        <w:rPr>
          <w:rFonts w:hint="default" w:ascii="Times New Roman" w:hAnsi="Times New Roman" w:eastAsia="宋体" w:cs="Times New Roman"/>
        </w:rPr>
        <w:t>病（狭窄或反流）患者拟</w:t>
      </w:r>
      <w:r>
        <w:rPr>
          <w:rFonts w:ascii="Times New Roman" w:hAnsi="Times New Roman" w:eastAsia="宋体" w:cs="Times New Roman"/>
        </w:rPr>
        <w:t>接受中高危手术</w:t>
      </w:r>
      <w:r>
        <w:rPr>
          <w:rFonts w:hint="default" w:ascii="Times New Roman" w:hAnsi="Times New Roman" w:eastAsia="宋体" w:cs="Times New Roman"/>
        </w:rPr>
        <w:t>且最近1年未做过超声心动图检查，或出现新的提示重度瓣膜病症状/体征时；c</w:t>
      </w:r>
      <w:r>
        <w:rPr>
          <w:rFonts w:ascii="Times New Roman" w:hAnsi="Times New Roman" w:eastAsia="宋体" w:cs="Times New Roman"/>
        </w:rPr>
        <w:t>.</w:t>
      </w:r>
      <w:r>
        <w:rPr>
          <w:rFonts w:hint="default" w:ascii="Times New Roman" w:hAnsi="Times New Roman" w:eastAsia="宋体" w:cs="Times New Roman"/>
        </w:rPr>
        <w:t>患者需要紧急</w:t>
      </w:r>
      <w:r>
        <w:rPr>
          <w:rFonts w:ascii="Times New Roman" w:hAnsi="Times New Roman" w:eastAsia="宋体" w:cs="Times New Roman"/>
        </w:rPr>
        <w:t>/半紧急或择期手术，并且其临床检查表明患者有未确诊的严重梗阻性心内异常（例如：主动脉瓣狭窄、二尖瓣狭窄、肥厚型梗阻性心肌病）或严重肺动脉高压</w:t>
      </w:r>
      <w:r>
        <w:rPr>
          <w:rFonts w:hint="default" w:ascii="Times New Roman" w:hAnsi="Times New Roman" w:eastAsia="宋体" w:cs="Times New Roman"/>
        </w:rPr>
        <w:t>。</w:t>
      </w:r>
    </w:p>
    <w:p w14:paraId="4E704BB2">
      <w:pPr>
        <w:jc w:val="both"/>
        <w:rPr>
          <w:rFonts w:hint="default" w:ascii="Times New Roman" w:hAnsi="Times New Roman" w:eastAsia="宋体" w:cs="Times New Roman"/>
        </w:rPr>
      </w:pPr>
      <w:r>
        <w:rPr>
          <w:rFonts w:ascii="Times New Roman" w:hAnsi="Times New Roman" w:eastAsia="宋体" w:cs="Times New Roman"/>
        </w:rPr>
        <w:fldChar w:fldCharType="begin"/>
      </w:r>
      <w:r>
        <w:rPr>
          <w:rFonts w:hint="default" w:ascii="Times New Roman" w:hAnsi="Times New Roman" w:eastAsia="宋体" w:cs="Times New Roman"/>
        </w:rPr>
        <w:instrText xml:space="preserve">= 3 \* GB3</w:instrText>
      </w:r>
      <w:r>
        <w:rPr>
          <w:rFonts w:ascii="Times New Roman" w:hAnsi="Times New Roman" w:eastAsia="宋体" w:cs="Times New Roman"/>
        </w:rPr>
        <w:fldChar w:fldCharType="separate"/>
      </w:r>
      <w:r>
        <w:rPr>
          <w:rFonts w:hint="default" w:ascii="Cambria Math" w:hAnsi="Cambria Math" w:eastAsia="宋体" w:cs="Cambria Math"/>
        </w:rPr>
        <w:t>③</w:t>
      </w:r>
      <w:r>
        <w:rPr>
          <w:rFonts w:ascii="Times New Roman" w:hAnsi="Times New Roman" w:eastAsia="宋体" w:cs="Times New Roman"/>
        </w:rPr>
        <w:fldChar w:fldCharType="end"/>
      </w:r>
      <w:r>
        <w:rPr>
          <w:rFonts w:hint="default" w:ascii="Times New Roman" w:hAnsi="Times New Roman" w:eastAsia="宋体" w:cs="Times New Roman"/>
        </w:rPr>
        <w:t>年龄≥</w:t>
      </w:r>
      <w:r>
        <w:rPr>
          <w:rFonts w:ascii="Times New Roman" w:hAnsi="Times New Roman" w:eastAsia="宋体" w:cs="Times New Roman"/>
        </w:rPr>
        <w:t>65岁的患者在非心脏手术前测量NT-proBNP或BNP水平</w:t>
      </w:r>
    </w:p>
    <w:p w14:paraId="4514BC23">
      <w:pPr>
        <w:jc w:val="both"/>
        <w:rPr>
          <w:rFonts w:hint="default"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w:instrText>
      </w:r>
      <w:r>
        <w:rPr>
          <w:rFonts w:hint="default" w:ascii="Times New Roman" w:hAnsi="Times New Roman" w:eastAsia="宋体" w:cs="Times New Roman"/>
        </w:rPr>
        <w:instrText xml:space="preserve">= 4 \* GB3</w:instrText>
      </w:r>
      <w:r>
        <w:rPr>
          <w:rFonts w:ascii="Times New Roman" w:hAnsi="Times New Roman" w:eastAsia="宋体" w:cs="Times New Roman"/>
        </w:rPr>
        <w:instrText xml:space="preserve"> </w:instrText>
      </w:r>
      <w:r>
        <w:rPr>
          <w:rFonts w:ascii="Times New Roman" w:hAnsi="Times New Roman" w:eastAsia="宋体" w:cs="Times New Roman"/>
        </w:rPr>
        <w:fldChar w:fldCharType="separate"/>
      </w:r>
      <w:r>
        <w:rPr>
          <w:rFonts w:hint="default" w:ascii="Cambria Math" w:hAnsi="Cambria Math" w:eastAsia="宋体" w:cs="Cambria Math"/>
        </w:rPr>
        <w:t>④</w:t>
      </w:r>
      <w:r>
        <w:rPr>
          <w:rFonts w:ascii="Times New Roman" w:hAnsi="Times New Roman" w:eastAsia="宋体" w:cs="Times New Roman"/>
        </w:rPr>
        <w:fldChar w:fldCharType="end"/>
      </w:r>
      <w:r>
        <w:rPr>
          <w:rFonts w:hint="default" w:ascii="Times New Roman" w:hAnsi="Times New Roman" w:eastAsia="宋体" w:cs="Times New Roman"/>
        </w:rPr>
        <w:t>采用杜克活动状态指数（DASI）评估接受中等风险以上手术的老年人群日常活动能力。</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6237"/>
        <w:gridCol w:w="709"/>
        <w:gridCol w:w="651"/>
        <w:tblGridChange w:id="4">
          <w:tblGrid>
            <w:gridCol w:w="709"/>
            <w:gridCol w:w="6237"/>
            <w:gridCol w:w="709"/>
            <w:gridCol w:w="651"/>
          </w:tblGrid>
        </w:tblGridChange>
      </w:tblGrid>
      <w:tr w14:paraId="70D12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06" w:type="dxa"/>
            <w:gridSpan w:val="4"/>
            <w:tcBorders>
              <w:top w:val="nil"/>
              <w:left w:val="nil"/>
              <w:bottom w:val="single" w:color="auto" w:sz="4" w:space="0"/>
              <w:right w:val="nil"/>
            </w:tcBorders>
          </w:tcPr>
          <w:p w14:paraId="478267B3">
            <w:pPr>
              <w:jc w:val="center"/>
              <w:rPr>
                <w:rFonts w:hint="default" w:ascii="Times New Roman" w:hAnsi="Times New Roman" w:eastAsia="宋体" w:cs="Times New Roman"/>
                <w:b w:val="0"/>
                <w:bCs w:val="0"/>
                <w:szCs w:val="21"/>
              </w:rPr>
            </w:pPr>
            <w:r>
              <w:rPr>
                <w:rFonts w:hint="default" w:ascii="Times New Roman" w:hAnsi="Times New Roman" w:eastAsia="宋体" w:cs="Times New Roman"/>
                <w:b w:val="0"/>
                <w:bCs w:val="0"/>
                <w:szCs w:val="21"/>
              </w:rPr>
              <w:t>表8</w:t>
            </w:r>
            <w:r>
              <w:rPr>
                <w:rFonts w:ascii="Times New Roman" w:hAnsi="Times New Roman" w:eastAsia="宋体" w:cs="Times New Roman"/>
                <w:b w:val="0"/>
                <w:bCs w:val="0"/>
                <w:szCs w:val="21"/>
              </w:rPr>
              <w:t xml:space="preserve"> Dukes活动状态指数</w:t>
            </w:r>
            <w:r>
              <w:rPr>
                <w:rFonts w:hint="default" w:ascii="Times New Roman" w:hAnsi="Times New Roman" w:eastAsia="宋体" w:cs="Times New Roman"/>
                <w:b w:val="0"/>
                <w:bCs w:val="0"/>
                <w:szCs w:val="21"/>
              </w:rPr>
              <w:t>（DASI）</w:t>
            </w:r>
          </w:p>
        </w:tc>
      </w:tr>
      <w:tr w14:paraId="33BC1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22F1B5C7">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w:t>
            </w:r>
          </w:p>
        </w:tc>
        <w:tc>
          <w:tcPr>
            <w:tcW w:w="6237" w:type="dxa"/>
            <w:tcBorders>
              <w:left w:val="single" w:color="auto" w:sz="4" w:space="0"/>
              <w:right w:val="single" w:color="auto" w:sz="4" w:space="0"/>
            </w:tcBorders>
          </w:tcPr>
          <w:p w14:paraId="2DD74AF7">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活动能力</w:t>
            </w:r>
          </w:p>
        </w:tc>
        <w:tc>
          <w:tcPr>
            <w:tcW w:w="709" w:type="dxa"/>
            <w:tcBorders>
              <w:left w:val="single" w:color="auto" w:sz="4" w:space="0"/>
              <w:right w:val="single" w:color="auto" w:sz="4" w:space="0"/>
            </w:tcBorders>
          </w:tcPr>
          <w:p w14:paraId="3763BDFF">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是</w:t>
            </w:r>
          </w:p>
        </w:tc>
        <w:tc>
          <w:tcPr>
            <w:tcW w:w="651" w:type="dxa"/>
            <w:tcBorders>
              <w:left w:val="single" w:color="auto" w:sz="4" w:space="0"/>
              <w:right w:val="nil"/>
            </w:tcBorders>
          </w:tcPr>
          <w:p w14:paraId="087CB86E">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否</w:t>
            </w:r>
          </w:p>
        </w:tc>
      </w:tr>
      <w:tr w14:paraId="0C7E2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tcBorders>
              <w:left w:val="nil"/>
              <w:right w:val="single" w:color="auto" w:sz="4" w:space="0"/>
            </w:tcBorders>
          </w:tcPr>
          <w:p w14:paraId="50DD7531">
            <w:pPr>
              <w:rPr>
                <w:rFonts w:hint="default" w:ascii="Times New Roman" w:hAnsi="Times New Roman" w:eastAsia="宋体" w:cs="Times New Roman"/>
                <w:szCs w:val="21"/>
              </w:rPr>
            </w:pPr>
            <w:r>
              <w:rPr>
                <w:rFonts w:hint="default" w:ascii="Times New Roman" w:hAnsi="Times New Roman" w:eastAsia="宋体" w:cs="Times New Roman"/>
                <w:szCs w:val="21"/>
              </w:rPr>
              <w:t>1</w:t>
            </w:r>
          </w:p>
          <w:p w14:paraId="5AE5C825">
            <w:pPr>
              <w:rPr>
                <w:rFonts w:hint="default" w:ascii="Times New Roman" w:hAnsi="Times New Roman" w:eastAsia="宋体" w:cs="Times New Roman"/>
                <w:szCs w:val="21"/>
              </w:rPr>
            </w:pPr>
            <w:r>
              <w:rPr>
                <w:rFonts w:hint="default" w:ascii="Times New Roman" w:hAnsi="Times New Roman" w:eastAsia="宋体" w:cs="Times New Roman"/>
                <w:szCs w:val="21"/>
              </w:rPr>
              <w:t>2</w:t>
            </w:r>
          </w:p>
          <w:p w14:paraId="3C3C0A22">
            <w:pPr>
              <w:rPr>
                <w:rFonts w:hint="default" w:ascii="Times New Roman" w:hAnsi="Times New Roman" w:eastAsia="宋体" w:cs="Times New Roman"/>
                <w:szCs w:val="21"/>
              </w:rPr>
            </w:pPr>
            <w:r>
              <w:rPr>
                <w:rFonts w:hint="default" w:ascii="Times New Roman" w:hAnsi="Times New Roman" w:eastAsia="宋体" w:cs="Times New Roman"/>
                <w:szCs w:val="21"/>
              </w:rPr>
              <w:t>3</w:t>
            </w:r>
          </w:p>
          <w:p w14:paraId="665D9A42">
            <w:pPr>
              <w:rPr>
                <w:rFonts w:hint="default" w:ascii="Times New Roman" w:hAnsi="Times New Roman" w:eastAsia="宋体" w:cs="Times New Roman"/>
                <w:szCs w:val="21"/>
              </w:rPr>
            </w:pPr>
            <w:r>
              <w:rPr>
                <w:rFonts w:hint="default" w:ascii="Times New Roman" w:hAnsi="Times New Roman" w:eastAsia="宋体" w:cs="Times New Roman"/>
                <w:szCs w:val="21"/>
              </w:rPr>
              <w:t>4</w:t>
            </w:r>
          </w:p>
          <w:p w14:paraId="2FF3C300">
            <w:pPr>
              <w:rPr>
                <w:rFonts w:hint="default" w:ascii="Times New Roman" w:hAnsi="Times New Roman" w:eastAsia="宋体" w:cs="Times New Roman"/>
                <w:szCs w:val="21"/>
              </w:rPr>
            </w:pPr>
            <w:r>
              <w:rPr>
                <w:rFonts w:hint="default" w:ascii="Times New Roman" w:hAnsi="Times New Roman" w:eastAsia="宋体" w:cs="Times New Roman"/>
                <w:szCs w:val="21"/>
              </w:rPr>
              <w:t>5</w:t>
            </w:r>
          </w:p>
          <w:p w14:paraId="358C957E">
            <w:pPr>
              <w:rPr>
                <w:rFonts w:hint="default" w:ascii="Times New Roman" w:hAnsi="Times New Roman" w:eastAsia="宋体" w:cs="Times New Roman"/>
                <w:szCs w:val="21"/>
              </w:rPr>
            </w:pPr>
            <w:r>
              <w:rPr>
                <w:rFonts w:hint="default" w:ascii="Times New Roman" w:hAnsi="Times New Roman" w:eastAsia="宋体" w:cs="Times New Roman"/>
                <w:szCs w:val="21"/>
              </w:rPr>
              <w:t>6</w:t>
            </w:r>
          </w:p>
          <w:p w14:paraId="6D4FC8FB">
            <w:pPr>
              <w:rPr>
                <w:rFonts w:hint="default" w:ascii="Times New Roman" w:hAnsi="Times New Roman" w:eastAsia="宋体" w:cs="Times New Roman"/>
                <w:szCs w:val="21"/>
              </w:rPr>
            </w:pPr>
            <w:r>
              <w:rPr>
                <w:rFonts w:hint="default" w:ascii="Times New Roman" w:hAnsi="Times New Roman" w:eastAsia="宋体" w:cs="Times New Roman"/>
                <w:szCs w:val="21"/>
              </w:rPr>
              <w:t>7</w:t>
            </w:r>
          </w:p>
          <w:p w14:paraId="28DE2698">
            <w:pPr>
              <w:rPr>
                <w:rFonts w:hint="default" w:ascii="Times New Roman" w:hAnsi="Times New Roman" w:eastAsia="宋体" w:cs="Times New Roman"/>
                <w:szCs w:val="21"/>
              </w:rPr>
            </w:pPr>
            <w:r>
              <w:rPr>
                <w:rFonts w:hint="default" w:ascii="Times New Roman" w:hAnsi="Times New Roman" w:eastAsia="宋体" w:cs="Times New Roman"/>
                <w:szCs w:val="21"/>
              </w:rPr>
              <w:t>8</w:t>
            </w:r>
          </w:p>
          <w:p w14:paraId="6D7B4DCA">
            <w:pPr>
              <w:rPr>
                <w:rFonts w:hint="default" w:ascii="Times New Roman" w:hAnsi="Times New Roman" w:eastAsia="宋体" w:cs="Times New Roman"/>
                <w:szCs w:val="21"/>
              </w:rPr>
            </w:pPr>
            <w:r>
              <w:rPr>
                <w:rFonts w:hint="default" w:ascii="Times New Roman" w:hAnsi="Times New Roman" w:eastAsia="宋体" w:cs="Times New Roman"/>
                <w:szCs w:val="21"/>
              </w:rPr>
              <w:t>9</w:t>
            </w:r>
          </w:p>
          <w:p w14:paraId="2E641D8B">
            <w:pPr>
              <w:rPr>
                <w:rFonts w:hint="default" w:ascii="Times New Roman" w:hAnsi="Times New Roman" w:eastAsia="宋体" w:cs="Times New Roman"/>
                <w:szCs w:val="21"/>
              </w:rPr>
            </w:pPr>
            <w:r>
              <w:rPr>
                <w:rFonts w:hint="default" w:ascii="Times New Roman" w:hAnsi="Times New Roman" w:eastAsia="宋体" w:cs="Times New Roman"/>
                <w:szCs w:val="21"/>
              </w:rPr>
              <w:t>10</w:t>
            </w:r>
          </w:p>
          <w:p w14:paraId="51CE2B59">
            <w:pPr>
              <w:rPr>
                <w:rFonts w:hint="default" w:ascii="Times New Roman" w:hAnsi="Times New Roman" w:eastAsia="宋体" w:cs="Times New Roman"/>
                <w:szCs w:val="21"/>
              </w:rPr>
            </w:pPr>
            <w:r>
              <w:rPr>
                <w:rFonts w:hint="default" w:ascii="Times New Roman" w:hAnsi="Times New Roman" w:eastAsia="宋体" w:cs="Times New Roman"/>
                <w:szCs w:val="21"/>
              </w:rPr>
              <w:t>11</w:t>
            </w:r>
          </w:p>
          <w:p w14:paraId="6D61C49B">
            <w:pPr>
              <w:rPr>
                <w:rFonts w:hint="default" w:ascii="Times New Roman" w:hAnsi="Times New Roman" w:eastAsia="宋体" w:cs="Times New Roman"/>
                <w:szCs w:val="21"/>
              </w:rPr>
            </w:pPr>
            <w:r>
              <w:rPr>
                <w:rFonts w:hint="default" w:ascii="Times New Roman" w:hAnsi="Times New Roman" w:eastAsia="宋体" w:cs="Times New Roman"/>
                <w:szCs w:val="21"/>
              </w:rPr>
              <w:t>12</w:t>
            </w:r>
          </w:p>
        </w:tc>
        <w:tc>
          <w:tcPr>
            <w:tcW w:w="6237" w:type="dxa"/>
            <w:tcBorders>
              <w:left w:val="single" w:color="auto" w:sz="4" w:space="0"/>
              <w:right w:val="single" w:color="auto" w:sz="4" w:space="0"/>
            </w:tcBorders>
          </w:tcPr>
          <w:p w14:paraId="5AC04EE4">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您能照顾自己吗？例如进食、穿衣、洗澡或上厕所</w:t>
            </w:r>
          </w:p>
          <w:p w14:paraId="1E9F5FEA">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您能在室内或房子周围走动吗？</w:t>
            </w:r>
          </w:p>
          <w:p w14:paraId="632F5ABD">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您能在平路上走一到两个街区吗？</w:t>
            </w:r>
          </w:p>
          <w:p w14:paraId="2AB8F07C">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您能爬一层楼梯或爬小山坡吗？</w:t>
            </w:r>
          </w:p>
          <w:p w14:paraId="13EE8723">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您能短距离的跑步吗？</w:t>
            </w:r>
          </w:p>
          <w:p w14:paraId="40C30522">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您能做一些轻体力的家务活吗？例如打扫灰尘、洗碗</w:t>
            </w:r>
          </w:p>
          <w:p w14:paraId="14A8C4C4">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您能做中等体力的家务活吗？例如吸尘、扫地或拎购物袋</w:t>
            </w:r>
          </w:p>
          <w:p w14:paraId="29915DC2">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你能做重体力劳动的家务活吗？例如擦洗地面、搬动或移动重家具</w:t>
            </w:r>
          </w:p>
          <w:p w14:paraId="48C6AB0D">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您能做庭院劳动吗？例如清扫落叶、除草或推动电动割草机</w:t>
            </w:r>
          </w:p>
          <w:p w14:paraId="089CE7D2">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您能过性生活吗？</w:t>
            </w:r>
          </w:p>
          <w:p w14:paraId="06760B74">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您能参加中度娱乐休闲活动吗？如高尔夫、保龄球、跳舞、羽毛球双打等</w:t>
            </w:r>
          </w:p>
          <w:p w14:paraId="79A22266">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您能参加激烈的体育活动吗？例如游泳、羽毛球单打、足球、篮球或滑雪？</w:t>
            </w:r>
          </w:p>
        </w:tc>
        <w:tc>
          <w:tcPr>
            <w:tcW w:w="709" w:type="dxa"/>
            <w:tcBorders>
              <w:left w:val="single" w:color="auto" w:sz="4" w:space="0"/>
              <w:right w:val="single" w:color="auto" w:sz="4" w:space="0"/>
            </w:tcBorders>
          </w:tcPr>
          <w:p w14:paraId="5C0EAB4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2.75</w:t>
            </w:r>
          </w:p>
          <w:p w14:paraId="39CD7EF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1.75</w:t>
            </w:r>
          </w:p>
          <w:p w14:paraId="1B8C77BD">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2.75</w:t>
            </w:r>
          </w:p>
          <w:p w14:paraId="76DA555D">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5.50</w:t>
            </w:r>
          </w:p>
          <w:p w14:paraId="3109CA78">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8.00</w:t>
            </w:r>
          </w:p>
          <w:p w14:paraId="5FA936D5">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2.70</w:t>
            </w:r>
          </w:p>
          <w:p w14:paraId="79A97007">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3.50</w:t>
            </w:r>
          </w:p>
          <w:p w14:paraId="743BB6E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8.00</w:t>
            </w:r>
          </w:p>
          <w:p w14:paraId="31E4873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4.50</w:t>
            </w:r>
          </w:p>
          <w:p w14:paraId="27245E50">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5.25</w:t>
            </w:r>
          </w:p>
          <w:p w14:paraId="3942FD47">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6.00</w:t>
            </w:r>
          </w:p>
          <w:p w14:paraId="59FB5AF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7.50</w:t>
            </w:r>
          </w:p>
        </w:tc>
        <w:tc>
          <w:tcPr>
            <w:tcW w:w="651" w:type="dxa"/>
            <w:tcBorders>
              <w:left w:val="single" w:color="auto" w:sz="4" w:space="0"/>
              <w:right w:val="nil"/>
            </w:tcBorders>
          </w:tcPr>
          <w:p w14:paraId="1ADCBAB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20F3352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2D49ED2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081B0965">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10442B9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224895F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55AE36B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1774F7D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7D55079C">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4211EC5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44A4015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p w14:paraId="62D47AF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tc>
      </w:tr>
      <w:tr w14:paraId="1C723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5DEE5CFD">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总分=</w:t>
            </w:r>
          </w:p>
        </w:tc>
      </w:tr>
      <w:tr w14:paraId="5AA57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657BD4F4">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估算的VO</w:t>
            </w:r>
            <w:r>
              <w:rPr>
                <w:rFonts w:hint="default" w:ascii="Times New Roman" w:hAnsi="Times New Roman" w:eastAsia="宋体" w:cs="Times New Roman"/>
                <w:sz w:val="21"/>
                <w:szCs w:val="21"/>
                <w:vertAlign w:val="subscript"/>
              </w:rPr>
              <w:t>2</w:t>
            </w:r>
            <w:r>
              <w:rPr>
                <w:rFonts w:hint="default" w:ascii="Times New Roman" w:hAnsi="Times New Roman" w:eastAsia="宋体" w:cs="Times New Roman"/>
                <w:sz w:val="21"/>
                <w:szCs w:val="21"/>
              </w:rPr>
              <w:t>peak=0.43×DASI+9.6</w:t>
            </w:r>
          </w:p>
        </w:tc>
      </w:tr>
      <w:tr w14:paraId="6F0F3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6" w:type="dxa"/>
            <w:gridSpan w:val="4"/>
            <w:tcBorders>
              <w:left w:val="nil"/>
              <w:right w:val="nil"/>
            </w:tcBorders>
          </w:tcPr>
          <w:p w14:paraId="18722C03">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METS=估算的VO</w:t>
            </w:r>
            <w:r>
              <w:rPr>
                <w:rFonts w:hint="default" w:ascii="Times New Roman" w:hAnsi="Times New Roman" w:eastAsia="宋体" w:cs="Times New Roman"/>
                <w:sz w:val="21"/>
                <w:szCs w:val="21"/>
                <w:vertAlign w:val="subscript"/>
              </w:rPr>
              <w:t>2</w:t>
            </w:r>
            <w:r>
              <w:rPr>
                <w:rFonts w:hint="default" w:ascii="Times New Roman" w:hAnsi="Times New Roman" w:eastAsia="宋体" w:cs="Times New Roman"/>
                <w:sz w:val="21"/>
                <w:szCs w:val="21"/>
              </w:rPr>
              <w:t>peak/3.5</w:t>
            </w:r>
          </w:p>
        </w:tc>
      </w:tr>
    </w:tbl>
    <w:p w14:paraId="34F28C3A">
      <w:pPr>
        <w:pStyle w:val="48"/>
        <w:numPr>
          <w:ilvl w:val="0"/>
          <w:numId w:val="2"/>
        </w:numPr>
        <w:ind w:left="780" w:hanging="360"/>
        <w:jc w:val="both"/>
        <w:rPr>
          <w:rFonts w:hint="default" w:ascii="Times New Roman" w:hAnsi="Times New Roman" w:eastAsia="宋体" w:cs="Times New Roman"/>
          <w:b w:val="0"/>
          <w:bCs w:val="0"/>
        </w:rPr>
      </w:pPr>
      <w:r>
        <w:rPr>
          <w:rFonts w:hint="default" w:ascii="Times New Roman" w:hAnsi="Times New Roman" w:eastAsia="宋体" w:cs="Times New Roman"/>
          <w:b w:val="0"/>
          <w:bCs w:val="0"/>
        </w:rPr>
        <w:t>采用改良的心脏风险指数（RCRI）评估评估老年人围术期心血管风险</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5"/>
        <w:gridCol w:w="6555"/>
        <w:gridCol w:w="745"/>
      </w:tblGrid>
      <w:tr w14:paraId="38347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8045" w:type="dxa"/>
            <w:gridSpan w:val="3"/>
            <w:tcBorders>
              <w:top w:val="nil"/>
              <w:left w:val="nil"/>
              <w:bottom w:val="single" w:color="auto" w:sz="4" w:space="0"/>
              <w:right w:val="nil"/>
            </w:tcBorders>
          </w:tcPr>
          <w:p w14:paraId="57FA4BA2">
            <w:pPr>
              <w:jc w:val="center"/>
              <w:rPr>
                <w:rFonts w:hint="default" w:ascii="Times New Roman" w:hAnsi="Times New Roman" w:eastAsia="宋体" w:cs="Times New Roman"/>
                <w:b w:val="0"/>
                <w:bCs w:val="0"/>
                <w:szCs w:val="21"/>
              </w:rPr>
            </w:pPr>
            <w:r>
              <w:rPr>
                <w:rFonts w:hint="default" w:ascii="Times New Roman" w:hAnsi="Times New Roman" w:eastAsia="宋体" w:cs="Times New Roman"/>
                <w:b w:val="0"/>
                <w:bCs w:val="0"/>
                <w:szCs w:val="21"/>
              </w:rPr>
              <w:t>表9</w:t>
            </w:r>
            <w:r>
              <w:rPr>
                <w:rFonts w:ascii="Times New Roman" w:hAnsi="Times New Roman" w:eastAsia="宋体" w:cs="Times New Roman"/>
                <w:b w:val="0"/>
                <w:bCs w:val="0"/>
                <w:szCs w:val="21"/>
              </w:rPr>
              <w:t xml:space="preserve"> </w:t>
            </w:r>
            <w:r>
              <w:rPr>
                <w:rFonts w:hint="default" w:ascii="Times New Roman" w:hAnsi="Times New Roman" w:eastAsia="宋体" w:cs="Times New Roman"/>
                <w:b w:val="0"/>
                <w:bCs w:val="0"/>
                <w:szCs w:val="21"/>
              </w:rPr>
              <w:t>改良的心脏风险</w:t>
            </w:r>
            <w:r>
              <w:rPr>
                <w:rFonts w:ascii="Times New Roman" w:hAnsi="Times New Roman" w:eastAsia="宋体" w:cs="Times New Roman"/>
                <w:b w:val="0"/>
                <w:bCs w:val="0"/>
                <w:szCs w:val="21"/>
              </w:rPr>
              <w:t>指数</w:t>
            </w:r>
            <w:r>
              <w:rPr>
                <w:rFonts w:hint="default" w:ascii="Times New Roman" w:hAnsi="Times New Roman" w:eastAsia="宋体" w:cs="Times New Roman"/>
                <w:b w:val="0"/>
                <w:bCs w:val="0"/>
                <w:szCs w:val="21"/>
              </w:rPr>
              <w:t>（RCRI）</w:t>
            </w:r>
          </w:p>
        </w:tc>
      </w:tr>
      <w:tr w14:paraId="5DB73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745" w:type="dxa"/>
            <w:tcBorders>
              <w:left w:val="nil"/>
              <w:right w:val="nil"/>
            </w:tcBorders>
          </w:tcPr>
          <w:p w14:paraId="5021CE9D">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w:t>
            </w:r>
          </w:p>
        </w:tc>
        <w:tc>
          <w:tcPr>
            <w:tcW w:w="6555" w:type="dxa"/>
            <w:tcBorders>
              <w:left w:val="nil"/>
              <w:right w:val="nil"/>
            </w:tcBorders>
          </w:tcPr>
          <w:p w14:paraId="3C003C58">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变量</w:t>
            </w:r>
            <w:r>
              <w:rPr>
                <w:rFonts w:hint="default" w:ascii="Times New Roman" w:hAnsi="Times New Roman" w:eastAsia="宋体" w:cs="Times New Roman"/>
                <w:sz w:val="21"/>
                <w:szCs w:val="21"/>
                <w:vertAlign w:val="superscript"/>
              </w:rPr>
              <w:t>*</w:t>
            </w:r>
          </w:p>
        </w:tc>
        <w:tc>
          <w:tcPr>
            <w:tcW w:w="745" w:type="dxa"/>
            <w:tcBorders>
              <w:top w:val="nil"/>
              <w:left w:val="nil"/>
              <w:right w:val="nil"/>
            </w:tcBorders>
          </w:tcPr>
          <w:p w14:paraId="7017D79A">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得分</w:t>
            </w:r>
          </w:p>
        </w:tc>
      </w:tr>
      <w:tr w14:paraId="122E9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6" w:hRule="atLeast"/>
          <w:jc w:val="center"/>
        </w:trPr>
        <w:tc>
          <w:tcPr>
            <w:tcW w:w="745" w:type="dxa"/>
            <w:tcBorders>
              <w:left w:val="nil"/>
              <w:right w:val="nil"/>
            </w:tcBorders>
          </w:tcPr>
          <w:p w14:paraId="58702CED">
            <w:pPr>
              <w:rPr>
                <w:rFonts w:hint="default" w:ascii="Times New Roman" w:hAnsi="Times New Roman" w:eastAsia="宋体" w:cs="Times New Roman"/>
                <w:szCs w:val="21"/>
              </w:rPr>
            </w:pPr>
            <w:r>
              <w:rPr>
                <w:rFonts w:hint="default" w:ascii="Times New Roman" w:hAnsi="Times New Roman" w:eastAsia="宋体" w:cs="Times New Roman"/>
                <w:szCs w:val="21"/>
              </w:rPr>
              <w:t>1</w:t>
            </w:r>
          </w:p>
          <w:p w14:paraId="62786540">
            <w:pPr>
              <w:rPr>
                <w:rFonts w:hint="default" w:ascii="Times New Roman" w:hAnsi="Times New Roman" w:eastAsia="宋体" w:cs="Times New Roman"/>
                <w:szCs w:val="21"/>
              </w:rPr>
            </w:pPr>
            <w:r>
              <w:rPr>
                <w:rFonts w:hint="default" w:ascii="Times New Roman" w:hAnsi="Times New Roman" w:eastAsia="宋体" w:cs="Times New Roman"/>
                <w:szCs w:val="21"/>
              </w:rPr>
              <w:t>2</w:t>
            </w:r>
          </w:p>
          <w:p w14:paraId="3FD12A55">
            <w:pPr>
              <w:rPr>
                <w:rFonts w:hint="default" w:ascii="Times New Roman" w:hAnsi="Times New Roman" w:eastAsia="宋体" w:cs="Times New Roman"/>
                <w:szCs w:val="21"/>
              </w:rPr>
            </w:pPr>
            <w:r>
              <w:rPr>
                <w:rFonts w:hint="default" w:ascii="Times New Roman" w:hAnsi="Times New Roman" w:eastAsia="宋体" w:cs="Times New Roman"/>
                <w:szCs w:val="21"/>
              </w:rPr>
              <w:t>3</w:t>
            </w:r>
          </w:p>
          <w:p w14:paraId="5651CFCD">
            <w:pPr>
              <w:rPr>
                <w:rFonts w:hint="default" w:ascii="Times New Roman" w:hAnsi="Times New Roman" w:eastAsia="宋体" w:cs="Times New Roman"/>
                <w:szCs w:val="21"/>
              </w:rPr>
            </w:pPr>
            <w:r>
              <w:rPr>
                <w:rFonts w:hint="default" w:ascii="Times New Roman" w:hAnsi="Times New Roman" w:eastAsia="宋体" w:cs="Times New Roman"/>
                <w:szCs w:val="21"/>
              </w:rPr>
              <w:t>4</w:t>
            </w:r>
          </w:p>
          <w:p w14:paraId="1B9DCBE8">
            <w:pPr>
              <w:rPr>
                <w:rFonts w:hint="default" w:ascii="Times New Roman" w:hAnsi="Times New Roman" w:eastAsia="宋体" w:cs="Times New Roman"/>
                <w:szCs w:val="21"/>
              </w:rPr>
            </w:pPr>
            <w:r>
              <w:rPr>
                <w:rFonts w:hint="default" w:ascii="Times New Roman" w:hAnsi="Times New Roman" w:eastAsia="宋体" w:cs="Times New Roman"/>
                <w:szCs w:val="21"/>
              </w:rPr>
              <w:t>5</w:t>
            </w:r>
          </w:p>
          <w:p w14:paraId="0FA4545B">
            <w:pPr>
              <w:rPr>
                <w:rFonts w:hint="default" w:ascii="Times New Roman" w:hAnsi="Times New Roman" w:eastAsia="宋体" w:cs="Times New Roman"/>
                <w:szCs w:val="21"/>
              </w:rPr>
            </w:pPr>
            <w:r>
              <w:rPr>
                <w:rFonts w:hint="default" w:ascii="Times New Roman" w:hAnsi="Times New Roman" w:eastAsia="宋体" w:cs="Times New Roman"/>
                <w:szCs w:val="21"/>
              </w:rPr>
              <w:t>6</w:t>
            </w:r>
          </w:p>
        </w:tc>
        <w:tc>
          <w:tcPr>
            <w:tcW w:w="6555" w:type="dxa"/>
            <w:tcBorders>
              <w:left w:val="nil"/>
              <w:right w:val="nil"/>
            </w:tcBorders>
          </w:tcPr>
          <w:p w14:paraId="2E44EF11">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缺血性心脏病病史</w:t>
            </w:r>
          </w:p>
          <w:p w14:paraId="25942802">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充血性心力衰竭病史</w:t>
            </w:r>
          </w:p>
          <w:p w14:paraId="3FCF9D7B">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脑血管病病史</w:t>
            </w:r>
          </w:p>
          <w:p w14:paraId="1AD95FD6">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糖尿病依赖胰岛素治疗</w:t>
            </w:r>
          </w:p>
          <w:p w14:paraId="203E5AA7">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术前血清肌酐</w:t>
            </w:r>
            <w:r>
              <w:rPr>
                <w:rFonts w:ascii="Times New Roman" w:hAnsi="Times New Roman" w:eastAsia="宋体" w:cs="Times New Roman"/>
                <w:sz w:val="21"/>
                <w:szCs w:val="21"/>
              </w:rPr>
              <w:t>&gt;177</w:t>
            </w:r>
            <w:r>
              <w:rPr>
                <w:rFonts w:hint="default" w:ascii="Times New Roman" w:hAnsi="Times New Roman" w:eastAsia="宋体" w:cs="Times New Roman"/>
                <w:szCs w:val="21"/>
              </w:rPr>
              <w:t>μ</w:t>
            </w:r>
            <w:r>
              <w:rPr>
                <w:rFonts w:ascii="Times New Roman" w:hAnsi="Times New Roman" w:eastAsia="宋体" w:cs="Times New Roman"/>
                <w:szCs w:val="21"/>
              </w:rPr>
              <w:t>mol/L</w:t>
            </w:r>
          </w:p>
          <w:p w14:paraId="13287E34">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高危手术</w:t>
            </w:r>
          </w:p>
        </w:tc>
        <w:tc>
          <w:tcPr>
            <w:tcW w:w="745" w:type="dxa"/>
            <w:tcBorders>
              <w:left w:val="nil"/>
              <w:bottom w:val="nil"/>
              <w:right w:val="nil"/>
            </w:tcBorders>
          </w:tcPr>
          <w:p w14:paraId="137E59F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p w14:paraId="714D769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p w14:paraId="43CAC13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p w14:paraId="54623BE8">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p w14:paraId="57A11B95">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p w14:paraId="5AABF6F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5A84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7" w:hRule="atLeast"/>
          <w:jc w:val="center"/>
        </w:trPr>
        <w:tc>
          <w:tcPr>
            <w:tcW w:w="8045" w:type="dxa"/>
            <w:gridSpan w:val="3"/>
            <w:tcBorders>
              <w:left w:val="nil"/>
              <w:right w:val="nil"/>
            </w:tcBorders>
          </w:tcPr>
          <w:p w14:paraId="1FA82C58">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t>
            </w:r>
            <w:r>
              <w:rPr>
                <w:rFonts w:hint="default" w:ascii="Times New Roman" w:hAnsi="Times New Roman" w:eastAsia="宋体" w:cs="Times New Roman"/>
                <w:b/>
                <w:bCs/>
                <w:sz w:val="21"/>
                <w:szCs w:val="21"/>
              </w:rPr>
              <w:t>缺血性心脏病</w:t>
            </w:r>
            <w:r>
              <w:rPr>
                <w:rFonts w:ascii="Times New Roman" w:hAnsi="Times New Roman" w:eastAsia="宋体" w:cs="Times New Roman"/>
                <w:sz w:val="21"/>
                <w:szCs w:val="21"/>
              </w:rPr>
              <w:t>定义为既往心肌梗死史、运动试验阳性、当前主诉缺血性胸痛或使用硝酸盐或ECG显示病理性Q波；既往接受冠状动脉旁路移植术或血管成形术的患者，如果术后出现上述结果，则符合标准。</w:t>
            </w:r>
          </w:p>
          <w:p w14:paraId="11B9DC3A">
            <w:pPr>
              <w:rPr>
                <w:rFonts w:hint="default" w:ascii="Times New Roman" w:hAnsi="Times New Roman" w:eastAsia="宋体" w:cs="Times New Roman"/>
                <w:sz w:val="21"/>
                <w:szCs w:val="21"/>
              </w:rPr>
            </w:pPr>
            <w:r>
              <w:rPr>
                <w:rFonts w:hint="default" w:ascii="Times New Roman" w:hAnsi="Times New Roman" w:eastAsia="宋体" w:cs="Times New Roman"/>
                <w:b/>
                <w:bCs/>
                <w:sz w:val="21"/>
                <w:szCs w:val="21"/>
              </w:rPr>
              <w:t>充血性心力衰竭</w:t>
            </w:r>
            <w:r>
              <w:rPr>
                <w:rFonts w:ascii="Times New Roman" w:hAnsi="Times New Roman" w:eastAsia="宋体" w:cs="Times New Roman"/>
                <w:sz w:val="21"/>
                <w:szCs w:val="21"/>
              </w:rPr>
              <w:t>定义为心力衰竭、肺水肿或夜间阵发性呼吸困难病史；体格检查发现S3奔马律或双侧啰音；或胸片显示肺血管阻力。</w:t>
            </w:r>
          </w:p>
          <w:p w14:paraId="22424FA6">
            <w:pPr>
              <w:rPr>
                <w:rFonts w:hint="default" w:ascii="Times New Roman" w:hAnsi="Times New Roman" w:eastAsia="宋体" w:cs="Times New Roman"/>
                <w:sz w:val="21"/>
                <w:szCs w:val="21"/>
              </w:rPr>
            </w:pPr>
            <w:r>
              <w:rPr>
                <w:rFonts w:hint="default" w:ascii="Times New Roman" w:hAnsi="Times New Roman" w:eastAsia="宋体" w:cs="Times New Roman"/>
                <w:b/>
                <w:bCs/>
                <w:sz w:val="21"/>
                <w:szCs w:val="21"/>
              </w:rPr>
              <w:t>脑血管病</w:t>
            </w:r>
            <w:r>
              <w:rPr>
                <w:rFonts w:ascii="Times New Roman" w:hAnsi="Times New Roman" w:eastAsia="宋体" w:cs="Times New Roman"/>
                <w:sz w:val="21"/>
                <w:szCs w:val="21"/>
              </w:rPr>
              <w:t>定义为卒中或短暂性脑缺血发作。</w:t>
            </w:r>
          </w:p>
          <w:p w14:paraId="64F65E15">
            <w:pPr>
              <w:rPr>
                <w:rFonts w:hint="default" w:ascii="Times New Roman" w:hAnsi="Times New Roman" w:eastAsia="宋体" w:cs="Times New Roman"/>
                <w:sz w:val="21"/>
                <w:szCs w:val="21"/>
              </w:rPr>
            </w:pPr>
            <w:r>
              <w:rPr>
                <w:rFonts w:hint="default" w:ascii="Times New Roman" w:hAnsi="Times New Roman" w:eastAsia="宋体" w:cs="Times New Roman"/>
                <w:b/>
                <w:bCs/>
                <w:sz w:val="21"/>
                <w:szCs w:val="21"/>
              </w:rPr>
              <w:t>高危手术</w:t>
            </w:r>
            <w:r>
              <w:rPr>
                <w:rFonts w:ascii="Times New Roman" w:hAnsi="Times New Roman" w:eastAsia="宋体" w:cs="Times New Roman"/>
                <w:sz w:val="21"/>
                <w:szCs w:val="21"/>
              </w:rPr>
              <w:t>定义为腹膜内、胸腔内或腹股沟血管手术。</w:t>
            </w:r>
          </w:p>
        </w:tc>
      </w:tr>
      <w:tr w14:paraId="6ED64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8045" w:type="dxa"/>
            <w:gridSpan w:val="3"/>
            <w:tcBorders>
              <w:left w:val="nil"/>
              <w:right w:val="nil"/>
            </w:tcBorders>
          </w:tcPr>
          <w:p w14:paraId="1C366BE7">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风险分层：RCRI</w:t>
            </w:r>
            <w:r>
              <w:rPr>
                <w:rFonts w:ascii="Times New Roman" w:hAnsi="Times New Roman" w:eastAsia="宋体" w:cs="Times New Roman"/>
                <w:sz w:val="21"/>
                <w:szCs w:val="21"/>
              </w:rPr>
              <w:t xml:space="preserve"> </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1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级（0分）；</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2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2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II</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级（1分）；</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3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III</w:t>
            </w:r>
            <w:r>
              <w:rPr>
                <w:rFonts w:ascii="Times New Roman" w:hAnsi="Times New Roman" w:eastAsia="宋体" w:cs="Times New Roman"/>
                <w:sz w:val="21"/>
                <w:szCs w:val="21"/>
              </w:rPr>
              <w:fldChar w:fldCharType="end"/>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级（2分）；</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4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IV</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级（≥3分）</w:t>
            </w:r>
          </w:p>
        </w:tc>
      </w:tr>
      <w:tr w14:paraId="0981A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8045" w:type="dxa"/>
            <w:gridSpan w:val="3"/>
            <w:tcBorders>
              <w:left w:val="nil"/>
              <w:right w:val="nil"/>
            </w:tcBorders>
          </w:tcPr>
          <w:p w14:paraId="2E4433BD">
            <w:pP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对应心脏并发症发生率：</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1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级：0.4%；</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2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II</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级：0.9%；</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2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3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III</w:t>
            </w:r>
            <w:r>
              <w:rPr>
                <w:rFonts w:ascii="Times New Roman" w:hAnsi="Times New Roman" w:eastAsia="宋体" w:cs="Times New Roman"/>
                <w:sz w:val="21"/>
                <w:szCs w:val="21"/>
              </w:rPr>
              <w:fldChar w:fldCharType="end"/>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级：6.6%；</w:t>
            </w:r>
            <w:r>
              <w:rPr>
                <w:rFonts w:ascii="Times New Roman" w:hAnsi="Times New Roman" w:eastAsia="宋体" w:cs="Times New Roman"/>
                <w:sz w:val="21"/>
                <w:szCs w:val="21"/>
              </w:rPr>
              <w:fldChar w:fldCharType="begin"/>
            </w:r>
            <w:r>
              <w:rPr>
                <w:rFonts w:hint="default" w:ascii="Times New Roman" w:hAnsi="Times New Roman" w:eastAsia="宋体" w:cs="Times New Roman"/>
                <w:sz w:val="21"/>
                <w:szCs w:val="21"/>
              </w:rPr>
              <w:instrText xml:space="preserve">= 4 \* ROMAN</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rPr>
              <w:t>IV</w:t>
            </w:r>
            <w:r>
              <w:rPr>
                <w:rFonts w:ascii="Times New Roman" w:hAnsi="Times New Roman" w:eastAsia="宋体" w:cs="Times New Roman"/>
                <w:sz w:val="21"/>
                <w:szCs w:val="21"/>
              </w:rPr>
              <w:fldChar w:fldCharType="end"/>
            </w:r>
            <w:r>
              <w:rPr>
                <w:rFonts w:hint="default" w:ascii="Times New Roman" w:hAnsi="Times New Roman" w:eastAsia="宋体" w:cs="Times New Roman"/>
                <w:sz w:val="21"/>
                <w:szCs w:val="21"/>
              </w:rPr>
              <w:t>级：11%</w:t>
            </w:r>
          </w:p>
        </w:tc>
      </w:tr>
    </w:tbl>
    <w:p w14:paraId="4D85A18E">
      <w:pPr>
        <w:ind w:firstLine="0" w:firstLineChars="0"/>
        <w:jc w:val="left"/>
        <w:rPr>
          <w:rFonts w:hint="eastAsia" w:ascii="黑体" w:hAnsi="黑体" w:eastAsia="黑体" w:cs="黑体"/>
          <w:bCs/>
          <w:szCs w:val="21"/>
        </w:rPr>
      </w:pPr>
      <w:r>
        <w:rPr>
          <w:rFonts w:hint="eastAsia" w:ascii="黑体" w:hAnsi="黑体" w:eastAsia="黑体" w:cs="黑体"/>
          <w:bCs/>
          <w:szCs w:val="21"/>
        </w:rPr>
        <w:t>5.8.2 肺部评估</w:t>
      </w:r>
    </w:p>
    <w:p w14:paraId="1A939AAE">
      <w:pPr>
        <w:ind w:firstLine="420" w:firstLineChars="200"/>
        <w:jc w:val="both"/>
        <w:rPr>
          <w:rFonts w:hint="eastAsia" w:ascii="Times New Roman" w:hAnsi="Times New Roman" w:eastAsia="宋体" w:cs="Times New Roman"/>
        </w:rPr>
      </w:pPr>
      <w:r>
        <w:rPr>
          <w:rFonts w:hint="eastAsia" w:ascii="Times New Roman" w:hAnsi="Times New Roman" w:eastAsia="宋体" w:cs="Times New Roman"/>
        </w:rPr>
        <w:t>肺功能随着年龄的增长而下降，这是由于肺和胸壁顺应性和氧气扩散能力的丧失，尤其是吸烟者，导致氧气吸收和输送的下降。术前合并慢性阻塞性肺病</w:t>
      </w:r>
      <w:r>
        <w:rPr>
          <w:rFonts w:ascii="Times New Roman" w:hAnsi="Times New Roman" w:eastAsia="宋体" w:cs="Times New Roman"/>
        </w:rPr>
        <w:t>或哮喘患者应仔细询问疾病的类型、持续时间、治疗情况等。对于合并严重肺部疾病的患者，术前应做肺功能和血气分析检查。</w:t>
      </w:r>
      <w:r>
        <w:rPr>
          <w:rFonts w:hint="eastAsia" w:ascii="Times New Roman" w:hAnsi="Times New Roman" w:eastAsia="宋体" w:cs="Times New Roman"/>
        </w:rPr>
        <w:t>围术期肺部并发症主要包括咳嗽、呼吸困难、支气管痉挛、低氧血症、高碳酸血症、肺炎、呼吸衰竭等。使用（</w:t>
      </w:r>
      <w:r>
        <w:rPr>
          <w:rFonts w:ascii="Times New Roman" w:hAnsi="Times New Roman" w:eastAsia="宋体" w:cs="Times New Roman"/>
        </w:rPr>
        <w:t>ARISCAT）风险评分对术后肺部并发症进行评估</w:t>
      </w:r>
      <w:r>
        <w:rPr>
          <w:rFonts w:hint="eastAsia" w:ascii="Times New Roman" w:hAnsi="Times New Roman" w:eastAsia="宋体" w:cs="Times New Roman"/>
        </w:rPr>
        <w:t>，</w:t>
      </w:r>
      <w:r>
        <w:rPr>
          <w:rFonts w:ascii="Times New Roman" w:hAnsi="Times New Roman" w:eastAsia="宋体" w:cs="Times New Roman"/>
        </w:rPr>
        <w:t>ARISCAT风险指数包括7个独立危险因素预测</w:t>
      </w:r>
      <w:r>
        <w:rPr>
          <w:rFonts w:hint="eastAsia" w:ascii="Times New Roman" w:hAnsi="Times New Roman" w:eastAsia="宋体" w:cs="Times New Roman"/>
        </w:rPr>
        <w:t>围术期肺部并发症</w:t>
      </w:r>
      <w:r>
        <w:rPr>
          <w:rFonts w:ascii="Times New Roman" w:hAnsi="Times New Roman" w:eastAsia="宋体" w:cs="Times New Roman"/>
        </w:rPr>
        <w:t>风险</w:t>
      </w:r>
      <w:r>
        <w:rPr>
          <w:rFonts w:hint="eastAsia" w:ascii="Times New Roman" w:hAnsi="Times New Roman" w:eastAsia="宋体" w:cs="Times New Roman"/>
        </w:rPr>
        <w:t>。</w:t>
      </w:r>
    </w:p>
    <w:p w14:paraId="2BA1D3BD">
      <w:pPr>
        <w:ind w:firstLine="420" w:firstLineChars="200"/>
        <w:jc w:val="center"/>
        <w:rPr>
          <w:rFonts w:hint="default" w:ascii="Times New Roman" w:hAnsi="Times New Roman" w:eastAsia="宋体" w:cs="Times New Roman"/>
          <w:szCs w:val="21"/>
        </w:rPr>
      </w:pPr>
      <w:r>
        <w:rPr>
          <w:rFonts w:hint="default" w:ascii="Times New Roman" w:hAnsi="Times New Roman" w:eastAsia="宋体" w:cs="Times New Roman"/>
          <w:szCs w:val="21"/>
        </w:rPr>
        <w:t>表10</w:t>
      </w:r>
      <w:r>
        <w:rPr>
          <w:rFonts w:ascii="Times New Roman" w:hAnsi="Times New Roman" w:eastAsia="宋体" w:cs="Times New Roman"/>
          <w:szCs w:val="21"/>
        </w:rPr>
        <w:t xml:space="preserve"> ARISCAT</w:t>
      </w:r>
      <w:r>
        <w:rPr>
          <w:rFonts w:hint="default" w:ascii="Times New Roman" w:hAnsi="Times New Roman" w:eastAsia="宋体" w:cs="Times New Roman"/>
          <w:szCs w:val="21"/>
        </w:rPr>
        <w:t>风险指数</w:t>
      </w:r>
    </w:p>
    <w:tbl>
      <w:tblPr>
        <w:tblStyle w:val="13"/>
        <w:tblW w:w="0" w:type="auto"/>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765"/>
        <w:gridCol w:w="1913"/>
        <w:gridCol w:w="3618"/>
      </w:tblGrid>
      <w:tr w14:paraId="17805A5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A44BAE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因素</w:t>
            </w:r>
          </w:p>
        </w:tc>
        <w:tc>
          <w:tcPr>
            <w:tcW w:w="1913" w:type="dxa"/>
          </w:tcPr>
          <w:p w14:paraId="39C3D19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校正O</w:t>
            </w:r>
            <w:r>
              <w:rPr>
                <w:rFonts w:ascii="Times New Roman" w:hAnsi="Times New Roman" w:eastAsia="宋体" w:cs="Times New Roman"/>
                <w:sz w:val="21"/>
                <w:szCs w:val="21"/>
              </w:rPr>
              <w:t>R</w:t>
            </w:r>
          </w:p>
        </w:tc>
        <w:tc>
          <w:tcPr>
            <w:tcW w:w="3618" w:type="dxa"/>
          </w:tcPr>
          <w:p w14:paraId="284C706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风险得分</w:t>
            </w:r>
          </w:p>
        </w:tc>
      </w:tr>
      <w:tr w14:paraId="4390FDF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32165CF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年龄（年）</w:t>
            </w:r>
          </w:p>
        </w:tc>
        <w:tc>
          <w:tcPr>
            <w:tcW w:w="1913" w:type="dxa"/>
          </w:tcPr>
          <w:p w14:paraId="1EF8A99A">
            <w:pPr>
              <w:jc w:val="left"/>
              <w:rPr>
                <w:rFonts w:hint="default" w:ascii="Times New Roman" w:hAnsi="Times New Roman" w:eastAsia="宋体" w:cs="Times New Roman"/>
                <w:sz w:val="21"/>
                <w:szCs w:val="21"/>
              </w:rPr>
            </w:pPr>
          </w:p>
        </w:tc>
        <w:tc>
          <w:tcPr>
            <w:tcW w:w="3618" w:type="dxa"/>
          </w:tcPr>
          <w:p w14:paraId="448F2BD2">
            <w:pPr>
              <w:jc w:val="left"/>
              <w:rPr>
                <w:rFonts w:hint="default" w:ascii="Times New Roman" w:hAnsi="Times New Roman" w:eastAsia="宋体" w:cs="Times New Roman"/>
                <w:sz w:val="21"/>
                <w:szCs w:val="21"/>
              </w:rPr>
            </w:pPr>
          </w:p>
        </w:tc>
      </w:tr>
      <w:tr w14:paraId="54BD4DB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2C6ADA8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≤50</w:t>
            </w:r>
          </w:p>
        </w:tc>
        <w:tc>
          <w:tcPr>
            <w:tcW w:w="1913" w:type="dxa"/>
          </w:tcPr>
          <w:p w14:paraId="1A4EF81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3618" w:type="dxa"/>
          </w:tcPr>
          <w:p w14:paraId="62904BEA">
            <w:pPr>
              <w:jc w:val="left"/>
              <w:rPr>
                <w:rFonts w:hint="default" w:ascii="Times New Roman" w:hAnsi="Times New Roman" w:eastAsia="宋体" w:cs="Times New Roman"/>
                <w:sz w:val="21"/>
                <w:szCs w:val="21"/>
              </w:rPr>
            </w:pPr>
          </w:p>
        </w:tc>
      </w:tr>
      <w:tr w14:paraId="512CC19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D5C1D8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51-80</w:t>
            </w:r>
          </w:p>
        </w:tc>
        <w:tc>
          <w:tcPr>
            <w:tcW w:w="1913" w:type="dxa"/>
          </w:tcPr>
          <w:p w14:paraId="51E6BEE1">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1.4（0.6-3.3）</w:t>
            </w:r>
          </w:p>
        </w:tc>
        <w:tc>
          <w:tcPr>
            <w:tcW w:w="3618" w:type="dxa"/>
          </w:tcPr>
          <w:p w14:paraId="1C35A5F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r>
      <w:tr w14:paraId="3D94270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3D0C3F1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≥80</w:t>
            </w:r>
          </w:p>
        </w:tc>
        <w:tc>
          <w:tcPr>
            <w:tcW w:w="1913" w:type="dxa"/>
          </w:tcPr>
          <w:p w14:paraId="19DCF86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5.1（1.9-13.3）</w:t>
            </w:r>
          </w:p>
        </w:tc>
        <w:tc>
          <w:tcPr>
            <w:tcW w:w="3618" w:type="dxa"/>
          </w:tcPr>
          <w:p w14:paraId="4D33215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16</w:t>
            </w:r>
          </w:p>
        </w:tc>
      </w:tr>
      <w:tr w14:paraId="517E934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7AB335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术前氧饱和度（%）</w:t>
            </w:r>
          </w:p>
        </w:tc>
        <w:tc>
          <w:tcPr>
            <w:tcW w:w="1913" w:type="dxa"/>
          </w:tcPr>
          <w:p w14:paraId="7DDDF9C7">
            <w:pPr>
              <w:jc w:val="left"/>
              <w:rPr>
                <w:rFonts w:hint="default" w:ascii="Times New Roman" w:hAnsi="Times New Roman" w:eastAsia="宋体" w:cs="Times New Roman"/>
                <w:sz w:val="21"/>
                <w:szCs w:val="21"/>
              </w:rPr>
            </w:pPr>
          </w:p>
        </w:tc>
        <w:tc>
          <w:tcPr>
            <w:tcW w:w="3618" w:type="dxa"/>
          </w:tcPr>
          <w:p w14:paraId="47C451AF">
            <w:pPr>
              <w:jc w:val="left"/>
              <w:rPr>
                <w:rFonts w:hint="default" w:ascii="Times New Roman" w:hAnsi="Times New Roman" w:eastAsia="宋体" w:cs="Times New Roman"/>
                <w:sz w:val="21"/>
                <w:szCs w:val="21"/>
              </w:rPr>
            </w:pPr>
          </w:p>
        </w:tc>
      </w:tr>
      <w:tr w14:paraId="46DCAC1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FE5939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≥96</w:t>
            </w:r>
          </w:p>
        </w:tc>
        <w:tc>
          <w:tcPr>
            <w:tcW w:w="1913" w:type="dxa"/>
          </w:tcPr>
          <w:p w14:paraId="255BDE8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3618" w:type="dxa"/>
          </w:tcPr>
          <w:p w14:paraId="507580D8">
            <w:pPr>
              <w:jc w:val="left"/>
              <w:rPr>
                <w:rFonts w:hint="default" w:ascii="Times New Roman" w:hAnsi="Times New Roman" w:eastAsia="宋体" w:cs="Times New Roman"/>
                <w:sz w:val="21"/>
                <w:szCs w:val="21"/>
              </w:rPr>
            </w:pPr>
          </w:p>
        </w:tc>
      </w:tr>
      <w:tr w14:paraId="29A56F0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1AC2F57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91-95</w:t>
            </w:r>
          </w:p>
        </w:tc>
        <w:tc>
          <w:tcPr>
            <w:tcW w:w="1913" w:type="dxa"/>
          </w:tcPr>
          <w:p w14:paraId="444F29B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2.2（1.2-4.2）</w:t>
            </w:r>
          </w:p>
        </w:tc>
        <w:tc>
          <w:tcPr>
            <w:tcW w:w="3618" w:type="dxa"/>
          </w:tcPr>
          <w:p w14:paraId="2C007C1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w:t>
            </w:r>
          </w:p>
        </w:tc>
      </w:tr>
      <w:tr w14:paraId="5BAE050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4AA2006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913" w:type="dxa"/>
          </w:tcPr>
          <w:p w14:paraId="43F5DEC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10.7（4.1-28.1）</w:t>
            </w:r>
          </w:p>
        </w:tc>
        <w:tc>
          <w:tcPr>
            <w:tcW w:w="3618" w:type="dxa"/>
          </w:tcPr>
          <w:p w14:paraId="4A70926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24</w:t>
            </w:r>
          </w:p>
        </w:tc>
      </w:tr>
      <w:tr w14:paraId="5F81343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3E0509C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最近1个月内呼吸道感染</w:t>
            </w:r>
          </w:p>
        </w:tc>
        <w:tc>
          <w:tcPr>
            <w:tcW w:w="1913" w:type="dxa"/>
          </w:tcPr>
          <w:p w14:paraId="6254343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5.5（2.6-11.5）</w:t>
            </w:r>
          </w:p>
        </w:tc>
        <w:tc>
          <w:tcPr>
            <w:tcW w:w="3618" w:type="dxa"/>
          </w:tcPr>
          <w:p w14:paraId="5364DD0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17</w:t>
            </w:r>
          </w:p>
        </w:tc>
      </w:tr>
      <w:tr w14:paraId="1961AEE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ABCB21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术前贫血（血红蛋白≤100</w:t>
            </w:r>
            <w:r>
              <w:rPr>
                <w:rFonts w:ascii="Times New Roman" w:hAnsi="Times New Roman" w:eastAsia="宋体" w:cs="Times New Roman"/>
                <w:sz w:val="21"/>
                <w:szCs w:val="21"/>
              </w:rPr>
              <w:t>g/L</w:t>
            </w:r>
            <w:r>
              <w:rPr>
                <w:rFonts w:hint="default" w:ascii="Times New Roman" w:hAnsi="Times New Roman" w:eastAsia="宋体" w:cs="Times New Roman"/>
                <w:sz w:val="21"/>
                <w:szCs w:val="21"/>
              </w:rPr>
              <w:t>）</w:t>
            </w:r>
          </w:p>
        </w:tc>
        <w:tc>
          <w:tcPr>
            <w:tcW w:w="1913" w:type="dxa"/>
          </w:tcPr>
          <w:p w14:paraId="3408F83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3.0（1.4-6.5）</w:t>
            </w:r>
          </w:p>
        </w:tc>
        <w:tc>
          <w:tcPr>
            <w:tcW w:w="3618" w:type="dxa"/>
          </w:tcPr>
          <w:p w14:paraId="57274A7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w:t>
            </w:r>
          </w:p>
        </w:tc>
      </w:tr>
      <w:tr w14:paraId="54B27D3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538063D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手术切口</w:t>
            </w:r>
          </w:p>
        </w:tc>
        <w:tc>
          <w:tcPr>
            <w:tcW w:w="1913" w:type="dxa"/>
          </w:tcPr>
          <w:p w14:paraId="7F82C2E2">
            <w:pPr>
              <w:jc w:val="left"/>
              <w:rPr>
                <w:rFonts w:hint="default" w:ascii="Times New Roman" w:hAnsi="Times New Roman" w:eastAsia="宋体" w:cs="Times New Roman"/>
                <w:sz w:val="21"/>
                <w:szCs w:val="21"/>
              </w:rPr>
            </w:pPr>
          </w:p>
        </w:tc>
        <w:tc>
          <w:tcPr>
            <w:tcW w:w="3618" w:type="dxa"/>
          </w:tcPr>
          <w:p w14:paraId="567B5681">
            <w:pPr>
              <w:jc w:val="left"/>
              <w:rPr>
                <w:rFonts w:hint="default" w:ascii="Times New Roman" w:hAnsi="Times New Roman" w:eastAsia="宋体" w:cs="Times New Roman"/>
                <w:sz w:val="21"/>
                <w:szCs w:val="21"/>
              </w:rPr>
            </w:pPr>
          </w:p>
        </w:tc>
      </w:tr>
      <w:tr w14:paraId="12748ED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5E796A9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上腹部手术</w:t>
            </w:r>
          </w:p>
        </w:tc>
        <w:tc>
          <w:tcPr>
            <w:tcW w:w="1913" w:type="dxa"/>
          </w:tcPr>
          <w:p w14:paraId="72FBCA2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4.4（2.3-8.5）</w:t>
            </w:r>
          </w:p>
        </w:tc>
        <w:tc>
          <w:tcPr>
            <w:tcW w:w="3618" w:type="dxa"/>
          </w:tcPr>
          <w:p w14:paraId="4086E7B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w:t>
            </w:r>
          </w:p>
        </w:tc>
      </w:tr>
      <w:tr w14:paraId="44627D2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1C984711">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胸外科手术</w:t>
            </w:r>
          </w:p>
        </w:tc>
        <w:tc>
          <w:tcPr>
            <w:tcW w:w="1913" w:type="dxa"/>
          </w:tcPr>
          <w:p w14:paraId="18EB07C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11.4（1.9-6.5）</w:t>
            </w:r>
          </w:p>
        </w:tc>
        <w:tc>
          <w:tcPr>
            <w:tcW w:w="3618" w:type="dxa"/>
          </w:tcPr>
          <w:p w14:paraId="0B973F4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24</w:t>
            </w:r>
          </w:p>
        </w:tc>
      </w:tr>
      <w:tr w14:paraId="6B1D3CA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1168012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手术时间</w:t>
            </w:r>
          </w:p>
        </w:tc>
        <w:tc>
          <w:tcPr>
            <w:tcW w:w="1913" w:type="dxa"/>
          </w:tcPr>
          <w:p w14:paraId="5E013A04">
            <w:pPr>
              <w:jc w:val="left"/>
              <w:rPr>
                <w:rFonts w:hint="default" w:ascii="Times New Roman" w:hAnsi="Times New Roman" w:eastAsia="宋体" w:cs="Times New Roman"/>
                <w:sz w:val="21"/>
                <w:szCs w:val="21"/>
              </w:rPr>
            </w:pPr>
          </w:p>
        </w:tc>
        <w:tc>
          <w:tcPr>
            <w:tcW w:w="3618" w:type="dxa"/>
          </w:tcPr>
          <w:p w14:paraId="701B872A">
            <w:pPr>
              <w:jc w:val="left"/>
              <w:rPr>
                <w:rFonts w:hint="default" w:ascii="Times New Roman" w:hAnsi="Times New Roman" w:eastAsia="宋体" w:cs="Times New Roman"/>
                <w:sz w:val="21"/>
                <w:szCs w:val="21"/>
              </w:rPr>
            </w:pPr>
          </w:p>
        </w:tc>
      </w:tr>
      <w:tr w14:paraId="0442B23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5BADEB1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913" w:type="dxa"/>
          </w:tcPr>
          <w:p w14:paraId="3A21231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3618" w:type="dxa"/>
          </w:tcPr>
          <w:p w14:paraId="244B9FEB">
            <w:pPr>
              <w:jc w:val="left"/>
              <w:rPr>
                <w:rFonts w:hint="default" w:ascii="Times New Roman" w:hAnsi="Times New Roman" w:eastAsia="宋体" w:cs="Times New Roman"/>
                <w:sz w:val="21"/>
                <w:szCs w:val="21"/>
              </w:rPr>
            </w:pPr>
          </w:p>
        </w:tc>
      </w:tr>
      <w:tr w14:paraId="6EC7574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0DBAE80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2-3</w:t>
            </w:r>
          </w:p>
        </w:tc>
        <w:tc>
          <w:tcPr>
            <w:tcW w:w="1913" w:type="dxa"/>
          </w:tcPr>
          <w:p w14:paraId="56633EE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4.9（2.4-10.1）</w:t>
            </w:r>
          </w:p>
        </w:tc>
        <w:tc>
          <w:tcPr>
            <w:tcW w:w="3618" w:type="dxa"/>
          </w:tcPr>
          <w:p w14:paraId="3871549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16</w:t>
            </w:r>
          </w:p>
        </w:tc>
      </w:tr>
      <w:tr w14:paraId="1B29220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706B6B7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913" w:type="dxa"/>
          </w:tcPr>
          <w:p w14:paraId="6406DB6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9.7（2.4-19.9）</w:t>
            </w:r>
          </w:p>
        </w:tc>
        <w:tc>
          <w:tcPr>
            <w:tcW w:w="3618" w:type="dxa"/>
          </w:tcPr>
          <w:p w14:paraId="761B94D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23</w:t>
            </w:r>
          </w:p>
        </w:tc>
      </w:tr>
      <w:tr w14:paraId="65E50AB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140BCD4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急诊手术</w:t>
            </w:r>
          </w:p>
        </w:tc>
        <w:tc>
          <w:tcPr>
            <w:tcW w:w="1913" w:type="dxa"/>
          </w:tcPr>
          <w:p w14:paraId="23CDCE2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2.2（1.0-4.5）</w:t>
            </w:r>
          </w:p>
        </w:tc>
        <w:tc>
          <w:tcPr>
            <w:tcW w:w="3618" w:type="dxa"/>
          </w:tcPr>
          <w:p w14:paraId="296A164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w:t>
            </w:r>
          </w:p>
        </w:tc>
      </w:tr>
      <w:tr w14:paraId="15D89AE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1ED8EA6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风险分级</w:t>
            </w:r>
          </w:p>
        </w:tc>
        <w:tc>
          <w:tcPr>
            <w:tcW w:w="1913" w:type="dxa"/>
          </w:tcPr>
          <w:p w14:paraId="02A5DFD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风险评分</w:t>
            </w:r>
          </w:p>
        </w:tc>
        <w:tc>
          <w:tcPr>
            <w:tcW w:w="3618" w:type="dxa"/>
          </w:tcPr>
          <w:p w14:paraId="3089143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术后肺部并发症发生率（校正样本），%</w:t>
            </w:r>
          </w:p>
        </w:tc>
      </w:tr>
      <w:tr w14:paraId="46A7A23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31BA9CF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低</w:t>
            </w:r>
          </w:p>
        </w:tc>
        <w:tc>
          <w:tcPr>
            <w:tcW w:w="1913" w:type="dxa"/>
          </w:tcPr>
          <w:p w14:paraId="5F250A9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&lt;</w:t>
            </w:r>
            <w:r>
              <w:rPr>
                <w:rFonts w:ascii="Times New Roman" w:hAnsi="Times New Roman" w:eastAsia="宋体" w:cs="Times New Roman"/>
                <w:sz w:val="21"/>
                <w:szCs w:val="21"/>
              </w:rPr>
              <w:t>26</w:t>
            </w:r>
          </w:p>
        </w:tc>
        <w:tc>
          <w:tcPr>
            <w:tcW w:w="3618" w:type="dxa"/>
          </w:tcPr>
          <w:p w14:paraId="2B145903">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1.6</w:t>
            </w:r>
          </w:p>
        </w:tc>
      </w:tr>
      <w:tr w14:paraId="6099A17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2807789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w:t>
            </w:r>
          </w:p>
        </w:tc>
        <w:tc>
          <w:tcPr>
            <w:tcW w:w="1913" w:type="dxa"/>
          </w:tcPr>
          <w:p w14:paraId="41AB0E4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r>
              <w:rPr>
                <w:rFonts w:ascii="Times New Roman" w:hAnsi="Times New Roman" w:eastAsia="宋体" w:cs="Times New Roman"/>
                <w:sz w:val="21"/>
                <w:szCs w:val="21"/>
              </w:rPr>
              <w:t>6-44</w:t>
            </w:r>
          </w:p>
        </w:tc>
        <w:tc>
          <w:tcPr>
            <w:tcW w:w="3618" w:type="dxa"/>
          </w:tcPr>
          <w:p w14:paraId="5A50960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13.3</w:t>
            </w:r>
          </w:p>
        </w:tc>
      </w:tr>
      <w:tr w14:paraId="4D4A0DD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765" w:type="dxa"/>
          </w:tcPr>
          <w:p w14:paraId="00D4B1F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w:t>
            </w:r>
          </w:p>
        </w:tc>
        <w:tc>
          <w:tcPr>
            <w:tcW w:w="1913" w:type="dxa"/>
          </w:tcPr>
          <w:p w14:paraId="7ABC391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w:t>
            </w:r>
          </w:p>
        </w:tc>
        <w:tc>
          <w:tcPr>
            <w:tcW w:w="3618" w:type="dxa"/>
          </w:tcPr>
          <w:p w14:paraId="21E79BA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42.1</w:t>
            </w:r>
          </w:p>
        </w:tc>
      </w:tr>
    </w:tbl>
    <w:p w14:paraId="2D0193E0">
      <w:pPr>
        <w:ind w:firstLine="0" w:firstLineChars="0"/>
        <w:jc w:val="left"/>
        <w:rPr>
          <w:rFonts w:hint="eastAsia" w:ascii="黑体" w:hAnsi="黑体" w:eastAsia="黑体" w:cs="黑体"/>
          <w:bCs/>
          <w:szCs w:val="21"/>
        </w:rPr>
      </w:pPr>
      <w:r>
        <w:rPr>
          <w:rFonts w:hint="eastAsia" w:ascii="黑体" w:hAnsi="黑体" w:eastAsia="黑体" w:cs="黑体"/>
          <w:bCs/>
          <w:szCs w:val="21"/>
        </w:rPr>
        <w:t>5.8.3 肝功能评估</w:t>
      </w:r>
    </w:p>
    <w:p w14:paraId="3092B6A4">
      <w:pPr>
        <w:ind w:firstLine="420" w:firstLineChars="200"/>
        <w:jc w:val="both"/>
        <w:rPr>
          <w:rFonts w:hint="default" w:ascii="Times New Roman" w:hAnsi="Times New Roman" w:eastAsia="宋体" w:cs="Times New Roman"/>
        </w:rPr>
      </w:pPr>
      <w:r>
        <w:rPr>
          <w:rFonts w:hint="default" w:ascii="Times New Roman" w:hAnsi="Times New Roman" w:eastAsia="宋体" w:cs="Times New Roman"/>
        </w:rPr>
        <w:t>术前肝功能评估应关注肝功能异常的明确原因和肝脏受损程度。询问患者相关肝病病史，有无慢性肝炎、摄入酒精的情况、静脉使用药物，近期有无输血等。术前轻度的肝损害可通过自身代偿而不会发生明显的功能异常，待肝功能正常后不会影响外科手术。如果术前出现了比较严重的急性肝功能损伤，则任何择期手术都需要延期，直至各项指标恢复正常，肝功能状态稳定后才能进行手术。肝硬化患者的手术风险受疾病的严重程度和手术部位和手术创伤大小等因素影响，其围术期死亡率和并发症发生率与Child</w:t>
      </w:r>
      <w:r>
        <w:rPr>
          <w:rFonts w:ascii="Times New Roman" w:hAnsi="Times New Roman" w:eastAsia="宋体" w:cs="Times New Roman"/>
        </w:rPr>
        <w:t>-Pugh</w:t>
      </w:r>
      <w:r>
        <w:rPr>
          <w:rFonts w:hint="default" w:ascii="Times New Roman" w:hAnsi="Times New Roman" w:eastAsia="宋体" w:cs="Times New Roman"/>
        </w:rPr>
        <w:t>肝硬化分级（见表10）密切相关，2011年有文献报道Child</w:t>
      </w:r>
      <w:r>
        <w:rPr>
          <w:rFonts w:ascii="Times New Roman" w:hAnsi="Times New Roman" w:eastAsia="宋体" w:cs="Times New Roman"/>
        </w:rPr>
        <w:t>-Pugh</w:t>
      </w:r>
      <w:r>
        <w:rPr>
          <w:rFonts w:hint="default" w:ascii="Times New Roman" w:hAnsi="Times New Roman" w:eastAsia="宋体" w:cs="Times New Roman"/>
        </w:rPr>
        <w:t>分级为A、B、C分级接受腹壁或腹腔内手术患者的围手术期死亡率分别为10%、17%和63%。</w:t>
      </w:r>
    </w:p>
    <w:p w14:paraId="0775893F">
      <w:pPr>
        <w:ind w:firstLine="420" w:firstLineChars="200"/>
        <w:jc w:val="center"/>
        <w:rPr>
          <w:rFonts w:hint="default" w:ascii="Times New Roman" w:hAnsi="Times New Roman" w:eastAsia="宋体" w:cs="Times New Roman"/>
          <w:szCs w:val="21"/>
        </w:rPr>
      </w:pPr>
      <w:r>
        <w:rPr>
          <w:rFonts w:hint="default" w:ascii="Times New Roman" w:hAnsi="Times New Roman" w:eastAsia="宋体" w:cs="Times New Roman"/>
          <w:szCs w:val="21"/>
        </w:rPr>
        <w:t>表11</w:t>
      </w:r>
      <w:r>
        <w:rPr>
          <w:rFonts w:ascii="Times New Roman" w:hAnsi="Times New Roman" w:eastAsia="宋体" w:cs="Times New Roman"/>
          <w:szCs w:val="21"/>
        </w:rPr>
        <w:t xml:space="preserve"> </w:t>
      </w:r>
      <w:r>
        <w:rPr>
          <w:rFonts w:hint="default" w:ascii="Times New Roman" w:hAnsi="Times New Roman" w:eastAsia="宋体" w:cs="Times New Roman"/>
          <w:szCs w:val="21"/>
        </w:rPr>
        <w:t>肝病的Child</w:t>
      </w:r>
      <w:r>
        <w:rPr>
          <w:rFonts w:ascii="Times New Roman" w:hAnsi="Times New Roman" w:eastAsia="宋体" w:cs="Times New Roman"/>
          <w:szCs w:val="21"/>
        </w:rPr>
        <w:t>-Pugh</w:t>
      </w:r>
      <w:r>
        <w:rPr>
          <w:rFonts w:hint="default" w:ascii="Times New Roman" w:hAnsi="Times New Roman" w:eastAsia="宋体" w:cs="Times New Roman"/>
          <w:szCs w:val="21"/>
        </w:rPr>
        <w:t>分级</w:t>
      </w:r>
    </w:p>
    <w:tbl>
      <w:tblPr>
        <w:tblStyle w:val="13"/>
        <w:tblW w:w="8505"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701"/>
        <w:gridCol w:w="2268"/>
        <w:gridCol w:w="2253"/>
        <w:gridCol w:w="2283"/>
      </w:tblGrid>
      <w:tr w14:paraId="51B506C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431EFD4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检测项目</w:t>
            </w:r>
          </w:p>
        </w:tc>
        <w:tc>
          <w:tcPr>
            <w:tcW w:w="2268" w:type="dxa"/>
          </w:tcPr>
          <w:p w14:paraId="16E8040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w:t>
            </w:r>
          </w:p>
        </w:tc>
        <w:tc>
          <w:tcPr>
            <w:tcW w:w="2253" w:type="dxa"/>
          </w:tcPr>
          <w:p w14:paraId="5DF076C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B</w:t>
            </w:r>
          </w:p>
        </w:tc>
        <w:tc>
          <w:tcPr>
            <w:tcW w:w="2283" w:type="dxa"/>
          </w:tcPr>
          <w:p w14:paraId="6D0AC85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w:t>
            </w:r>
          </w:p>
        </w:tc>
      </w:tr>
      <w:tr w14:paraId="5987CCE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28D1D14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腹水</w:t>
            </w:r>
          </w:p>
        </w:tc>
        <w:tc>
          <w:tcPr>
            <w:tcW w:w="2268" w:type="dxa"/>
          </w:tcPr>
          <w:p w14:paraId="1456EB4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不明显（1分）</w:t>
            </w:r>
          </w:p>
        </w:tc>
        <w:tc>
          <w:tcPr>
            <w:tcW w:w="2253" w:type="dxa"/>
          </w:tcPr>
          <w:p w14:paraId="658D1C7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中度控制（2分）</w:t>
            </w:r>
          </w:p>
        </w:tc>
        <w:tc>
          <w:tcPr>
            <w:tcW w:w="2283" w:type="dxa"/>
          </w:tcPr>
          <w:p w14:paraId="718A165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控制差（3分）</w:t>
            </w:r>
          </w:p>
        </w:tc>
      </w:tr>
      <w:tr w14:paraId="40609E8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49CD079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营养状况</w:t>
            </w:r>
          </w:p>
        </w:tc>
        <w:tc>
          <w:tcPr>
            <w:tcW w:w="2268" w:type="dxa"/>
          </w:tcPr>
          <w:p w14:paraId="59A9433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营养状况好（1分）</w:t>
            </w:r>
          </w:p>
        </w:tc>
        <w:tc>
          <w:tcPr>
            <w:tcW w:w="2253" w:type="dxa"/>
          </w:tcPr>
          <w:p w14:paraId="4D84452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营养状况差（2分）</w:t>
            </w:r>
          </w:p>
        </w:tc>
        <w:tc>
          <w:tcPr>
            <w:tcW w:w="2283" w:type="dxa"/>
          </w:tcPr>
          <w:p w14:paraId="665E07D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营养状况很差（3分）</w:t>
            </w:r>
          </w:p>
        </w:tc>
      </w:tr>
      <w:tr w14:paraId="18F4816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55AF44F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肝性脑病</w:t>
            </w:r>
          </w:p>
        </w:tc>
        <w:tc>
          <w:tcPr>
            <w:tcW w:w="2268" w:type="dxa"/>
          </w:tcPr>
          <w:p w14:paraId="3FF584F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不明显（1分）</w:t>
            </w:r>
          </w:p>
        </w:tc>
        <w:tc>
          <w:tcPr>
            <w:tcW w:w="2253" w:type="dxa"/>
          </w:tcPr>
          <w:p w14:paraId="48FB7570">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1-2级（2分）</w:t>
            </w:r>
          </w:p>
        </w:tc>
        <w:tc>
          <w:tcPr>
            <w:tcW w:w="2283" w:type="dxa"/>
          </w:tcPr>
          <w:p w14:paraId="71D524DF">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3-4级（3分）</w:t>
            </w:r>
          </w:p>
        </w:tc>
      </w:tr>
      <w:tr w14:paraId="03A686F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77148EE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白蛋白</w:t>
            </w:r>
          </w:p>
        </w:tc>
        <w:tc>
          <w:tcPr>
            <w:tcW w:w="2268" w:type="dxa"/>
          </w:tcPr>
          <w:p w14:paraId="6ABB08E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&gt;</w:t>
            </w:r>
            <w:r>
              <w:rPr>
                <w:rFonts w:ascii="Times New Roman" w:hAnsi="Times New Roman" w:eastAsia="宋体" w:cs="Times New Roman"/>
                <w:sz w:val="21"/>
                <w:szCs w:val="21"/>
              </w:rPr>
              <w:t>35g/L(1</w:t>
            </w:r>
            <w:r>
              <w:rPr>
                <w:rFonts w:hint="default" w:ascii="Times New Roman" w:hAnsi="Times New Roman" w:eastAsia="宋体" w:cs="Times New Roman"/>
                <w:sz w:val="21"/>
                <w:szCs w:val="21"/>
              </w:rPr>
              <w:t>分</w:t>
            </w:r>
            <w:r>
              <w:rPr>
                <w:rFonts w:ascii="Times New Roman" w:hAnsi="Times New Roman" w:eastAsia="宋体" w:cs="Times New Roman"/>
                <w:sz w:val="21"/>
                <w:szCs w:val="21"/>
              </w:rPr>
              <w:t>)</w:t>
            </w:r>
          </w:p>
        </w:tc>
        <w:tc>
          <w:tcPr>
            <w:tcW w:w="2253" w:type="dxa"/>
          </w:tcPr>
          <w:p w14:paraId="2450C5B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30-35</w:t>
            </w:r>
            <w:r>
              <w:rPr>
                <w:rFonts w:ascii="Times New Roman" w:hAnsi="Times New Roman" w:eastAsia="宋体" w:cs="Times New Roman"/>
                <w:sz w:val="21"/>
                <w:szCs w:val="21"/>
              </w:rPr>
              <w:t>g/L(2</w:t>
            </w:r>
            <w:r>
              <w:rPr>
                <w:rFonts w:hint="default" w:ascii="Times New Roman" w:hAnsi="Times New Roman" w:eastAsia="宋体" w:cs="Times New Roman"/>
                <w:sz w:val="21"/>
                <w:szCs w:val="21"/>
              </w:rPr>
              <w:t>分</w:t>
            </w:r>
            <w:r>
              <w:rPr>
                <w:rFonts w:ascii="Times New Roman" w:hAnsi="Times New Roman" w:eastAsia="宋体" w:cs="Times New Roman"/>
                <w:sz w:val="21"/>
                <w:szCs w:val="21"/>
              </w:rPr>
              <w:t>)</w:t>
            </w:r>
          </w:p>
        </w:tc>
        <w:tc>
          <w:tcPr>
            <w:tcW w:w="2283" w:type="dxa"/>
          </w:tcPr>
          <w:p w14:paraId="49BD710B">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＜30g</w:t>
            </w:r>
            <w:r>
              <w:rPr>
                <w:rFonts w:ascii="Times New Roman" w:hAnsi="Times New Roman" w:eastAsia="宋体" w:cs="Times New Roman"/>
                <w:sz w:val="21"/>
                <w:szCs w:val="21"/>
              </w:rPr>
              <w:t>/L</w:t>
            </w:r>
            <w:r>
              <w:rPr>
                <w:rFonts w:hint="default" w:ascii="Times New Roman" w:hAnsi="Times New Roman" w:eastAsia="宋体" w:cs="Times New Roman"/>
                <w:sz w:val="21"/>
                <w:szCs w:val="21"/>
              </w:rPr>
              <w:t>（3分）</w:t>
            </w:r>
          </w:p>
        </w:tc>
      </w:tr>
      <w:tr w14:paraId="0E451C6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26958981">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胆红素</w:t>
            </w:r>
          </w:p>
        </w:tc>
        <w:tc>
          <w:tcPr>
            <w:tcW w:w="2268" w:type="dxa"/>
          </w:tcPr>
          <w:p w14:paraId="51C8DB6D">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＜34</w:t>
            </w:r>
            <w:r>
              <w:rPr>
                <w:rFonts w:ascii="Times New Roman" w:hAnsi="Times New Roman" w:eastAsia="宋体" w:cs="Times New Roman"/>
                <w:sz w:val="21"/>
                <w:szCs w:val="21"/>
              </w:rPr>
              <w:t>umol/L</w:t>
            </w:r>
          </w:p>
        </w:tc>
        <w:tc>
          <w:tcPr>
            <w:tcW w:w="2253" w:type="dxa"/>
          </w:tcPr>
          <w:p w14:paraId="2196BBF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34-51</w:t>
            </w:r>
            <w:r>
              <w:rPr>
                <w:rFonts w:ascii="Times New Roman" w:hAnsi="Times New Roman" w:eastAsia="宋体" w:cs="Times New Roman"/>
                <w:sz w:val="21"/>
                <w:szCs w:val="21"/>
              </w:rPr>
              <w:t xml:space="preserve"> umol/L</w:t>
            </w:r>
            <w:r>
              <w:rPr>
                <w:rFonts w:hint="default" w:ascii="Times New Roman" w:hAnsi="Times New Roman" w:eastAsia="宋体" w:cs="Times New Roman"/>
                <w:sz w:val="21"/>
                <w:szCs w:val="21"/>
              </w:rPr>
              <w:t>（2分）</w:t>
            </w:r>
          </w:p>
        </w:tc>
        <w:tc>
          <w:tcPr>
            <w:tcW w:w="2283" w:type="dxa"/>
          </w:tcPr>
          <w:p w14:paraId="2EB5C4A1">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&gt;51</w:t>
            </w:r>
            <w:r>
              <w:rPr>
                <w:rFonts w:ascii="Times New Roman" w:hAnsi="Times New Roman" w:eastAsia="宋体" w:cs="Times New Roman"/>
                <w:sz w:val="21"/>
                <w:szCs w:val="21"/>
              </w:rPr>
              <w:t xml:space="preserve"> umol/L</w:t>
            </w:r>
            <w:r>
              <w:rPr>
                <w:rFonts w:hint="default" w:ascii="Times New Roman" w:hAnsi="Times New Roman" w:eastAsia="宋体" w:cs="Times New Roman"/>
                <w:sz w:val="21"/>
                <w:szCs w:val="21"/>
              </w:rPr>
              <w:t>（3分）</w:t>
            </w:r>
          </w:p>
        </w:tc>
      </w:tr>
      <w:tr w14:paraId="1B0D122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0C601D1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凝血酶原时间</w:t>
            </w:r>
          </w:p>
        </w:tc>
        <w:tc>
          <w:tcPr>
            <w:tcW w:w="2268" w:type="dxa"/>
          </w:tcPr>
          <w:p w14:paraId="5E4914F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w:t>
            </w:r>
            <w:r>
              <w:rPr>
                <w:rFonts w:ascii="Times New Roman" w:hAnsi="Times New Roman" w:eastAsia="宋体" w:cs="Times New Roman"/>
                <w:sz w:val="21"/>
                <w:szCs w:val="21"/>
              </w:rPr>
              <w:t>s</w:t>
            </w:r>
            <w:r>
              <w:rPr>
                <w:rFonts w:hint="default" w:ascii="Times New Roman" w:hAnsi="Times New Roman" w:eastAsia="宋体" w:cs="Times New Roman"/>
                <w:sz w:val="21"/>
                <w:szCs w:val="21"/>
              </w:rPr>
              <w:t>对照（1分）</w:t>
            </w:r>
          </w:p>
        </w:tc>
        <w:tc>
          <w:tcPr>
            <w:tcW w:w="2253" w:type="dxa"/>
          </w:tcPr>
          <w:p w14:paraId="34B5E2C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4-6</w:t>
            </w:r>
            <w:r>
              <w:rPr>
                <w:rFonts w:ascii="Times New Roman" w:hAnsi="Times New Roman" w:eastAsia="宋体" w:cs="Times New Roman"/>
                <w:sz w:val="21"/>
                <w:szCs w:val="21"/>
              </w:rPr>
              <w:t>s</w:t>
            </w:r>
            <w:r>
              <w:rPr>
                <w:rFonts w:hint="default" w:ascii="Times New Roman" w:hAnsi="Times New Roman" w:eastAsia="宋体" w:cs="Times New Roman"/>
                <w:sz w:val="21"/>
                <w:szCs w:val="21"/>
              </w:rPr>
              <w:t>&gt;对照（2分）</w:t>
            </w:r>
          </w:p>
        </w:tc>
        <w:tc>
          <w:tcPr>
            <w:tcW w:w="2283" w:type="dxa"/>
          </w:tcPr>
          <w:p w14:paraId="40C9DC16">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&gt;6s&gt;对照（3分）</w:t>
            </w:r>
          </w:p>
        </w:tc>
      </w:tr>
      <w:tr w14:paraId="56ECEED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5F7D698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I</w:t>
            </w:r>
            <w:r>
              <w:rPr>
                <w:rFonts w:ascii="Times New Roman" w:hAnsi="Times New Roman" w:eastAsia="宋体" w:cs="Times New Roman"/>
                <w:sz w:val="21"/>
                <w:szCs w:val="21"/>
              </w:rPr>
              <w:t>NR</w:t>
            </w:r>
          </w:p>
        </w:tc>
        <w:tc>
          <w:tcPr>
            <w:tcW w:w="2268" w:type="dxa"/>
          </w:tcPr>
          <w:p w14:paraId="694675A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r>
              <w:rPr>
                <w:rFonts w:ascii="Times New Roman" w:hAnsi="Times New Roman" w:eastAsia="宋体" w:cs="Times New Roman"/>
                <w:sz w:val="21"/>
                <w:szCs w:val="21"/>
              </w:rPr>
              <w:t>.7</w:t>
            </w:r>
            <w:r>
              <w:rPr>
                <w:rFonts w:hint="default" w:ascii="Times New Roman" w:hAnsi="Times New Roman" w:eastAsia="宋体" w:cs="Times New Roman"/>
                <w:sz w:val="21"/>
                <w:szCs w:val="21"/>
              </w:rPr>
              <w:t>（1分）</w:t>
            </w:r>
          </w:p>
        </w:tc>
        <w:tc>
          <w:tcPr>
            <w:tcW w:w="2253" w:type="dxa"/>
          </w:tcPr>
          <w:p w14:paraId="4F1D3D9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r>
              <w:rPr>
                <w:rFonts w:ascii="Times New Roman" w:hAnsi="Times New Roman" w:eastAsia="宋体" w:cs="Times New Roman"/>
                <w:sz w:val="21"/>
                <w:szCs w:val="21"/>
              </w:rPr>
              <w:t>.7-2.2(2</w:t>
            </w:r>
            <w:r>
              <w:rPr>
                <w:rFonts w:hint="default" w:ascii="Times New Roman" w:hAnsi="Times New Roman" w:eastAsia="宋体" w:cs="Times New Roman"/>
                <w:sz w:val="21"/>
                <w:szCs w:val="21"/>
              </w:rPr>
              <w:t>分</w:t>
            </w:r>
            <w:r>
              <w:rPr>
                <w:rFonts w:ascii="Times New Roman" w:hAnsi="Times New Roman" w:eastAsia="宋体" w:cs="Times New Roman"/>
                <w:sz w:val="21"/>
                <w:szCs w:val="21"/>
              </w:rPr>
              <w:t>)</w:t>
            </w:r>
          </w:p>
        </w:tc>
        <w:tc>
          <w:tcPr>
            <w:tcW w:w="2283" w:type="dxa"/>
          </w:tcPr>
          <w:p w14:paraId="2FCFEE1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&gt;2.2（3分）</w:t>
            </w:r>
          </w:p>
        </w:tc>
      </w:tr>
      <w:tr w14:paraId="53322E3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1701" w:type="dxa"/>
          </w:tcPr>
          <w:p w14:paraId="5A92D6AA">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总分</w:t>
            </w:r>
          </w:p>
        </w:tc>
        <w:tc>
          <w:tcPr>
            <w:tcW w:w="2268" w:type="dxa"/>
          </w:tcPr>
          <w:p w14:paraId="4E42129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6分</w:t>
            </w:r>
          </w:p>
        </w:tc>
        <w:tc>
          <w:tcPr>
            <w:tcW w:w="2253" w:type="dxa"/>
          </w:tcPr>
          <w:p w14:paraId="57CF4A92">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7-12分</w:t>
            </w:r>
          </w:p>
        </w:tc>
        <w:tc>
          <w:tcPr>
            <w:tcW w:w="2283" w:type="dxa"/>
          </w:tcPr>
          <w:p w14:paraId="466CB39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13-18分</w:t>
            </w:r>
          </w:p>
        </w:tc>
      </w:tr>
    </w:tbl>
    <w:p w14:paraId="51A2016F">
      <w:pPr>
        <w:ind w:firstLine="0" w:firstLineChars="0"/>
        <w:jc w:val="left"/>
        <w:rPr>
          <w:rFonts w:hint="eastAsia" w:ascii="黑体" w:hAnsi="黑体" w:eastAsia="黑体" w:cs="黑体"/>
          <w:bCs/>
          <w:szCs w:val="21"/>
        </w:rPr>
      </w:pPr>
      <w:r>
        <w:rPr>
          <w:rFonts w:hint="eastAsia" w:ascii="黑体" w:hAnsi="黑体" w:eastAsia="黑体" w:cs="黑体"/>
          <w:bCs/>
          <w:szCs w:val="21"/>
        </w:rPr>
        <w:t>5.8.4 肾功能评估</w:t>
      </w:r>
    </w:p>
    <w:p w14:paraId="4F1DD232">
      <w:pPr>
        <w:ind w:firstLine="420" w:firstLineChars="200"/>
        <w:jc w:val="both"/>
        <w:rPr>
          <w:rFonts w:hint="default" w:ascii="Times New Roman" w:hAnsi="Times New Roman" w:eastAsia="宋体" w:cs="Times New Roman"/>
        </w:rPr>
      </w:pPr>
      <w:r>
        <w:rPr>
          <w:rFonts w:hint="default" w:ascii="Times New Roman" w:hAnsi="Times New Roman" w:eastAsia="宋体" w:cs="Times New Roman"/>
        </w:rPr>
        <w:t>随着年龄增长，肾血流减少，</w:t>
      </w:r>
      <w:bookmarkStart w:id="19" w:name="_Hlk207433633"/>
      <w:r>
        <w:rPr>
          <w:rFonts w:hint="default" w:ascii="Times New Roman" w:hAnsi="Times New Roman" w:eastAsia="宋体" w:cs="Times New Roman"/>
        </w:rPr>
        <w:t>肾小球滤过率（</w:t>
      </w:r>
      <w:r>
        <w:rPr>
          <w:rFonts w:ascii="Times New Roman" w:hAnsi="Times New Roman" w:eastAsia="宋体" w:cs="Times New Roman"/>
        </w:rPr>
        <w:t>glomerular filtration rate，GFR）</w:t>
      </w:r>
      <w:bookmarkEnd w:id="19"/>
      <w:r>
        <w:rPr>
          <w:rFonts w:hint="default" w:ascii="Times New Roman" w:hAnsi="Times New Roman" w:eastAsia="宋体" w:cs="Times New Roman"/>
        </w:rPr>
        <w:t>降低</w:t>
      </w:r>
      <w:r>
        <w:rPr>
          <w:rFonts w:ascii="Times New Roman" w:hAnsi="Times New Roman" w:eastAsia="宋体" w:cs="Times New Roman"/>
        </w:rPr>
        <w:t>，肾小管功能减退，肾脏储备功能下降，降低了老年人对各种生理及病理超负荷状态的耐受力。另外，肾脏的内分泌功能和药物排泄能力也随年龄增长而减退。</w:t>
      </w:r>
      <w:r>
        <w:rPr>
          <w:rFonts w:hint="default" w:ascii="Times New Roman" w:hAnsi="Times New Roman" w:eastAsia="宋体" w:cs="Times New Roman"/>
        </w:rPr>
        <w:t>老年人围术期肾功能损伤分为两种情况：</w:t>
      </w:r>
    </w:p>
    <w:p w14:paraId="46159DF5">
      <w:pPr>
        <w:ind w:firstLine="420" w:firstLineChars="200"/>
        <w:jc w:val="both"/>
        <w:rPr>
          <w:rFonts w:hint="default"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w:instrText>
      </w:r>
      <w:r>
        <w:rPr>
          <w:rFonts w:hint="default" w:ascii="Times New Roman" w:hAnsi="Times New Roman" w:eastAsia="宋体" w:cs="Times New Roman"/>
        </w:rPr>
        <w:instrText xml:space="preserve">= 1 \* GB3</w:instrText>
      </w:r>
      <w:r>
        <w:rPr>
          <w:rFonts w:ascii="Times New Roman" w:hAnsi="Times New Roman" w:eastAsia="宋体" w:cs="Times New Roman"/>
        </w:rPr>
        <w:instrText xml:space="preserve"> </w:instrText>
      </w:r>
      <w:r>
        <w:rPr>
          <w:rFonts w:ascii="Times New Roman" w:hAnsi="Times New Roman" w:eastAsia="宋体" w:cs="Times New Roman"/>
        </w:rPr>
        <w:fldChar w:fldCharType="separate"/>
      </w:r>
      <w:r>
        <w:rPr>
          <w:rFonts w:hint="default" w:ascii="Cambria Math" w:hAnsi="Cambria Math" w:eastAsia="宋体" w:cs="Cambria Math"/>
        </w:rPr>
        <w:t>①</w:t>
      </w:r>
      <w:r>
        <w:rPr>
          <w:rFonts w:ascii="Times New Roman" w:hAnsi="Times New Roman" w:eastAsia="宋体" w:cs="Times New Roman"/>
        </w:rPr>
        <w:fldChar w:fldCharType="end"/>
      </w:r>
      <w:r>
        <w:rPr>
          <w:rFonts w:hint="default" w:ascii="Times New Roman" w:hAnsi="Times New Roman" w:eastAsia="宋体" w:cs="Times New Roman"/>
        </w:rPr>
        <w:t>既往慢性肾脏病，慢性肾脏病（Chronic</w:t>
      </w:r>
      <w:r>
        <w:rPr>
          <w:rFonts w:ascii="Times New Roman" w:hAnsi="Times New Roman" w:eastAsia="宋体" w:cs="Times New Roman"/>
        </w:rPr>
        <w:t xml:space="preserve"> kidney disease, </w:t>
      </w:r>
      <w:r>
        <w:rPr>
          <w:rFonts w:hint="default" w:ascii="Times New Roman" w:hAnsi="Times New Roman" w:eastAsia="宋体" w:cs="Times New Roman"/>
        </w:rPr>
        <w:t>C</w:t>
      </w:r>
      <w:r>
        <w:rPr>
          <w:rFonts w:ascii="Times New Roman" w:hAnsi="Times New Roman" w:eastAsia="宋体" w:cs="Times New Roman"/>
        </w:rPr>
        <w:t>KD</w:t>
      </w:r>
      <w:r>
        <w:rPr>
          <w:rFonts w:hint="default" w:ascii="Times New Roman" w:hAnsi="Times New Roman" w:eastAsia="宋体" w:cs="Times New Roman"/>
        </w:rPr>
        <w:t>）在麻醉及手术刺激下有可能合并出现急性肾功能损伤，在术前评估中，早期发现和评估肾功能至关重要。慢性肾功能评估主要根据临床表现和实验室检查。大多数慢C</w:t>
      </w:r>
      <w:r>
        <w:rPr>
          <w:rFonts w:ascii="Times New Roman" w:hAnsi="Times New Roman" w:eastAsia="宋体" w:cs="Times New Roman"/>
        </w:rPr>
        <w:t>KD</w:t>
      </w:r>
      <w:r>
        <w:rPr>
          <w:rFonts w:hint="default" w:ascii="Times New Roman" w:hAnsi="Times New Roman" w:eastAsia="宋体" w:cs="Times New Roman"/>
        </w:rPr>
        <w:t>患者无症状，当出现眼睑、面部或下肢肿胀、尿量减少，血尿或棕色尿、排尿困难等，应排查是否存在肾功能受损。实验室检查主要包括血肌酐、胱抑素、G</w:t>
      </w:r>
      <w:r>
        <w:rPr>
          <w:rFonts w:ascii="Times New Roman" w:hAnsi="Times New Roman" w:eastAsia="宋体" w:cs="Times New Roman"/>
        </w:rPr>
        <w:t>FR</w:t>
      </w:r>
      <w:r>
        <w:rPr>
          <w:rFonts w:hint="default" w:ascii="Times New Roman" w:hAnsi="Times New Roman" w:eastAsia="宋体" w:cs="Times New Roman"/>
        </w:rPr>
        <w:t>、尿蛋白等指标。</w:t>
      </w:r>
      <w:r>
        <w:rPr>
          <w:rFonts w:ascii="Times New Roman" w:hAnsi="Times New Roman" w:eastAsia="宋体" w:cs="Times New Roman"/>
        </w:rPr>
        <w:t>KDIGO（肾脏病改善全球预后）指南</w:t>
      </w:r>
      <w:r>
        <w:rPr>
          <w:rFonts w:hint="default" w:ascii="Times New Roman" w:hAnsi="Times New Roman" w:eastAsia="宋体" w:cs="Times New Roman"/>
        </w:rPr>
        <w:t>将</w:t>
      </w:r>
      <w:r>
        <w:rPr>
          <w:rFonts w:ascii="Times New Roman" w:hAnsi="Times New Roman" w:eastAsia="宋体" w:cs="Times New Roman"/>
        </w:rPr>
        <w:t>CKD</w:t>
      </w:r>
      <w:r>
        <w:rPr>
          <w:rFonts w:hint="default" w:ascii="Times New Roman" w:hAnsi="Times New Roman" w:eastAsia="宋体" w:cs="Times New Roman"/>
        </w:rPr>
        <w:t>的相关预后风险评估根据</w:t>
      </w:r>
      <w:r>
        <w:rPr>
          <w:rFonts w:ascii="Times New Roman" w:hAnsi="Times New Roman" w:eastAsia="宋体" w:cs="Times New Roman"/>
        </w:rPr>
        <w:t>GFR</w:t>
      </w:r>
      <w:r>
        <w:rPr>
          <w:rFonts w:hint="default" w:ascii="Times New Roman" w:hAnsi="Times New Roman" w:eastAsia="宋体" w:cs="Times New Roman"/>
        </w:rPr>
        <w:t>及蛋白尿情况作为划分依据，具体如下（表11）：</w:t>
      </w:r>
    </w:p>
    <w:p w14:paraId="46599905">
      <w:pPr>
        <w:ind w:firstLine="420" w:firstLineChars="200"/>
        <w:jc w:val="center"/>
        <w:rPr>
          <w:rFonts w:hint="default" w:ascii="Times New Roman" w:hAnsi="Times New Roman" w:eastAsia="宋体" w:cs="Times New Roman"/>
        </w:rPr>
      </w:pPr>
      <w:r>
        <w:rPr>
          <w:rFonts w:hint="default" w:ascii="Times New Roman" w:hAnsi="Times New Roman" w:eastAsia="宋体" w:cs="Times New Roman"/>
        </w:rPr>
        <w:t>表12</w:t>
      </w:r>
      <w:r>
        <w:rPr>
          <w:rFonts w:ascii="Times New Roman" w:hAnsi="Times New Roman" w:eastAsia="宋体" w:cs="Times New Roman"/>
        </w:rPr>
        <w:t xml:space="preserve"> </w:t>
      </w:r>
      <w:r>
        <w:rPr>
          <w:rFonts w:hint="default" w:ascii="Times New Roman" w:hAnsi="Times New Roman" w:eastAsia="宋体" w:cs="Times New Roman"/>
        </w:rPr>
        <w:t>慢性肾脏病预后风险评估</w:t>
      </w:r>
    </w:p>
    <w:tbl>
      <w:tblPr>
        <w:tblStyle w:val="13"/>
        <w:tblW w:w="8395"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215"/>
        <w:gridCol w:w="592"/>
        <w:gridCol w:w="936"/>
        <w:gridCol w:w="710"/>
        <w:gridCol w:w="1199"/>
        <w:gridCol w:w="1418"/>
        <w:gridCol w:w="1325"/>
      </w:tblGrid>
      <w:tr w14:paraId="7EDE8AB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557" w:hRule="atLeast"/>
        </w:trPr>
        <w:tc>
          <w:tcPr>
            <w:tcW w:w="4394" w:type="dxa"/>
            <w:gridSpan w:val="4"/>
            <w:vMerge w:val="restart"/>
          </w:tcPr>
          <w:p w14:paraId="7650268F">
            <w:pPr>
              <w:spacing w:before="240" w:line="8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w:t>
            </w:r>
            <w:r>
              <w:rPr>
                <w:rFonts w:ascii="Times New Roman" w:hAnsi="Times New Roman" w:eastAsia="宋体" w:cs="Times New Roman"/>
                <w:sz w:val="21"/>
                <w:szCs w:val="21"/>
              </w:rPr>
              <w:t>KD</w:t>
            </w:r>
            <w:r>
              <w:rPr>
                <w:rFonts w:hint="default" w:ascii="Times New Roman" w:hAnsi="Times New Roman" w:eastAsia="宋体" w:cs="Times New Roman"/>
                <w:sz w:val="21"/>
                <w:szCs w:val="21"/>
              </w:rPr>
              <w:t>预后风险评估</w:t>
            </w:r>
          </w:p>
        </w:tc>
        <w:tc>
          <w:tcPr>
            <w:tcW w:w="4001" w:type="dxa"/>
            <w:gridSpan w:val="3"/>
          </w:tcPr>
          <w:p w14:paraId="7BE442AB">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持续蛋白尿分层</w:t>
            </w:r>
          </w:p>
        </w:tc>
      </w:tr>
      <w:tr w14:paraId="790C529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4394" w:type="dxa"/>
            <w:gridSpan w:val="4"/>
            <w:vMerge w:val="continue"/>
          </w:tcPr>
          <w:p w14:paraId="3A7D4ECD">
            <w:pPr>
              <w:jc w:val="center"/>
              <w:rPr>
                <w:rFonts w:hint="default" w:ascii="Times New Roman" w:hAnsi="Times New Roman" w:eastAsia="宋体" w:cs="Times New Roman"/>
                <w:sz w:val="21"/>
                <w:szCs w:val="21"/>
              </w:rPr>
            </w:pPr>
          </w:p>
        </w:tc>
        <w:tc>
          <w:tcPr>
            <w:tcW w:w="1218" w:type="dxa"/>
          </w:tcPr>
          <w:p w14:paraId="7444D5BA">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w:t>
            </w:r>
            <w:r>
              <w:rPr>
                <w:rFonts w:ascii="Times New Roman" w:hAnsi="Times New Roman" w:eastAsia="宋体" w:cs="Times New Roman"/>
                <w:sz w:val="21"/>
                <w:szCs w:val="21"/>
              </w:rPr>
              <w:t>1</w:t>
            </w:r>
          </w:p>
        </w:tc>
        <w:tc>
          <w:tcPr>
            <w:tcW w:w="1367" w:type="dxa"/>
          </w:tcPr>
          <w:p w14:paraId="0FC836CF">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w:t>
            </w:r>
            <w:r>
              <w:rPr>
                <w:rFonts w:ascii="Times New Roman" w:hAnsi="Times New Roman" w:eastAsia="宋体" w:cs="Times New Roman"/>
                <w:sz w:val="21"/>
                <w:szCs w:val="21"/>
              </w:rPr>
              <w:t>2</w:t>
            </w:r>
          </w:p>
        </w:tc>
        <w:tc>
          <w:tcPr>
            <w:tcW w:w="1415" w:type="dxa"/>
          </w:tcPr>
          <w:p w14:paraId="0EEB6EF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w:t>
            </w:r>
            <w:r>
              <w:rPr>
                <w:rFonts w:ascii="Times New Roman" w:hAnsi="Times New Roman" w:eastAsia="宋体" w:cs="Times New Roman"/>
                <w:sz w:val="21"/>
                <w:szCs w:val="21"/>
              </w:rPr>
              <w:t>3</w:t>
            </w:r>
          </w:p>
        </w:tc>
      </w:tr>
      <w:tr w14:paraId="04AB916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4394" w:type="dxa"/>
            <w:gridSpan w:val="4"/>
            <w:vMerge w:val="continue"/>
          </w:tcPr>
          <w:p w14:paraId="68CA5847">
            <w:pPr>
              <w:jc w:val="center"/>
              <w:rPr>
                <w:rFonts w:hint="default" w:ascii="Times New Roman" w:hAnsi="Times New Roman" w:eastAsia="宋体" w:cs="Times New Roman"/>
                <w:sz w:val="21"/>
                <w:szCs w:val="21"/>
              </w:rPr>
            </w:pPr>
          </w:p>
        </w:tc>
        <w:tc>
          <w:tcPr>
            <w:tcW w:w="1218" w:type="dxa"/>
          </w:tcPr>
          <w:p w14:paraId="35A996C0">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正常至轻度升高</w:t>
            </w:r>
          </w:p>
        </w:tc>
        <w:tc>
          <w:tcPr>
            <w:tcW w:w="1367" w:type="dxa"/>
          </w:tcPr>
          <w:p w14:paraId="4609205C">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中度升高</w:t>
            </w:r>
          </w:p>
        </w:tc>
        <w:tc>
          <w:tcPr>
            <w:tcW w:w="1415" w:type="dxa"/>
          </w:tcPr>
          <w:p w14:paraId="672B56BD">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重度升高</w:t>
            </w:r>
          </w:p>
        </w:tc>
      </w:tr>
      <w:tr w14:paraId="6A8A9FF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4394" w:type="dxa"/>
            <w:gridSpan w:val="4"/>
            <w:vMerge w:val="continue"/>
          </w:tcPr>
          <w:p w14:paraId="44F55F0D">
            <w:pPr>
              <w:jc w:val="center"/>
              <w:rPr>
                <w:rFonts w:hint="default" w:ascii="Times New Roman" w:hAnsi="Times New Roman" w:eastAsia="宋体" w:cs="Times New Roman"/>
                <w:sz w:val="21"/>
                <w:szCs w:val="21"/>
              </w:rPr>
            </w:pPr>
          </w:p>
        </w:tc>
        <w:tc>
          <w:tcPr>
            <w:tcW w:w="1218" w:type="dxa"/>
          </w:tcPr>
          <w:p w14:paraId="144C58A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w:t>
            </w:r>
            <w:r>
              <w:rPr>
                <w:rFonts w:ascii="Times New Roman" w:hAnsi="Times New Roman" w:eastAsia="宋体" w:cs="Times New Roman"/>
                <w:sz w:val="21"/>
                <w:szCs w:val="21"/>
              </w:rPr>
              <w:t>mg/g</w:t>
            </w:r>
          </w:p>
          <w:p w14:paraId="4FF0E95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r>
              <w:rPr>
                <w:rFonts w:ascii="Times New Roman" w:hAnsi="Times New Roman" w:eastAsia="宋体" w:cs="Times New Roman"/>
                <w:sz w:val="21"/>
                <w:szCs w:val="21"/>
              </w:rPr>
              <w:t>mg/mmol</w:t>
            </w:r>
          </w:p>
        </w:tc>
        <w:tc>
          <w:tcPr>
            <w:tcW w:w="1367" w:type="dxa"/>
          </w:tcPr>
          <w:p w14:paraId="683461B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w:t>
            </w:r>
            <w:r>
              <w:rPr>
                <w:rFonts w:ascii="Times New Roman" w:hAnsi="Times New Roman" w:eastAsia="宋体" w:cs="Times New Roman"/>
                <w:sz w:val="21"/>
                <w:szCs w:val="21"/>
              </w:rPr>
              <w:t>-300mg/g</w:t>
            </w:r>
          </w:p>
          <w:p w14:paraId="3C9531F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r>
              <w:rPr>
                <w:rFonts w:ascii="Times New Roman" w:hAnsi="Times New Roman" w:eastAsia="宋体" w:cs="Times New Roman"/>
                <w:sz w:val="21"/>
                <w:szCs w:val="21"/>
              </w:rPr>
              <w:t>-30mg/mmol</w:t>
            </w:r>
          </w:p>
        </w:tc>
        <w:tc>
          <w:tcPr>
            <w:tcW w:w="1415" w:type="dxa"/>
          </w:tcPr>
          <w:p w14:paraId="42A9FEE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＞300</w:t>
            </w:r>
            <w:r>
              <w:rPr>
                <w:rFonts w:ascii="Times New Roman" w:hAnsi="Times New Roman" w:eastAsia="宋体" w:cs="Times New Roman"/>
                <w:sz w:val="21"/>
                <w:szCs w:val="21"/>
              </w:rPr>
              <w:t xml:space="preserve"> mg/g</w:t>
            </w:r>
          </w:p>
          <w:p w14:paraId="0EA4FD00">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w:t>
            </w:r>
            <w:r>
              <w:rPr>
                <w:rFonts w:ascii="Times New Roman" w:hAnsi="Times New Roman" w:eastAsia="宋体" w:cs="Times New Roman"/>
                <w:sz w:val="21"/>
                <w:szCs w:val="21"/>
              </w:rPr>
              <w:t xml:space="preserve"> mg/mmol</w:t>
            </w:r>
          </w:p>
        </w:tc>
      </w:tr>
      <w:tr w14:paraId="4D69A5B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1133" w:hRule="atLeast"/>
        </w:trPr>
        <w:tc>
          <w:tcPr>
            <w:tcW w:w="1989" w:type="dxa"/>
            <w:vMerge w:val="restart"/>
            <w:vAlign w:val="center"/>
          </w:tcPr>
          <w:p w14:paraId="3222EB86">
            <w:pPr>
              <w:spacing w:line="72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w:t>
            </w:r>
            <w:r>
              <w:rPr>
                <w:rFonts w:ascii="Times New Roman" w:hAnsi="Times New Roman" w:eastAsia="宋体" w:cs="Times New Roman"/>
                <w:sz w:val="21"/>
                <w:szCs w:val="21"/>
              </w:rPr>
              <w:t>FR</w:t>
            </w:r>
            <w:r>
              <w:rPr>
                <w:rFonts w:hint="default" w:ascii="Times New Roman" w:hAnsi="Times New Roman" w:eastAsia="宋体" w:cs="Times New Roman"/>
                <w:sz w:val="21"/>
                <w:szCs w:val="21"/>
              </w:rPr>
              <w:t>[ml</w:t>
            </w:r>
            <w:r>
              <w:rPr>
                <w:rFonts w:ascii="Times New Roman" w:hAnsi="Times New Roman" w:eastAsia="宋体" w:cs="Times New Roman"/>
                <w:sz w:val="21"/>
                <w:szCs w:val="21"/>
              </w:rPr>
              <w:t>/(min</w:t>
            </w:r>
            <w:r>
              <w:rPr>
                <w:rFonts w:hint="default" w:ascii="Times New Roman" w:hAnsi="Times New Roman" w:eastAsia="宋体" w:cs="Times New Roman"/>
                <w:sz w:val="21"/>
                <w:szCs w:val="21"/>
              </w:rPr>
              <w:t>*</w:t>
            </w:r>
            <w:r>
              <w:rPr>
                <w:rFonts w:ascii="Times New Roman" w:hAnsi="Times New Roman" w:eastAsia="宋体" w:cs="Times New Roman"/>
                <w:sz w:val="21"/>
                <w:szCs w:val="21"/>
              </w:rPr>
              <w:t>1.73m</w:t>
            </w:r>
            <w:r>
              <w:rPr>
                <w:rFonts w:ascii="Times New Roman" w:hAnsi="Times New Roman" w:eastAsia="宋体" w:cs="Times New Roman"/>
                <w:sz w:val="21"/>
                <w:szCs w:val="21"/>
                <w:vertAlign w:val="superscript"/>
              </w:rPr>
              <w:t>2</w:t>
            </w:r>
            <w:r>
              <w:rPr>
                <w:rFonts w:hint="default" w:ascii="Times New Roman" w:hAnsi="Times New Roman" w:eastAsia="宋体" w:cs="Times New Roman"/>
                <w:sz w:val="21"/>
                <w:szCs w:val="21"/>
              </w:rPr>
              <w:t>)]</w:t>
            </w:r>
          </w:p>
        </w:tc>
        <w:tc>
          <w:tcPr>
            <w:tcW w:w="597" w:type="dxa"/>
          </w:tcPr>
          <w:p w14:paraId="00B2538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G1</w:t>
            </w:r>
          </w:p>
        </w:tc>
        <w:tc>
          <w:tcPr>
            <w:tcW w:w="1097" w:type="dxa"/>
          </w:tcPr>
          <w:p w14:paraId="543AAEA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正常或偏高</w:t>
            </w:r>
          </w:p>
        </w:tc>
        <w:tc>
          <w:tcPr>
            <w:tcW w:w="709" w:type="dxa"/>
          </w:tcPr>
          <w:p w14:paraId="6A4AB28D">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218" w:type="dxa"/>
          </w:tcPr>
          <w:p w14:paraId="4EB0C2E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低危</w:t>
            </w:r>
          </w:p>
        </w:tc>
        <w:tc>
          <w:tcPr>
            <w:tcW w:w="1367" w:type="dxa"/>
          </w:tcPr>
          <w:p w14:paraId="6E31350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中危</w:t>
            </w:r>
          </w:p>
        </w:tc>
        <w:tc>
          <w:tcPr>
            <w:tcW w:w="1415" w:type="dxa"/>
          </w:tcPr>
          <w:p w14:paraId="70CB96EB">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高危</w:t>
            </w:r>
          </w:p>
        </w:tc>
      </w:tr>
      <w:tr w14:paraId="59FC1D7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1989" w:type="dxa"/>
            <w:vMerge w:val="continue"/>
          </w:tcPr>
          <w:p w14:paraId="69063590">
            <w:pPr>
              <w:jc w:val="center"/>
              <w:rPr>
                <w:rFonts w:hint="default" w:ascii="Times New Roman" w:hAnsi="Times New Roman" w:eastAsia="宋体" w:cs="Times New Roman"/>
                <w:sz w:val="21"/>
                <w:szCs w:val="21"/>
              </w:rPr>
            </w:pPr>
          </w:p>
        </w:tc>
        <w:tc>
          <w:tcPr>
            <w:tcW w:w="597" w:type="dxa"/>
          </w:tcPr>
          <w:p w14:paraId="2E41D358">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w:t>
            </w:r>
            <w:r>
              <w:rPr>
                <w:rFonts w:ascii="Times New Roman" w:hAnsi="Times New Roman" w:eastAsia="宋体" w:cs="Times New Roman"/>
                <w:sz w:val="21"/>
                <w:szCs w:val="21"/>
              </w:rPr>
              <w:t>2</w:t>
            </w:r>
          </w:p>
        </w:tc>
        <w:tc>
          <w:tcPr>
            <w:tcW w:w="1097" w:type="dxa"/>
          </w:tcPr>
          <w:p w14:paraId="2E559E60">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轻度下降</w:t>
            </w:r>
          </w:p>
        </w:tc>
        <w:tc>
          <w:tcPr>
            <w:tcW w:w="709" w:type="dxa"/>
          </w:tcPr>
          <w:p w14:paraId="25A9A6B0">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60-89</w:t>
            </w:r>
          </w:p>
        </w:tc>
        <w:tc>
          <w:tcPr>
            <w:tcW w:w="1218" w:type="dxa"/>
          </w:tcPr>
          <w:p w14:paraId="786C714B">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低危</w:t>
            </w:r>
          </w:p>
        </w:tc>
        <w:tc>
          <w:tcPr>
            <w:tcW w:w="1367" w:type="dxa"/>
          </w:tcPr>
          <w:p w14:paraId="734355C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中危</w:t>
            </w:r>
          </w:p>
        </w:tc>
        <w:tc>
          <w:tcPr>
            <w:tcW w:w="1415" w:type="dxa"/>
          </w:tcPr>
          <w:p w14:paraId="793DFC1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高危</w:t>
            </w:r>
          </w:p>
        </w:tc>
      </w:tr>
      <w:tr w14:paraId="408AD02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1989" w:type="dxa"/>
            <w:vMerge w:val="continue"/>
          </w:tcPr>
          <w:p w14:paraId="38038A31">
            <w:pPr>
              <w:jc w:val="center"/>
              <w:rPr>
                <w:rFonts w:hint="default" w:ascii="Times New Roman" w:hAnsi="Times New Roman" w:eastAsia="宋体" w:cs="Times New Roman"/>
                <w:sz w:val="21"/>
                <w:szCs w:val="21"/>
              </w:rPr>
            </w:pPr>
          </w:p>
        </w:tc>
        <w:tc>
          <w:tcPr>
            <w:tcW w:w="597" w:type="dxa"/>
          </w:tcPr>
          <w:p w14:paraId="7AD94E77">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w:t>
            </w:r>
            <w:r>
              <w:rPr>
                <w:rFonts w:ascii="Times New Roman" w:hAnsi="Times New Roman" w:eastAsia="宋体" w:cs="Times New Roman"/>
                <w:sz w:val="21"/>
                <w:szCs w:val="21"/>
              </w:rPr>
              <w:t>3a</w:t>
            </w:r>
          </w:p>
        </w:tc>
        <w:tc>
          <w:tcPr>
            <w:tcW w:w="1097" w:type="dxa"/>
          </w:tcPr>
          <w:p w14:paraId="7DA4352C">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轻中度下降</w:t>
            </w:r>
          </w:p>
        </w:tc>
        <w:tc>
          <w:tcPr>
            <w:tcW w:w="709" w:type="dxa"/>
          </w:tcPr>
          <w:p w14:paraId="1F98C24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45-59</w:t>
            </w:r>
          </w:p>
        </w:tc>
        <w:tc>
          <w:tcPr>
            <w:tcW w:w="1218" w:type="dxa"/>
          </w:tcPr>
          <w:p w14:paraId="42613FC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中危</w:t>
            </w:r>
          </w:p>
        </w:tc>
        <w:tc>
          <w:tcPr>
            <w:tcW w:w="1367" w:type="dxa"/>
          </w:tcPr>
          <w:p w14:paraId="27D7D0E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高危</w:t>
            </w:r>
          </w:p>
        </w:tc>
        <w:tc>
          <w:tcPr>
            <w:tcW w:w="1415" w:type="dxa"/>
          </w:tcPr>
          <w:p w14:paraId="1D75856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r>
      <w:tr w14:paraId="443F8EC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1989" w:type="dxa"/>
            <w:vMerge w:val="continue"/>
          </w:tcPr>
          <w:p w14:paraId="28612471">
            <w:pPr>
              <w:jc w:val="center"/>
              <w:rPr>
                <w:rFonts w:hint="default" w:ascii="Times New Roman" w:hAnsi="Times New Roman" w:eastAsia="宋体" w:cs="Times New Roman"/>
                <w:sz w:val="21"/>
                <w:szCs w:val="21"/>
              </w:rPr>
            </w:pPr>
          </w:p>
        </w:tc>
        <w:tc>
          <w:tcPr>
            <w:tcW w:w="597" w:type="dxa"/>
          </w:tcPr>
          <w:p w14:paraId="31BFD19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w:t>
            </w:r>
            <w:r>
              <w:rPr>
                <w:rFonts w:ascii="Times New Roman" w:hAnsi="Times New Roman" w:eastAsia="宋体" w:cs="Times New Roman"/>
                <w:sz w:val="21"/>
                <w:szCs w:val="21"/>
              </w:rPr>
              <w:t>3b</w:t>
            </w:r>
          </w:p>
        </w:tc>
        <w:tc>
          <w:tcPr>
            <w:tcW w:w="1097" w:type="dxa"/>
          </w:tcPr>
          <w:p w14:paraId="26D7DC08">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中重度下降</w:t>
            </w:r>
          </w:p>
        </w:tc>
        <w:tc>
          <w:tcPr>
            <w:tcW w:w="709" w:type="dxa"/>
          </w:tcPr>
          <w:p w14:paraId="4220DA6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30-44</w:t>
            </w:r>
          </w:p>
        </w:tc>
        <w:tc>
          <w:tcPr>
            <w:tcW w:w="1218" w:type="dxa"/>
          </w:tcPr>
          <w:p w14:paraId="01675D71">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高危</w:t>
            </w:r>
          </w:p>
        </w:tc>
        <w:tc>
          <w:tcPr>
            <w:tcW w:w="1367" w:type="dxa"/>
          </w:tcPr>
          <w:p w14:paraId="7578581E">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c>
          <w:tcPr>
            <w:tcW w:w="1415" w:type="dxa"/>
          </w:tcPr>
          <w:p w14:paraId="24D96D37">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r>
      <w:tr w14:paraId="498F802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1989" w:type="dxa"/>
            <w:vMerge w:val="continue"/>
          </w:tcPr>
          <w:p w14:paraId="555634AD">
            <w:pPr>
              <w:jc w:val="center"/>
              <w:rPr>
                <w:rFonts w:hint="default" w:ascii="Times New Roman" w:hAnsi="Times New Roman" w:eastAsia="宋体" w:cs="Times New Roman"/>
                <w:sz w:val="21"/>
                <w:szCs w:val="21"/>
              </w:rPr>
            </w:pPr>
          </w:p>
        </w:tc>
        <w:tc>
          <w:tcPr>
            <w:tcW w:w="597" w:type="dxa"/>
          </w:tcPr>
          <w:p w14:paraId="672FA165">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w:t>
            </w:r>
            <w:r>
              <w:rPr>
                <w:rFonts w:ascii="Times New Roman" w:hAnsi="Times New Roman" w:eastAsia="宋体" w:cs="Times New Roman"/>
                <w:sz w:val="21"/>
                <w:szCs w:val="21"/>
              </w:rPr>
              <w:t>4</w:t>
            </w:r>
          </w:p>
        </w:tc>
        <w:tc>
          <w:tcPr>
            <w:tcW w:w="1097" w:type="dxa"/>
          </w:tcPr>
          <w:p w14:paraId="294F83A6">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重度下降</w:t>
            </w:r>
          </w:p>
        </w:tc>
        <w:tc>
          <w:tcPr>
            <w:tcW w:w="709" w:type="dxa"/>
          </w:tcPr>
          <w:p w14:paraId="6A7A369E">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15-29</w:t>
            </w:r>
          </w:p>
        </w:tc>
        <w:tc>
          <w:tcPr>
            <w:tcW w:w="1218" w:type="dxa"/>
          </w:tcPr>
          <w:p w14:paraId="6D8E37E4">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c>
          <w:tcPr>
            <w:tcW w:w="1367" w:type="dxa"/>
          </w:tcPr>
          <w:p w14:paraId="040326A2">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c>
          <w:tcPr>
            <w:tcW w:w="1415" w:type="dxa"/>
          </w:tcPr>
          <w:p w14:paraId="07EDD19F">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r>
      <w:tr w14:paraId="293E10A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59" w:hRule="atLeast"/>
        </w:trPr>
        <w:tc>
          <w:tcPr>
            <w:tcW w:w="1989" w:type="dxa"/>
            <w:vMerge w:val="continue"/>
          </w:tcPr>
          <w:p w14:paraId="21342545">
            <w:pPr>
              <w:jc w:val="center"/>
              <w:rPr>
                <w:rFonts w:hint="default" w:ascii="Times New Roman" w:hAnsi="Times New Roman" w:eastAsia="宋体" w:cs="Times New Roman"/>
                <w:sz w:val="21"/>
                <w:szCs w:val="21"/>
              </w:rPr>
            </w:pPr>
          </w:p>
        </w:tc>
        <w:tc>
          <w:tcPr>
            <w:tcW w:w="597" w:type="dxa"/>
          </w:tcPr>
          <w:p w14:paraId="68869E62">
            <w:pPr>
              <w:jc w:val="center"/>
              <w:rPr>
                <w:rFonts w:hint="default" w:ascii="Times New Roman" w:hAnsi="Times New Roman" w:eastAsia="宋体" w:cs="Times New Roman"/>
                <w:sz w:val="21"/>
                <w:szCs w:val="21"/>
              </w:rPr>
            </w:pPr>
            <w:r>
              <w:rPr>
                <w:rFonts w:ascii="Times New Roman" w:hAnsi="Times New Roman" w:eastAsia="宋体" w:cs="Times New Roman"/>
                <w:sz w:val="21"/>
                <w:szCs w:val="21"/>
              </w:rPr>
              <w:t>G</w:t>
            </w:r>
            <w:r>
              <w:rPr>
                <w:rFonts w:hint="default" w:ascii="Times New Roman" w:hAnsi="Times New Roman" w:eastAsia="宋体" w:cs="Times New Roman"/>
                <w:sz w:val="21"/>
                <w:szCs w:val="21"/>
              </w:rPr>
              <w:t>5</w:t>
            </w:r>
          </w:p>
        </w:tc>
        <w:tc>
          <w:tcPr>
            <w:tcW w:w="1097" w:type="dxa"/>
          </w:tcPr>
          <w:p w14:paraId="0F76F909">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肾衰竭</w:t>
            </w:r>
          </w:p>
        </w:tc>
        <w:tc>
          <w:tcPr>
            <w:tcW w:w="709" w:type="dxa"/>
          </w:tcPr>
          <w:p w14:paraId="623C832B">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w:t>
            </w:r>
          </w:p>
        </w:tc>
        <w:tc>
          <w:tcPr>
            <w:tcW w:w="1218" w:type="dxa"/>
          </w:tcPr>
          <w:p w14:paraId="4680EB9A">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c>
          <w:tcPr>
            <w:tcW w:w="1367" w:type="dxa"/>
          </w:tcPr>
          <w:p w14:paraId="5ADB4AC3">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c>
          <w:tcPr>
            <w:tcW w:w="1415" w:type="dxa"/>
          </w:tcPr>
          <w:p w14:paraId="29CFF02F">
            <w:pPr>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很高危</w:t>
            </w:r>
          </w:p>
        </w:tc>
      </w:tr>
    </w:tbl>
    <w:p w14:paraId="2BEC26D6">
      <w:pPr>
        <w:ind w:firstLine="420" w:firstLineChars="200"/>
        <w:jc w:val="both"/>
        <w:rPr>
          <w:rFonts w:hint="default" w:ascii="Times New Roman" w:hAnsi="Times New Roman" w:eastAsia="宋体" w:cs="Times New Roman"/>
        </w:rPr>
      </w:pPr>
      <w:r>
        <w:rPr>
          <w:rFonts w:ascii="Times New Roman" w:hAnsi="Times New Roman" w:eastAsia="宋体" w:cs="Times New Roman"/>
        </w:rPr>
        <w:fldChar w:fldCharType="begin"/>
      </w:r>
      <w:r>
        <w:rPr>
          <w:rFonts w:ascii="Times New Roman" w:hAnsi="Times New Roman" w:eastAsia="宋体" w:cs="Times New Roman"/>
        </w:rPr>
        <w:instrText xml:space="preserve"> </w:instrText>
      </w:r>
      <w:r>
        <w:rPr>
          <w:rFonts w:hint="default" w:ascii="Times New Roman" w:hAnsi="Times New Roman" w:eastAsia="宋体" w:cs="Times New Roman"/>
        </w:rPr>
        <w:instrText xml:space="preserve">= 2 \* GB3</w:instrText>
      </w:r>
      <w:r>
        <w:rPr>
          <w:rFonts w:ascii="Times New Roman" w:hAnsi="Times New Roman" w:eastAsia="宋体" w:cs="Times New Roman"/>
        </w:rPr>
        <w:instrText xml:space="preserve"> </w:instrText>
      </w:r>
      <w:r>
        <w:rPr>
          <w:rFonts w:ascii="Times New Roman" w:hAnsi="Times New Roman" w:eastAsia="宋体" w:cs="Times New Roman"/>
        </w:rPr>
        <w:fldChar w:fldCharType="separate"/>
      </w:r>
      <w:r>
        <w:rPr>
          <w:rFonts w:hint="default" w:ascii="Cambria Math" w:hAnsi="Cambria Math" w:eastAsia="宋体" w:cs="Cambria Math"/>
        </w:rPr>
        <w:t>②</w:t>
      </w:r>
      <w:r>
        <w:rPr>
          <w:rFonts w:ascii="Times New Roman" w:hAnsi="Times New Roman" w:eastAsia="宋体" w:cs="Times New Roman"/>
        </w:rPr>
        <w:fldChar w:fldCharType="end"/>
      </w:r>
      <w:r>
        <w:rPr>
          <w:rFonts w:hint="default" w:ascii="Times New Roman" w:hAnsi="Times New Roman" w:eastAsia="宋体" w:cs="Times New Roman"/>
        </w:rPr>
        <w:t>由多种不同原因引起的急性肾损伤及急性肾功能不全，表现为肾功能的急性减退，主要分为三部分：a</w:t>
      </w:r>
      <w:r>
        <w:rPr>
          <w:rFonts w:ascii="Times New Roman" w:hAnsi="Times New Roman" w:eastAsia="宋体" w:cs="Times New Roman"/>
        </w:rPr>
        <w:t>.</w:t>
      </w:r>
      <w:r>
        <w:rPr>
          <w:rFonts w:hint="default" w:ascii="Times New Roman" w:hAnsi="Times New Roman" w:eastAsia="宋体" w:cs="Times New Roman"/>
        </w:rPr>
        <w:t>肾前性（肾灌注减少所致）；b</w:t>
      </w:r>
      <w:r>
        <w:rPr>
          <w:rFonts w:ascii="Times New Roman" w:hAnsi="Times New Roman" w:eastAsia="宋体" w:cs="Times New Roman"/>
        </w:rPr>
        <w:t>.</w:t>
      </w:r>
      <w:r>
        <w:rPr>
          <w:rFonts w:hint="default" w:ascii="Times New Roman" w:hAnsi="Times New Roman" w:eastAsia="宋体" w:cs="Times New Roman"/>
        </w:rPr>
        <w:t>肾实质或血管疾病所致；c</w:t>
      </w:r>
      <w:r>
        <w:rPr>
          <w:rFonts w:ascii="Times New Roman" w:hAnsi="Times New Roman" w:eastAsia="宋体" w:cs="Times New Roman"/>
        </w:rPr>
        <w:t>.</w:t>
      </w:r>
      <w:r>
        <w:rPr>
          <w:rFonts w:hint="default" w:ascii="Times New Roman" w:hAnsi="Times New Roman" w:eastAsia="宋体" w:cs="Times New Roman"/>
        </w:rPr>
        <w:t>肾后性（尿路梗阻所致）。高龄、急诊手术、高体重指数、高风险手术、外周血管疾病、慢性阻塞性肺病等是术后急性肾损伤的独立危险因素。另外，合并糖尿病、高血压、高脂血症、骨关节炎等慢性病，围术期使用非甾体抗炎药等药物均可增加围术期急性肾损伤的发生风险。Khe</w:t>
      </w:r>
      <w:r>
        <w:rPr>
          <w:rFonts w:ascii="Times New Roman" w:hAnsi="Times New Roman" w:eastAsia="宋体" w:cs="Times New Roman"/>
        </w:rPr>
        <w:t xml:space="preserve">terpal </w:t>
      </w:r>
      <w:r>
        <w:rPr>
          <w:rFonts w:hint="default" w:ascii="Times New Roman" w:hAnsi="Times New Roman" w:eastAsia="宋体" w:cs="Times New Roman"/>
        </w:rPr>
        <w:t>等提出非心脏手术术前肾风险指数：将年龄≥56岁、男性、活动性心力衰竭、腹水、高血压、急诊手术、腹部手术、轻中度肾功能不全（血肌酐＞106</w:t>
      </w:r>
      <w:r>
        <w:rPr>
          <w:rFonts w:ascii="Times New Roman" w:hAnsi="Times New Roman" w:eastAsia="宋体" w:cs="Times New Roman"/>
        </w:rPr>
        <w:t>umol/L</w:t>
      </w:r>
      <w:r>
        <w:rPr>
          <w:rFonts w:hint="default" w:ascii="Times New Roman" w:hAnsi="Times New Roman" w:eastAsia="宋体" w:cs="Times New Roman"/>
        </w:rPr>
        <w:t>）、糖尿病作为风险因素，对相关术后发生急性肾损伤风险进行预测，具有一定参考价值（表12）。</w:t>
      </w:r>
    </w:p>
    <w:p w14:paraId="4EDD93B4">
      <w:pPr>
        <w:ind w:firstLine="420" w:firstLineChars="200"/>
        <w:jc w:val="center"/>
        <w:rPr>
          <w:rFonts w:hint="default" w:ascii="Times New Roman" w:hAnsi="Times New Roman" w:eastAsia="宋体" w:cs="Times New Roman"/>
        </w:rPr>
      </w:pPr>
      <w:r>
        <w:rPr>
          <w:rFonts w:hint="default" w:ascii="Times New Roman" w:hAnsi="Times New Roman" w:eastAsia="宋体" w:cs="Times New Roman"/>
        </w:rPr>
        <w:t>表13</w:t>
      </w:r>
      <w:r>
        <w:rPr>
          <w:rFonts w:ascii="Times New Roman" w:hAnsi="Times New Roman" w:eastAsia="宋体" w:cs="Times New Roman"/>
        </w:rPr>
        <w:t xml:space="preserve"> </w:t>
      </w:r>
      <w:r>
        <w:rPr>
          <w:rFonts w:hint="default" w:ascii="Times New Roman" w:hAnsi="Times New Roman" w:eastAsia="宋体" w:cs="Times New Roman"/>
        </w:rPr>
        <w:t>非心脏手术急性肾损伤风险指数</w:t>
      </w:r>
    </w:p>
    <w:tbl>
      <w:tblPr>
        <w:tblStyle w:val="13"/>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148"/>
        <w:gridCol w:w="4148"/>
      </w:tblGrid>
      <w:tr w14:paraId="1CFE99F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257843F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危险分级</w:t>
            </w:r>
          </w:p>
        </w:tc>
        <w:tc>
          <w:tcPr>
            <w:tcW w:w="4148" w:type="dxa"/>
          </w:tcPr>
          <w:p w14:paraId="11D46A4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急性肾损伤发生率</w:t>
            </w:r>
          </w:p>
        </w:tc>
      </w:tr>
      <w:tr w14:paraId="2B752B8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6E66311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1级（≤2危险因素）</w:t>
            </w:r>
          </w:p>
        </w:tc>
        <w:tc>
          <w:tcPr>
            <w:tcW w:w="4148" w:type="dxa"/>
          </w:tcPr>
          <w:p w14:paraId="6176F3D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0.2%</w:t>
            </w:r>
          </w:p>
        </w:tc>
      </w:tr>
      <w:tr w14:paraId="35C52D7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49141BF5">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2级（3危险因素）</w:t>
            </w:r>
          </w:p>
        </w:tc>
        <w:tc>
          <w:tcPr>
            <w:tcW w:w="4148" w:type="dxa"/>
          </w:tcPr>
          <w:p w14:paraId="23816324">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r>
              <w:rPr>
                <w:rFonts w:ascii="Times New Roman" w:hAnsi="Times New Roman" w:eastAsia="宋体" w:cs="Times New Roman"/>
                <w:sz w:val="21"/>
                <w:szCs w:val="21"/>
              </w:rPr>
              <w:t>8%</w:t>
            </w:r>
          </w:p>
        </w:tc>
      </w:tr>
      <w:tr w14:paraId="75287A4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686D78A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3级（4危险因素）</w:t>
            </w:r>
          </w:p>
        </w:tc>
        <w:tc>
          <w:tcPr>
            <w:tcW w:w="4148" w:type="dxa"/>
          </w:tcPr>
          <w:p w14:paraId="4ABAA3BE">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r>
              <w:rPr>
                <w:rFonts w:ascii="Times New Roman" w:hAnsi="Times New Roman" w:eastAsia="宋体" w:cs="Times New Roman"/>
                <w:sz w:val="21"/>
                <w:szCs w:val="21"/>
              </w:rPr>
              <w:t>.8%</w:t>
            </w:r>
          </w:p>
        </w:tc>
      </w:tr>
      <w:tr w14:paraId="1AD82A7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2CE7CFDC">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4级（5危险因素）</w:t>
            </w:r>
          </w:p>
        </w:tc>
        <w:tc>
          <w:tcPr>
            <w:tcW w:w="4148" w:type="dxa"/>
          </w:tcPr>
          <w:p w14:paraId="541DEB49">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r>
              <w:rPr>
                <w:rFonts w:ascii="Times New Roman" w:hAnsi="Times New Roman" w:eastAsia="宋体" w:cs="Times New Roman"/>
                <w:sz w:val="21"/>
                <w:szCs w:val="21"/>
              </w:rPr>
              <w:t>.3%</w:t>
            </w:r>
          </w:p>
        </w:tc>
      </w:tr>
      <w:tr w14:paraId="55029D7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148" w:type="dxa"/>
          </w:tcPr>
          <w:p w14:paraId="71E29E27">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5级（≥6危险因素）</w:t>
            </w:r>
          </w:p>
        </w:tc>
        <w:tc>
          <w:tcPr>
            <w:tcW w:w="4148" w:type="dxa"/>
          </w:tcPr>
          <w:p w14:paraId="1DDA2678">
            <w:pPr>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w:t>
            </w:r>
            <w:r>
              <w:rPr>
                <w:rFonts w:ascii="Times New Roman" w:hAnsi="Times New Roman" w:eastAsia="宋体" w:cs="Times New Roman"/>
                <w:sz w:val="21"/>
                <w:szCs w:val="21"/>
              </w:rPr>
              <w:t>.9%</w:t>
            </w:r>
          </w:p>
        </w:tc>
      </w:tr>
    </w:tbl>
    <w:p w14:paraId="605EB557">
      <w:pPr>
        <w:ind w:firstLine="0" w:firstLineChars="0"/>
        <w:jc w:val="left"/>
        <w:rPr>
          <w:rFonts w:hint="eastAsia" w:ascii="黑体" w:hAnsi="黑体" w:eastAsia="黑体" w:cs="黑体"/>
          <w:bCs/>
          <w:szCs w:val="21"/>
        </w:rPr>
      </w:pPr>
      <w:r>
        <w:rPr>
          <w:rFonts w:hint="eastAsia" w:ascii="黑体" w:hAnsi="黑体" w:eastAsia="黑体" w:cs="黑体"/>
          <w:bCs/>
          <w:szCs w:val="21"/>
        </w:rPr>
        <w:t>5.8.5 血液系统评估</w:t>
      </w:r>
    </w:p>
    <w:p w14:paraId="2C5FBAC6">
      <w:pPr>
        <w:ind w:firstLine="422" w:firstLineChars="200"/>
        <w:jc w:val="left"/>
        <w:rPr>
          <w:rFonts w:hint="eastAsia" w:ascii="宋体" w:hAnsi="宋体" w:eastAsia="宋体"/>
          <w:b/>
          <w:bCs/>
        </w:rPr>
      </w:pPr>
      <w:r>
        <w:rPr>
          <w:rFonts w:ascii="宋体" w:hAnsi="宋体" w:eastAsia="宋体"/>
          <w:b/>
          <w:bCs/>
        </w:rPr>
        <w:fldChar w:fldCharType="begin"/>
      </w:r>
      <w:r>
        <w:rPr>
          <w:rFonts w:ascii="宋体" w:hAnsi="宋体" w:eastAsia="宋体"/>
          <w:b/>
          <w:bCs/>
        </w:rPr>
        <w:instrText xml:space="preserve"> </w:instrText>
      </w:r>
      <w:r>
        <w:rPr>
          <w:rFonts w:hint="eastAsia" w:ascii="宋体" w:hAnsi="宋体" w:eastAsia="宋体"/>
          <w:b/>
          <w:bCs/>
        </w:rPr>
        <w:instrText xml:space="preserve">= 1 \* GB3</w:instrText>
      </w:r>
      <w:r>
        <w:rPr>
          <w:rFonts w:ascii="宋体" w:hAnsi="宋体" w:eastAsia="宋体"/>
          <w:b/>
          <w:bCs/>
        </w:rPr>
        <w:instrText xml:space="preserve"> </w:instrText>
      </w:r>
      <w:r>
        <w:rPr>
          <w:rFonts w:ascii="宋体" w:hAnsi="宋体" w:eastAsia="宋体"/>
          <w:b/>
          <w:bCs/>
        </w:rPr>
        <w:fldChar w:fldCharType="separate"/>
      </w:r>
      <w:r>
        <w:rPr>
          <w:rFonts w:hint="eastAsia" w:ascii="宋体" w:hAnsi="宋体" w:eastAsia="宋体"/>
          <w:b/>
          <w:bCs/>
        </w:rPr>
        <w:t>①</w:t>
      </w:r>
      <w:r>
        <w:rPr>
          <w:rFonts w:ascii="宋体" w:hAnsi="宋体" w:eastAsia="宋体"/>
          <w:b/>
          <w:bCs/>
        </w:rPr>
        <w:fldChar w:fldCharType="end"/>
      </w:r>
      <w:r>
        <w:rPr>
          <w:rFonts w:hint="eastAsia" w:ascii="宋体" w:hAnsi="宋体" w:eastAsia="宋体"/>
          <w:b/>
          <w:bCs/>
        </w:rPr>
        <w:t>贫血风险评估</w:t>
      </w:r>
    </w:p>
    <w:p w14:paraId="6F8D148B">
      <w:pPr>
        <w:ind w:firstLine="420" w:firstLineChars="200"/>
        <w:jc w:val="both"/>
        <w:rPr>
          <w:rFonts w:hint="default" w:ascii="Times New Roman" w:hAnsi="Times New Roman" w:eastAsia="宋体" w:cs="Times New Roman"/>
        </w:rPr>
      </w:pPr>
      <w:r>
        <w:rPr>
          <w:rFonts w:hint="default" w:ascii="Times New Roman" w:hAnsi="Times New Roman" w:eastAsia="宋体" w:cs="Times New Roman"/>
        </w:rPr>
        <w:t>老年外科患者术前常规行血常规检查，了解有无贫血，并根据血红蛋白水平评估贫血程度，有文献报道，血红蛋白低于100</w:t>
      </w:r>
      <w:r>
        <w:rPr>
          <w:rFonts w:ascii="Times New Roman" w:hAnsi="Times New Roman" w:eastAsia="宋体" w:cs="Times New Roman"/>
        </w:rPr>
        <w:t>g/L</w:t>
      </w:r>
      <w:r>
        <w:rPr>
          <w:rFonts w:hint="default" w:ascii="Times New Roman" w:hAnsi="Times New Roman" w:eastAsia="宋体" w:cs="Times New Roman"/>
        </w:rPr>
        <w:t>时，并发症和死亡率明显升高，血红蛋白低于60</w:t>
      </w:r>
      <w:r>
        <w:rPr>
          <w:rFonts w:ascii="Times New Roman" w:hAnsi="Times New Roman" w:eastAsia="宋体" w:cs="Times New Roman"/>
        </w:rPr>
        <w:t>g/L</w:t>
      </w:r>
      <w:r>
        <w:rPr>
          <w:rFonts w:hint="default" w:ascii="Times New Roman" w:hAnsi="Times New Roman" w:eastAsia="宋体" w:cs="Times New Roman"/>
        </w:rPr>
        <w:t>患者围术期死亡率高达33%。根据M</w:t>
      </w:r>
      <w:r>
        <w:rPr>
          <w:rFonts w:ascii="Times New Roman" w:hAnsi="Times New Roman" w:eastAsia="宋体" w:cs="Times New Roman"/>
        </w:rPr>
        <w:t>CV</w:t>
      </w:r>
      <w:r>
        <w:rPr>
          <w:rFonts w:hint="default" w:ascii="Times New Roman" w:hAnsi="Times New Roman" w:eastAsia="宋体" w:cs="Times New Roman"/>
        </w:rPr>
        <w:t>、M</w:t>
      </w:r>
      <w:r>
        <w:rPr>
          <w:rFonts w:ascii="Times New Roman" w:hAnsi="Times New Roman" w:eastAsia="宋体" w:cs="Times New Roman"/>
        </w:rPr>
        <w:t>CH</w:t>
      </w:r>
      <w:r>
        <w:rPr>
          <w:rFonts w:hint="default" w:ascii="Times New Roman" w:hAnsi="Times New Roman" w:eastAsia="宋体" w:cs="Times New Roman"/>
        </w:rPr>
        <w:t>及M</w:t>
      </w:r>
      <w:r>
        <w:rPr>
          <w:rFonts w:ascii="Times New Roman" w:hAnsi="Times New Roman" w:eastAsia="宋体" w:cs="Times New Roman"/>
        </w:rPr>
        <w:t>CHC</w:t>
      </w:r>
      <w:r>
        <w:rPr>
          <w:rFonts w:hint="default" w:ascii="Times New Roman" w:hAnsi="Times New Roman" w:eastAsia="宋体" w:cs="Times New Roman"/>
        </w:rPr>
        <w:t>对贫血进行红细胞形态分类，网织红细胞计数可间接反映骨髓红系细胞增生及代偿情况；另外必要时可行贫血机制筛查，缺铁性贫血铁代谢及引起缺铁原因进行检查；巨幼贫需检测血清叶酸和维生素B</w:t>
      </w:r>
      <w:r>
        <w:rPr>
          <w:rFonts w:hint="default" w:ascii="Times New Roman" w:hAnsi="Times New Roman" w:eastAsia="宋体" w:cs="Times New Roman"/>
          <w:vertAlign w:val="subscript"/>
        </w:rPr>
        <w:t>12</w:t>
      </w:r>
      <w:r>
        <w:rPr>
          <w:rFonts w:hint="default" w:ascii="Times New Roman" w:hAnsi="Times New Roman" w:eastAsia="宋体" w:cs="Times New Roman"/>
        </w:rPr>
        <w:t>水平；失血性贫血应仔细排查失血原因和失血部位；溶血性贫血可发生游离血红蛋白增高、血钾升高、间接胆红素增高等。评估贫血患者围术期风险时，还应考虑患者合并慢性疾病情况，5年内恶性肿瘤病史、糖尿病、高血压、冠心病、心功能不全等，会增加围术期并发症发生率。</w:t>
      </w:r>
    </w:p>
    <w:p w14:paraId="125A17CD">
      <w:pPr>
        <w:ind w:firstLine="422" w:firstLineChars="200"/>
        <w:jc w:val="left"/>
        <w:rPr>
          <w:rFonts w:hint="eastAsia" w:ascii="宋体" w:hAnsi="宋体" w:eastAsia="宋体"/>
          <w:b/>
          <w:bCs/>
        </w:rPr>
      </w:pPr>
      <w:r>
        <w:rPr>
          <w:rFonts w:ascii="宋体" w:hAnsi="宋体" w:eastAsia="宋体"/>
          <w:b/>
          <w:bCs/>
        </w:rPr>
        <w:fldChar w:fldCharType="begin"/>
      </w:r>
      <w:r>
        <w:rPr>
          <w:rFonts w:ascii="宋体" w:hAnsi="宋体" w:eastAsia="宋体"/>
          <w:b/>
          <w:bCs/>
        </w:rPr>
        <w:instrText xml:space="preserve"> </w:instrText>
      </w:r>
      <w:r>
        <w:rPr>
          <w:rFonts w:hint="eastAsia" w:ascii="宋体" w:hAnsi="宋体" w:eastAsia="宋体"/>
          <w:b/>
          <w:bCs/>
        </w:rPr>
        <w:instrText xml:space="preserve">= 2 \* GB3</w:instrText>
      </w:r>
      <w:r>
        <w:rPr>
          <w:rFonts w:ascii="宋体" w:hAnsi="宋体" w:eastAsia="宋体"/>
          <w:b/>
          <w:bCs/>
        </w:rPr>
        <w:instrText xml:space="preserve"> </w:instrText>
      </w:r>
      <w:r>
        <w:rPr>
          <w:rFonts w:ascii="宋体" w:hAnsi="宋体" w:eastAsia="宋体"/>
          <w:b/>
          <w:bCs/>
        </w:rPr>
        <w:fldChar w:fldCharType="separate"/>
      </w:r>
      <w:r>
        <w:rPr>
          <w:rFonts w:hint="eastAsia" w:ascii="宋体" w:hAnsi="宋体" w:eastAsia="宋体"/>
          <w:b/>
          <w:bCs/>
        </w:rPr>
        <w:t>②</w:t>
      </w:r>
      <w:r>
        <w:rPr>
          <w:rFonts w:ascii="宋体" w:hAnsi="宋体" w:eastAsia="宋体"/>
          <w:b/>
          <w:bCs/>
        </w:rPr>
        <w:fldChar w:fldCharType="end"/>
      </w:r>
      <w:r>
        <w:rPr>
          <w:rFonts w:hint="eastAsia" w:ascii="宋体" w:hAnsi="宋体" w:eastAsia="宋体"/>
          <w:b/>
          <w:bCs/>
        </w:rPr>
        <w:t>凝血功能评估</w:t>
      </w:r>
    </w:p>
    <w:p w14:paraId="254FDE54">
      <w:pPr>
        <w:ind w:firstLine="420" w:firstLineChars="200"/>
        <w:jc w:val="both"/>
        <w:rPr>
          <w:rFonts w:hint="eastAsia" w:ascii="Times New Roman" w:hAnsi="Times New Roman" w:eastAsia="宋体" w:cs="Times New Roman"/>
        </w:rPr>
      </w:pPr>
      <w:r>
        <w:rPr>
          <w:rFonts w:hint="eastAsia" w:ascii="Times New Roman" w:hAnsi="Times New Roman" w:eastAsia="宋体" w:cs="Times New Roman"/>
        </w:rPr>
        <w:t>凝血功能与抗凝的平衡对于机体维持自身的生理功能及稳态有重要意义，凝血功能异常分为凝血功能低下（出血）和凝血功能亢进（血栓），是老年外科手术经常遇到的临床问题，应做好充分风险评估：</w:t>
      </w:r>
      <w:r>
        <w:rPr>
          <w:rFonts w:ascii="Times New Roman" w:hAnsi="Times New Roman" w:eastAsia="宋体" w:cs="Times New Roman"/>
        </w:rPr>
        <w:t>a.</w:t>
      </w:r>
      <w:r>
        <w:rPr>
          <w:rFonts w:hint="eastAsia" w:ascii="Times New Roman" w:hAnsi="Times New Roman" w:eastAsia="宋体" w:cs="Times New Roman"/>
        </w:rPr>
        <w:t>通过仔细询问病史，了解有无出血病史，有无出血性疾病家族史，有无肝病，有无营养障碍，目前口服药物、保健品等，初步判断有无凝血功能异常；b</w:t>
      </w:r>
      <w:r>
        <w:rPr>
          <w:rFonts w:ascii="Times New Roman" w:hAnsi="Times New Roman" w:eastAsia="宋体" w:cs="Times New Roman"/>
        </w:rPr>
        <w:t>.</w:t>
      </w:r>
      <w:r>
        <w:rPr>
          <w:rFonts w:hint="eastAsia" w:ascii="Times New Roman" w:hAnsi="Times New Roman" w:eastAsia="宋体" w:cs="Times New Roman"/>
        </w:rPr>
        <w:t>进行仔细的体格检查，观察是否有皮肤出血点、瘀斑等；c</w:t>
      </w:r>
      <w:r>
        <w:rPr>
          <w:rFonts w:ascii="Times New Roman" w:hAnsi="Times New Roman" w:eastAsia="宋体" w:cs="Times New Roman"/>
        </w:rPr>
        <w:t>.</w:t>
      </w:r>
      <w:r>
        <w:rPr>
          <w:rFonts w:hint="eastAsia" w:ascii="Times New Roman" w:hAnsi="Times New Roman" w:eastAsia="宋体" w:cs="Times New Roman"/>
        </w:rPr>
        <w:t>通过实验室检验来评估有无凝血异常，通过血小板计数、出血时间、凝血酶原时间、激活的部分凝血活酶、凝血时间、纤维蛋白原等指标来评估；另外血栓弹力图可动态观察凝血功能，还可用于检测血小板数量和功能。</w:t>
      </w:r>
    </w:p>
    <w:p w14:paraId="0411019A">
      <w:pPr>
        <w:ind w:firstLine="422" w:firstLineChars="200"/>
        <w:jc w:val="left"/>
        <w:rPr>
          <w:rFonts w:hint="eastAsia" w:ascii="宋体" w:hAnsi="宋体" w:eastAsia="宋体"/>
          <w:b/>
          <w:bCs/>
        </w:rPr>
      </w:pPr>
      <w:r>
        <w:rPr>
          <w:rFonts w:ascii="宋体" w:hAnsi="宋体" w:eastAsia="宋体"/>
          <w:b/>
          <w:bCs/>
        </w:rPr>
        <w:fldChar w:fldCharType="begin"/>
      </w:r>
      <w:r>
        <w:rPr>
          <w:rFonts w:ascii="宋体" w:hAnsi="宋体" w:eastAsia="宋体"/>
          <w:b/>
          <w:bCs/>
        </w:rPr>
        <w:instrText xml:space="preserve"> </w:instrText>
      </w:r>
      <w:r>
        <w:rPr>
          <w:rFonts w:hint="eastAsia" w:ascii="宋体" w:hAnsi="宋体" w:eastAsia="宋体"/>
          <w:b/>
          <w:bCs/>
        </w:rPr>
        <w:instrText xml:space="preserve">= 3 \* GB3</w:instrText>
      </w:r>
      <w:r>
        <w:rPr>
          <w:rFonts w:ascii="宋体" w:hAnsi="宋体" w:eastAsia="宋体"/>
          <w:b/>
          <w:bCs/>
        </w:rPr>
        <w:instrText xml:space="preserve"> </w:instrText>
      </w:r>
      <w:r>
        <w:rPr>
          <w:rFonts w:ascii="宋体" w:hAnsi="宋体" w:eastAsia="宋体"/>
          <w:b/>
          <w:bCs/>
        </w:rPr>
        <w:fldChar w:fldCharType="separate"/>
      </w:r>
      <w:r>
        <w:rPr>
          <w:rFonts w:hint="eastAsia" w:ascii="宋体" w:hAnsi="宋体" w:eastAsia="宋体"/>
          <w:b/>
          <w:bCs/>
        </w:rPr>
        <w:t>③</w:t>
      </w:r>
      <w:r>
        <w:rPr>
          <w:rFonts w:ascii="宋体" w:hAnsi="宋体" w:eastAsia="宋体"/>
          <w:b/>
          <w:bCs/>
        </w:rPr>
        <w:fldChar w:fldCharType="end"/>
      </w:r>
      <w:r>
        <w:rPr>
          <w:rFonts w:hint="eastAsia" w:ascii="宋体" w:hAnsi="宋体" w:eastAsia="宋体"/>
          <w:b/>
          <w:bCs/>
        </w:rPr>
        <w:t>静脉血栓栓塞症风险评估</w:t>
      </w:r>
    </w:p>
    <w:p w14:paraId="1B77368E">
      <w:pPr>
        <w:ind w:firstLine="420" w:firstLineChars="200"/>
        <w:jc w:val="both"/>
        <w:rPr>
          <w:rFonts w:hint="eastAsia" w:ascii="Times New Roman" w:hAnsi="Times New Roman" w:eastAsia="宋体" w:cs="Times New Roman"/>
        </w:rPr>
      </w:pPr>
      <w:r>
        <w:rPr>
          <w:rFonts w:hint="eastAsia" w:ascii="Times New Roman" w:hAnsi="Times New Roman" w:eastAsia="宋体" w:cs="Times New Roman"/>
        </w:rPr>
        <w:t>静脉血栓栓塞症（</w:t>
      </w:r>
      <w:r>
        <w:rPr>
          <w:rFonts w:ascii="Times New Roman" w:hAnsi="Times New Roman" w:eastAsia="宋体" w:cs="Times New Roman"/>
        </w:rPr>
        <w:t>Venous thromboembolism, VTE）包括深静脉血栓（Deep vein thrombosis，DVT）和肺血栓栓塞症(Pulmonary thromboembolism</w:t>
      </w:r>
      <w:r>
        <w:rPr>
          <w:rFonts w:hint="eastAsia" w:ascii="Times New Roman" w:hAnsi="Times New Roman" w:eastAsia="宋体" w:cs="Times New Roman"/>
        </w:rPr>
        <w:t xml:space="preserve">, </w:t>
      </w:r>
      <w:r>
        <w:rPr>
          <w:rFonts w:ascii="Times New Roman" w:hAnsi="Times New Roman" w:eastAsia="宋体" w:cs="Times New Roman"/>
        </w:rPr>
        <w:t>PE），是围手术期最常见且有致死风险但却最可预防的并发症。</w:t>
      </w:r>
      <w:r>
        <w:rPr>
          <w:rFonts w:hint="eastAsia" w:ascii="Times New Roman" w:hAnsi="Times New Roman" w:eastAsia="宋体" w:cs="Times New Roman"/>
        </w:rPr>
        <w:t>术前识别年龄超过</w:t>
      </w:r>
      <w:r>
        <w:rPr>
          <w:rFonts w:ascii="Times New Roman" w:hAnsi="Times New Roman" w:eastAsia="宋体" w:cs="Times New Roman"/>
        </w:rPr>
        <w:t>70岁或存在充血性心力衰竭、慢性阻塞性肺疾病、肾功能衰竭、脑卒中、恶性肿瘤、绝经后雌激素治疗、肥胖、贫血、凝血功能障碍等静脉血栓栓塞风险的患者。</w:t>
      </w:r>
      <w:r>
        <w:rPr>
          <w:rFonts w:hint="eastAsia" w:ascii="Times New Roman" w:hAnsi="Times New Roman" w:eastAsia="宋体" w:cs="Times New Roman"/>
        </w:rPr>
        <w:t>识别高危人群，并针对高危人群采取预防措施是降低</w:t>
      </w:r>
      <w:r>
        <w:rPr>
          <w:rFonts w:ascii="Times New Roman" w:hAnsi="Times New Roman" w:eastAsia="宋体" w:cs="Times New Roman"/>
        </w:rPr>
        <w:t>VTE发生率和死亡率至关重要。个体VTE风险评估工具有助于对风险进行分层，包括Caprini风险评估量表（Caprini risk assessment model，Caprini RAM）、Rogers评分量表、Padua评分量表和 Khorana评分量表。目前应用最广泛的围手术期个体化VTE风险评估系统是Caprin</w:t>
      </w:r>
      <w:r>
        <w:rPr>
          <w:rFonts w:hint="eastAsia" w:ascii="Times New Roman" w:hAnsi="Times New Roman" w:eastAsia="宋体" w:cs="Times New Roman"/>
        </w:rPr>
        <w:t>i</w:t>
      </w:r>
      <w:r>
        <w:rPr>
          <w:rFonts w:ascii="Times New Roman" w:hAnsi="Times New Roman" w:eastAsia="宋体" w:cs="Times New Roman"/>
        </w:rPr>
        <w:t>评估量表，包括骨科、普外科、妇产科等。Caprin</w:t>
      </w:r>
      <w:r>
        <w:rPr>
          <w:rFonts w:hint="eastAsia" w:ascii="Times New Roman" w:hAnsi="Times New Roman" w:eastAsia="宋体" w:cs="Times New Roman"/>
        </w:rPr>
        <w:t>i</w:t>
      </w:r>
      <w:r>
        <w:rPr>
          <w:rFonts w:ascii="Times New Roman" w:hAnsi="Times New Roman" w:eastAsia="宋体" w:cs="Times New Roman"/>
        </w:rPr>
        <w:t>评估量表包括先天性和/或后天性约40个危险因素，根据危险程度的</w:t>
      </w:r>
      <w:r>
        <w:rPr>
          <w:rFonts w:hint="eastAsia" w:ascii="Times New Roman" w:hAnsi="Times New Roman" w:eastAsia="宋体" w:cs="Times New Roman"/>
        </w:rPr>
        <w:t>不同将危险因素赋予</w:t>
      </w:r>
      <w:r>
        <w:rPr>
          <w:rFonts w:ascii="Times New Roman" w:hAnsi="Times New Roman" w:eastAsia="宋体" w:cs="Times New Roman"/>
        </w:rPr>
        <w:t>1分-5分不同的分值，最后根据累计得分将患者VTE发生风险分为极低危（0分）、低危（1分-2分）、中危（3分-4分）和高危（≥5分）4个等级</w:t>
      </w:r>
      <w:r>
        <w:rPr>
          <w:rFonts w:hint="eastAsia" w:ascii="Times New Roman" w:hAnsi="Times New Roman" w:eastAsia="宋体" w:cs="Times New Roman"/>
        </w:rPr>
        <w:t>(表13</w:t>
      </w:r>
      <w:r>
        <w:rPr>
          <w:rFonts w:ascii="Times New Roman" w:hAnsi="Times New Roman" w:eastAsia="宋体" w:cs="Times New Roman"/>
        </w:rPr>
        <w:t>)</w:t>
      </w:r>
      <w:r>
        <w:rPr>
          <w:rFonts w:hint="eastAsia" w:ascii="Times New Roman" w:hAnsi="Times New Roman" w:eastAsia="宋体" w:cs="Times New Roman"/>
        </w:rPr>
        <w:t>,</w:t>
      </w:r>
      <w:r>
        <w:rPr>
          <w:rFonts w:ascii="Times New Roman" w:hAnsi="Times New Roman" w:eastAsia="宋体" w:cs="Times New Roman"/>
        </w:rPr>
        <w:t>根据不同的风险等级推荐不同的VTE预防措施。</w:t>
      </w:r>
    </w:p>
    <w:p w14:paraId="4774B59C">
      <w:pPr>
        <w:ind w:firstLine="420" w:firstLineChars="200"/>
        <w:jc w:val="center"/>
        <w:rPr>
          <w:rFonts w:hint="default" w:ascii="Times New Roman" w:hAnsi="Times New Roman" w:eastAsia="宋体" w:cs="Times New Roman"/>
          <w:b w:val="0"/>
          <w:bCs w:val="0"/>
        </w:rPr>
      </w:pPr>
      <w:r>
        <w:rPr>
          <w:rFonts w:hint="default" w:ascii="Times New Roman" w:hAnsi="Times New Roman" w:eastAsia="宋体" w:cs="Times New Roman"/>
          <w:b w:val="0"/>
          <w:bCs w:val="0"/>
        </w:rPr>
        <w:t>表14</w:t>
      </w:r>
      <w:r>
        <w:rPr>
          <w:rFonts w:ascii="Times New Roman" w:hAnsi="Times New Roman" w:eastAsia="宋体" w:cs="Times New Roman"/>
          <w:b w:val="0"/>
          <w:bCs w:val="0"/>
        </w:rPr>
        <w:t xml:space="preserve"> Caprini风险评估量表</w:t>
      </w:r>
    </w:p>
    <w:tbl>
      <w:tblPr>
        <w:tblStyle w:val="13"/>
        <w:tblW w:w="0" w:type="auto"/>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74"/>
        <w:gridCol w:w="2074"/>
        <w:gridCol w:w="2074"/>
        <w:gridCol w:w="2074"/>
      </w:tblGrid>
      <w:tr w14:paraId="7DC6FC2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6367FB36">
            <w:pPr>
              <w:jc w:val="left"/>
              <w:rPr>
                <w:rFonts w:hint="default" w:ascii="Times New Roman" w:hAnsi="Times New Roman" w:eastAsia="宋体" w:cs="Times New Roman"/>
                <w:szCs w:val="21"/>
              </w:rPr>
            </w:pPr>
            <w:r>
              <w:rPr>
                <w:rFonts w:ascii="Times New Roman" w:hAnsi="Times New Roman" w:eastAsia="宋体" w:cs="Times New Roman"/>
                <w:sz w:val="21"/>
                <w:szCs w:val="21"/>
              </w:rPr>
              <w:t>1</w:t>
            </w:r>
            <w:r>
              <w:rPr>
                <w:rFonts w:hint="default" w:ascii="Times New Roman" w:hAnsi="Times New Roman" w:eastAsia="宋体" w:cs="Times New Roman"/>
                <w:sz w:val="21"/>
                <w:szCs w:val="21"/>
              </w:rPr>
              <w:t>分</w:t>
            </w:r>
          </w:p>
        </w:tc>
        <w:tc>
          <w:tcPr>
            <w:tcW w:w="2074" w:type="dxa"/>
          </w:tcPr>
          <w:p w14:paraId="271D22C8">
            <w:pPr>
              <w:jc w:val="left"/>
              <w:rPr>
                <w:rFonts w:hint="default" w:ascii="Times New Roman" w:hAnsi="Times New Roman" w:eastAsia="宋体" w:cs="Times New Roman"/>
                <w:szCs w:val="21"/>
              </w:rPr>
            </w:pPr>
            <w:r>
              <w:rPr>
                <w:rFonts w:ascii="Times New Roman" w:hAnsi="Times New Roman" w:eastAsia="宋体" w:cs="Times New Roman"/>
                <w:sz w:val="21"/>
                <w:szCs w:val="21"/>
              </w:rPr>
              <w:t>2</w:t>
            </w:r>
            <w:r>
              <w:rPr>
                <w:rFonts w:hint="default" w:ascii="Times New Roman" w:hAnsi="Times New Roman" w:eastAsia="宋体" w:cs="Times New Roman"/>
                <w:sz w:val="21"/>
                <w:szCs w:val="21"/>
              </w:rPr>
              <w:t>分</w:t>
            </w:r>
          </w:p>
        </w:tc>
        <w:tc>
          <w:tcPr>
            <w:tcW w:w="2074" w:type="dxa"/>
          </w:tcPr>
          <w:p w14:paraId="23CC162B">
            <w:pPr>
              <w:jc w:val="left"/>
              <w:rPr>
                <w:rFonts w:hint="default" w:ascii="Times New Roman" w:hAnsi="Times New Roman" w:eastAsia="宋体" w:cs="Times New Roman"/>
                <w:szCs w:val="21"/>
              </w:rPr>
            </w:pPr>
            <w:r>
              <w:rPr>
                <w:rFonts w:ascii="Times New Roman" w:hAnsi="Times New Roman" w:eastAsia="宋体" w:cs="Times New Roman"/>
                <w:sz w:val="21"/>
                <w:szCs w:val="21"/>
              </w:rPr>
              <w:t>3</w:t>
            </w:r>
            <w:r>
              <w:rPr>
                <w:rFonts w:hint="default" w:ascii="Times New Roman" w:hAnsi="Times New Roman" w:eastAsia="宋体" w:cs="Times New Roman"/>
                <w:sz w:val="21"/>
                <w:szCs w:val="21"/>
              </w:rPr>
              <w:t>分</w:t>
            </w:r>
          </w:p>
        </w:tc>
        <w:tc>
          <w:tcPr>
            <w:tcW w:w="2074" w:type="dxa"/>
          </w:tcPr>
          <w:p w14:paraId="677B3C58">
            <w:pPr>
              <w:jc w:val="left"/>
              <w:rPr>
                <w:rFonts w:hint="default" w:ascii="Times New Roman" w:hAnsi="Times New Roman" w:eastAsia="宋体" w:cs="Times New Roman"/>
                <w:szCs w:val="21"/>
              </w:rPr>
            </w:pPr>
            <w:r>
              <w:rPr>
                <w:rFonts w:ascii="Times New Roman" w:hAnsi="Times New Roman" w:eastAsia="宋体" w:cs="Times New Roman"/>
                <w:sz w:val="21"/>
                <w:szCs w:val="21"/>
              </w:rPr>
              <w:t>4</w:t>
            </w:r>
            <w:r>
              <w:rPr>
                <w:rFonts w:hint="default" w:ascii="Times New Roman" w:hAnsi="Times New Roman" w:eastAsia="宋体" w:cs="Times New Roman"/>
                <w:sz w:val="21"/>
                <w:szCs w:val="21"/>
              </w:rPr>
              <w:t>分</w:t>
            </w:r>
          </w:p>
        </w:tc>
      </w:tr>
      <w:tr w14:paraId="084467C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55C4F5A8">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年龄</w:t>
            </w:r>
            <w:r>
              <w:rPr>
                <w:rFonts w:ascii="Times New Roman" w:hAnsi="Times New Roman" w:eastAsia="宋体" w:cs="Times New Roman"/>
                <w:sz w:val="21"/>
                <w:szCs w:val="21"/>
              </w:rPr>
              <w:t>41-60</w:t>
            </w:r>
          </w:p>
        </w:tc>
        <w:tc>
          <w:tcPr>
            <w:tcW w:w="2074" w:type="dxa"/>
          </w:tcPr>
          <w:p w14:paraId="00110793">
            <w:pPr>
              <w:jc w:val="left"/>
              <w:rPr>
                <w:rFonts w:hint="default" w:ascii="Times New Roman" w:hAnsi="Times New Roman" w:eastAsia="宋体" w:cs="Times New Roman"/>
                <w:szCs w:val="21"/>
              </w:rPr>
            </w:pPr>
            <w:r>
              <w:rPr>
                <w:rFonts w:ascii="Times New Roman" w:hAnsi="Times New Roman" w:eastAsia="宋体" w:cs="Times New Roman"/>
                <w:sz w:val="21"/>
                <w:szCs w:val="21"/>
              </w:rPr>
              <w:t>61-74</w:t>
            </w:r>
            <w:r>
              <w:rPr>
                <w:rFonts w:hint="default" w:ascii="Times New Roman" w:hAnsi="Times New Roman" w:eastAsia="宋体" w:cs="Times New Roman"/>
                <w:sz w:val="21"/>
                <w:szCs w:val="21"/>
              </w:rPr>
              <w:t>岁</w:t>
            </w:r>
          </w:p>
        </w:tc>
        <w:tc>
          <w:tcPr>
            <w:tcW w:w="2074" w:type="dxa"/>
          </w:tcPr>
          <w:p w14:paraId="285C4834">
            <w:pPr>
              <w:jc w:val="left"/>
              <w:rPr>
                <w:rFonts w:hint="default" w:ascii="Times New Roman" w:hAnsi="Times New Roman" w:eastAsia="宋体" w:cs="Times New Roman"/>
                <w:szCs w:val="21"/>
              </w:rPr>
            </w:pPr>
            <w:r>
              <w:rPr>
                <w:rFonts w:ascii="Times New Roman" w:hAnsi="Times New Roman" w:eastAsia="宋体" w:cs="Times New Roman"/>
                <w:sz w:val="21"/>
                <w:szCs w:val="21"/>
              </w:rPr>
              <w:t>&gt;75</w:t>
            </w:r>
            <w:r>
              <w:rPr>
                <w:rFonts w:hint="default" w:ascii="Times New Roman" w:hAnsi="Times New Roman" w:eastAsia="宋体" w:cs="Times New Roman"/>
                <w:sz w:val="21"/>
                <w:szCs w:val="21"/>
              </w:rPr>
              <w:t>岁</w:t>
            </w:r>
          </w:p>
        </w:tc>
        <w:tc>
          <w:tcPr>
            <w:tcW w:w="2074" w:type="dxa"/>
          </w:tcPr>
          <w:p w14:paraId="774AB666">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脑卒中（</w:t>
            </w:r>
            <w:r>
              <w:rPr>
                <w:rFonts w:ascii="Times New Roman" w:hAnsi="Times New Roman" w:eastAsia="宋体" w:cs="Times New Roman"/>
                <w:sz w:val="21"/>
                <w:szCs w:val="21"/>
              </w:rPr>
              <w:t>1</w:t>
            </w:r>
            <w:r>
              <w:rPr>
                <w:rFonts w:hint="default" w:ascii="Times New Roman" w:hAnsi="Times New Roman" w:eastAsia="宋体" w:cs="Times New Roman"/>
                <w:sz w:val="21"/>
                <w:szCs w:val="21"/>
              </w:rPr>
              <w:t>个月内）</w:t>
            </w:r>
          </w:p>
        </w:tc>
      </w:tr>
      <w:tr w14:paraId="396D883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434E3FE5">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小手术</w:t>
            </w:r>
          </w:p>
        </w:tc>
        <w:tc>
          <w:tcPr>
            <w:tcW w:w="2074" w:type="dxa"/>
          </w:tcPr>
          <w:p w14:paraId="2BF5FEAC">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关节镜手术</w:t>
            </w:r>
          </w:p>
        </w:tc>
        <w:tc>
          <w:tcPr>
            <w:tcW w:w="2074" w:type="dxa"/>
          </w:tcPr>
          <w:p w14:paraId="1737D518">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静脉血栓栓塞病史</w:t>
            </w:r>
          </w:p>
        </w:tc>
        <w:tc>
          <w:tcPr>
            <w:tcW w:w="2074" w:type="dxa"/>
          </w:tcPr>
          <w:p w14:paraId="53F6AD91">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关节置换术后</w:t>
            </w:r>
          </w:p>
        </w:tc>
      </w:tr>
      <w:tr w14:paraId="060452F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3A0E8496">
            <w:pPr>
              <w:jc w:val="left"/>
              <w:rPr>
                <w:rFonts w:hint="default" w:ascii="Times New Roman" w:hAnsi="Times New Roman" w:eastAsia="宋体" w:cs="Times New Roman"/>
                <w:szCs w:val="21"/>
              </w:rPr>
            </w:pPr>
            <w:r>
              <w:rPr>
                <w:rFonts w:ascii="Times New Roman" w:hAnsi="Times New Roman" w:eastAsia="宋体" w:cs="Times New Roman"/>
                <w:sz w:val="21"/>
                <w:szCs w:val="21"/>
              </w:rPr>
              <w:t>BMI&gt;25kg/m</w:t>
            </w:r>
            <w:r>
              <w:rPr>
                <w:rFonts w:ascii="Times New Roman" w:hAnsi="Times New Roman" w:eastAsia="宋体" w:cs="Times New Roman"/>
                <w:sz w:val="21"/>
                <w:szCs w:val="21"/>
                <w:vertAlign w:val="superscript"/>
              </w:rPr>
              <w:t>2</w:t>
            </w:r>
          </w:p>
        </w:tc>
        <w:tc>
          <w:tcPr>
            <w:tcW w:w="2074" w:type="dxa"/>
          </w:tcPr>
          <w:p w14:paraId="5A013E97">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大的开放性手术</w:t>
            </w:r>
            <w:r>
              <w:rPr>
                <w:rFonts w:ascii="Times New Roman" w:hAnsi="Times New Roman" w:eastAsia="宋体" w:cs="Times New Roman"/>
                <w:sz w:val="21"/>
                <w:szCs w:val="21"/>
              </w:rPr>
              <w:t>&gt;45min</w:t>
            </w:r>
          </w:p>
        </w:tc>
        <w:tc>
          <w:tcPr>
            <w:tcW w:w="2074" w:type="dxa"/>
          </w:tcPr>
          <w:p w14:paraId="7CCB075C">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静脉血栓栓塞家族史</w:t>
            </w:r>
          </w:p>
        </w:tc>
        <w:tc>
          <w:tcPr>
            <w:tcW w:w="2074" w:type="dxa"/>
          </w:tcPr>
          <w:p w14:paraId="13E652D4">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髋部、骨盆、下肢骨折</w:t>
            </w:r>
          </w:p>
        </w:tc>
      </w:tr>
      <w:tr w14:paraId="65EDF4F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6EF010FE">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静脉曲张</w:t>
            </w:r>
          </w:p>
        </w:tc>
        <w:tc>
          <w:tcPr>
            <w:tcW w:w="2074" w:type="dxa"/>
          </w:tcPr>
          <w:p w14:paraId="0AC8C7C1">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腹腔镜手术</w:t>
            </w:r>
            <w:r>
              <w:rPr>
                <w:rFonts w:ascii="Times New Roman" w:hAnsi="Times New Roman" w:eastAsia="宋体" w:cs="Times New Roman"/>
                <w:sz w:val="21"/>
                <w:szCs w:val="21"/>
              </w:rPr>
              <w:t>&gt;45min</w:t>
            </w:r>
          </w:p>
        </w:tc>
        <w:tc>
          <w:tcPr>
            <w:tcW w:w="2074" w:type="dxa"/>
          </w:tcPr>
          <w:p w14:paraId="53A3E4BE">
            <w:pPr>
              <w:jc w:val="left"/>
              <w:rPr>
                <w:rFonts w:hint="default" w:ascii="Times New Roman" w:hAnsi="Times New Roman" w:eastAsia="宋体" w:cs="Times New Roman"/>
                <w:szCs w:val="21"/>
              </w:rPr>
            </w:pPr>
            <w:r>
              <w:rPr>
                <w:rFonts w:ascii="Times New Roman" w:hAnsi="Times New Roman" w:eastAsia="宋体" w:cs="Times New Roman"/>
                <w:sz w:val="21"/>
                <w:szCs w:val="21"/>
              </w:rPr>
              <w:t>V</w:t>
            </w:r>
            <w:r>
              <w:rPr>
                <w:rFonts w:hint="default" w:ascii="Times New Roman" w:hAnsi="Times New Roman" w:eastAsia="宋体" w:cs="Times New Roman"/>
                <w:sz w:val="21"/>
                <w:szCs w:val="21"/>
              </w:rPr>
              <w:t>因子</w:t>
            </w:r>
            <w:r>
              <w:rPr>
                <w:rFonts w:ascii="Times New Roman" w:hAnsi="Times New Roman" w:eastAsia="宋体" w:cs="Times New Roman"/>
                <w:sz w:val="21"/>
                <w:szCs w:val="21"/>
              </w:rPr>
              <w:t>Leiden</w:t>
            </w:r>
            <w:r>
              <w:rPr>
                <w:rFonts w:hint="default" w:ascii="Times New Roman" w:hAnsi="Times New Roman" w:eastAsia="宋体" w:cs="Times New Roman"/>
                <w:sz w:val="21"/>
                <w:szCs w:val="21"/>
              </w:rPr>
              <w:t>突变</w:t>
            </w:r>
          </w:p>
        </w:tc>
        <w:tc>
          <w:tcPr>
            <w:tcW w:w="2074" w:type="dxa"/>
          </w:tcPr>
          <w:p w14:paraId="518B3E9D">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急性骨髓损伤（</w:t>
            </w:r>
            <w:r>
              <w:rPr>
                <w:rFonts w:ascii="Times New Roman" w:hAnsi="Times New Roman" w:eastAsia="宋体" w:cs="Times New Roman"/>
                <w:sz w:val="21"/>
                <w:szCs w:val="21"/>
              </w:rPr>
              <w:t>1</w:t>
            </w:r>
            <w:r>
              <w:rPr>
                <w:rFonts w:hint="default" w:ascii="Times New Roman" w:hAnsi="Times New Roman" w:eastAsia="宋体" w:cs="Times New Roman"/>
                <w:sz w:val="21"/>
                <w:szCs w:val="21"/>
              </w:rPr>
              <w:t>个月内）</w:t>
            </w:r>
          </w:p>
        </w:tc>
      </w:tr>
      <w:tr w14:paraId="55C6BEA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74DB58BB">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肺功能异常</w:t>
            </w:r>
          </w:p>
        </w:tc>
        <w:tc>
          <w:tcPr>
            <w:tcW w:w="2074" w:type="dxa"/>
          </w:tcPr>
          <w:p w14:paraId="1DE7F632">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恶性肿瘤需要卧床</w:t>
            </w:r>
            <w:r>
              <w:rPr>
                <w:rFonts w:ascii="Times New Roman" w:hAnsi="Times New Roman" w:eastAsia="宋体" w:cs="Times New Roman"/>
                <w:sz w:val="21"/>
                <w:szCs w:val="21"/>
              </w:rPr>
              <w:t>&gt;72h</w:t>
            </w:r>
          </w:p>
        </w:tc>
        <w:tc>
          <w:tcPr>
            <w:tcW w:w="2074" w:type="dxa"/>
          </w:tcPr>
          <w:p w14:paraId="66DCA42B">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肝素诱导的血小板减少症</w:t>
            </w:r>
          </w:p>
        </w:tc>
        <w:tc>
          <w:tcPr>
            <w:tcW w:w="2074" w:type="dxa"/>
          </w:tcPr>
          <w:p w14:paraId="3992F4D1">
            <w:pPr>
              <w:jc w:val="left"/>
              <w:rPr>
                <w:rFonts w:hint="default" w:ascii="Times New Roman" w:hAnsi="Times New Roman" w:eastAsia="宋体" w:cs="Times New Roman"/>
                <w:szCs w:val="21"/>
              </w:rPr>
            </w:pPr>
          </w:p>
        </w:tc>
      </w:tr>
      <w:tr w14:paraId="4722A6C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448E015C">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充血性心力衰竭</w:t>
            </w:r>
          </w:p>
        </w:tc>
        <w:tc>
          <w:tcPr>
            <w:tcW w:w="2074" w:type="dxa"/>
          </w:tcPr>
          <w:p w14:paraId="16D712B2">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石膏固定</w:t>
            </w:r>
          </w:p>
        </w:tc>
        <w:tc>
          <w:tcPr>
            <w:tcW w:w="2074" w:type="dxa"/>
          </w:tcPr>
          <w:p w14:paraId="53F4FC32">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血栓形成倾向</w:t>
            </w:r>
          </w:p>
        </w:tc>
        <w:tc>
          <w:tcPr>
            <w:tcW w:w="2074" w:type="dxa"/>
          </w:tcPr>
          <w:p w14:paraId="787BF994">
            <w:pPr>
              <w:jc w:val="left"/>
              <w:rPr>
                <w:rFonts w:hint="default" w:ascii="Times New Roman" w:hAnsi="Times New Roman" w:eastAsia="宋体" w:cs="Times New Roman"/>
                <w:szCs w:val="21"/>
              </w:rPr>
            </w:pPr>
          </w:p>
        </w:tc>
      </w:tr>
      <w:tr w14:paraId="5E4BF79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17656F53">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卧床</w:t>
            </w:r>
          </w:p>
        </w:tc>
        <w:tc>
          <w:tcPr>
            <w:tcW w:w="2074" w:type="dxa"/>
          </w:tcPr>
          <w:p w14:paraId="296C71C2">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中心静脉置管</w:t>
            </w:r>
          </w:p>
        </w:tc>
        <w:tc>
          <w:tcPr>
            <w:tcW w:w="2074" w:type="dxa"/>
          </w:tcPr>
          <w:p w14:paraId="4054F891">
            <w:pPr>
              <w:jc w:val="left"/>
              <w:rPr>
                <w:rFonts w:hint="default" w:ascii="Times New Roman" w:hAnsi="Times New Roman" w:eastAsia="宋体" w:cs="Times New Roman"/>
                <w:szCs w:val="21"/>
              </w:rPr>
            </w:pPr>
          </w:p>
        </w:tc>
        <w:tc>
          <w:tcPr>
            <w:tcW w:w="2074" w:type="dxa"/>
          </w:tcPr>
          <w:p w14:paraId="16D0AB65">
            <w:pPr>
              <w:jc w:val="left"/>
              <w:rPr>
                <w:rFonts w:hint="default" w:ascii="Times New Roman" w:hAnsi="Times New Roman" w:eastAsia="宋体" w:cs="Times New Roman"/>
                <w:szCs w:val="21"/>
              </w:rPr>
            </w:pPr>
          </w:p>
        </w:tc>
      </w:tr>
      <w:tr w14:paraId="0CBBDED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23654028">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急性心肌梗死</w:t>
            </w:r>
          </w:p>
        </w:tc>
        <w:tc>
          <w:tcPr>
            <w:tcW w:w="2074" w:type="dxa"/>
          </w:tcPr>
          <w:p w14:paraId="7E5B0722">
            <w:pPr>
              <w:jc w:val="left"/>
              <w:rPr>
                <w:rFonts w:hint="default" w:ascii="Times New Roman" w:hAnsi="Times New Roman" w:eastAsia="宋体" w:cs="Times New Roman"/>
                <w:szCs w:val="21"/>
              </w:rPr>
            </w:pPr>
          </w:p>
        </w:tc>
        <w:tc>
          <w:tcPr>
            <w:tcW w:w="2074" w:type="dxa"/>
          </w:tcPr>
          <w:p w14:paraId="052DA3EF">
            <w:pPr>
              <w:jc w:val="left"/>
              <w:rPr>
                <w:rFonts w:hint="default" w:ascii="Times New Roman" w:hAnsi="Times New Roman" w:eastAsia="宋体" w:cs="Times New Roman"/>
                <w:szCs w:val="21"/>
              </w:rPr>
            </w:pPr>
          </w:p>
        </w:tc>
        <w:tc>
          <w:tcPr>
            <w:tcW w:w="2074" w:type="dxa"/>
          </w:tcPr>
          <w:p w14:paraId="42F6AF9C">
            <w:pPr>
              <w:jc w:val="left"/>
              <w:rPr>
                <w:rFonts w:hint="default" w:ascii="Times New Roman" w:hAnsi="Times New Roman" w:eastAsia="宋体" w:cs="Times New Roman"/>
                <w:szCs w:val="21"/>
              </w:rPr>
            </w:pPr>
          </w:p>
        </w:tc>
      </w:tr>
      <w:tr w14:paraId="5875CAA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1E5FEE64">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脓毒血症</w:t>
            </w:r>
          </w:p>
        </w:tc>
        <w:tc>
          <w:tcPr>
            <w:tcW w:w="2074" w:type="dxa"/>
          </w:tcPr>
          <w:p w14:paraId="61492C79">
            <w:pPr>
              <w:jc w:val="left"/>
              <w:rPr>
                <w:rFonts w:hint="default" w:ascii="Times New Roman" w:hAnsi="Times New Roman" w:eastAsia="宋体" w:cs="Times New Roman"/>
                <w:szCs w:val="21"/>
              </w:rPr>
            </w:pPr>
          </w:p>
        </w:tc>
        <w:tc>
          <w:tcPr>
            <w:tcW w:w="2074" w:type="dxa"/>
          </w:tcPr>
          <w:p w14:paraId="4F3BF5FF">
            <w:pPr>
              <w:jc w:val="left"/>
              <w:rPr>
                <w:rFonts w:hint="default" w:ascii="Times New Roman" w:hAnsi="Times New Roman" w:eastAsia="宋体" w:cs="Times New Roman"/>
                <w:szCs w:val="21"/>
              </w:rPr>
            </w:pPr>
          </w:p>
        </w:tc>
        <w:tc>
          <w:tcPr>
            <w:tcW w:w="2074" w:type="dxa"/>
          </w:tcPr>
          <w:p w14:paraId="4A5921E2">
            <w:pPr>
              <w:jc w:val="left"/>
              <w:rPr>
                <w:rFonts w:hint="default" w:ascii="Times New Roman" w:hAnsi="Times New Roman" w:eastAsia="宋体" w:cs="Times New Roman"/>
                <w:szCs w:val="21"/>
              </w:rPr>
            </w:pPr>
          </w:p>
        </w:tc>
      </w:tr>
      <w:tr w14:paraId="63DB3EF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39ECEDB8">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严重肺部疾病</w:t>
            </w:r>
          </w:p>
        </w:tc>
        <w:tc>
          <w:tcPr>
            <w:tcW w:w="2074" w:type="dxa"/>
          </w:tcPr>
          <w:p w14:paraId="51687F63">
            <w:pPr>
              <w:jc w:val="left"/>
              <w:rPr>
                <w:rFonts w:hint="default" w:ascii="Times New Roman" w:hAnsi="Times New Roman" w:eastAsia="宋体" w:cs="Times New Roman"/>
                <w:szCs w:val="21"/>
              </w:rPr>
            </w:pPr>
          </w:p>
        </w:tc>
        <w:tc>
          <w:tcPr>
            <w:tcW w:w="2074" w:type="dxa"/>
          </w:tcPr>
          <w:p w14:paraId="30EBE71C">
            <w:pPr>
              <w:jc w:val="left"/>
              <w:rPr>
                <w:rFonts w:hint="default" w:ascii="Times New Roman" w:hAnsi="Times New Roman" w:eastAsia="宋体" w:cs="Times New Roman"/>
                <w:szCs w:val="21"/>
              </w:rPr>
            </w:pPr>
          </w:p>
        </w:tc>
        <w:tc>
          <w:tcPr>
            <w:tcW w:w="2074" w:type="dxa"/>
          </w:tcPr>
          <w:p w14:paraId="650DF775">
            <w:pPr>
              <w:jc w:val="left"/>
              <w:rPr>
                <w:rFonts w:hint="default" w:ascii="Times New Roman" w:hAnsi="Times New Roman" w:eastAsia="宋体" w:cs="Times New Roman"/>
                <w:szCs w:val="21"/>
              </w:rPr>
            </w:pPr>
          </w:p>
        </w:tc>
      </w:tr>
      <w:tr w14:paraId="5A7AEC3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74" w:type="dxa"/>
          </w:tcPr>
          <w:p w14:paraId="6D0C3092">
            <w:pPr>
              <w:jc w:val="left"/>
              <w:rPr>
                <w:rFonts w:hint="default" w:ascii="Times New Roman" w:hAnsi="Times New Roman" w:eastAsia="宋体" w:cs="Times New Roman"/>
                <w:szCs w:val="21"/>
              </w:rPr>
            </w:pPr>
            <w:r>
              <w:rPr>
                <w:rFonts w:hint="default" w:ascii="Times New Roman" w:hAnsi="Times New Roman" w:eastAsia="宋体" w:cs="Times New Roman"/>
                <w:sz w:val="21"/>
                <w:szCs w:val="21"/>
              </w:rPr>
              <w:t>急性心力衰竭</w:t>
            </w:r>
          </w:p>
        </w:tc>
        <w:tc>
          <w:tcPr>
            <w:tcW w:w="2074" w:type="dxa"/>
          </w:tcPr>
          <w:p w14:paraId="07B047E1">
            <w:pPr>
              <w:jc w:val="left"/>
              <w:rPr>
                <w:rFonts w:hint="default" w:ascii="Times New Roman" w:hAnsi="Times New Roman" w:eastAsia="宋体" w:cs="Times New Roman"/>
                <w:szCs w:val="21"/>
              </w:rPr>
            </w:pPr>
          </w:p>
          <w:p w14:paraId="2FA78509"/>
        </w:tc>
        <w:tc>
          <w:tcPr>
            <w:tcW w:w="2074" w:type="dxa"/>
          </w:tcPr>
          <w:p w14:paraId="10C23984">
            <w:pPr>
              <w:jc w:val="left"/>
              <w:rPr>
                <w:rFonts w:hint="default" w:ascii="Times New Roman" w:hAnsi="Times New Roman" w:eastAsia="宋体" w:cs="Times New Roman"/>
                <w:szCs w:val="21"/>
              </w:rPr>
            </w:pPr>
          </w:p>
        </w:tc>
        <w:tc>
          <w:tcPr>
            <w:tcW w:w="2074" w:type="dxa"/>
          </w:tcPr>
          <w:p w14:paraId="062527F7">
            <w:pPr>
              <w:jc w:val="left"/>
              <w:rPr>
                <w:rFonts w:hint="default" w:ascii="Times New Roman" w:hAnsi="Times New Roman" w:eastAsia="宋体" w:cs="Times New Roman"/>
                <w:szCs w:val="21"/>
              </w:rPr>
            </w:pPr>
          </w:p>
        </w:tc>
      </w:tr>
    </w:tbl>
    <w:p w14:paraId="38C60B99">
      <w:pPr>
        <w:ind w:firstLine="422" w:firstLineChars="200"/>
        <w:jc w:val="left"/>
        <w:rPr>
          <w:rFonts w:hint="eastAsia" w:ascii="宋体" w:hAnsi="宋体" w:eastAsia="宋体"/>
          <w:b/>
          <w:bCs/>
        </w:rPr>
      </w:pPr>
      <w:r>
        <w:rPr>
          <w:rFonts w:ascii="宋体" w:hAnsi="宋体" w:eastAsia="宋体"/>
          <w:b/>
          <w:bCs/>
        </w:rPr>
        <w:fldChar w:fldCharType="begin"/>
      </w:r>
      <w:r>
        <w:rPr>
          <w:rFonts w:ascii="宋体" w:hAnsi="宋体" w:eastAsia="宋体"/>
          <w:b/>
          <w:bCs/>
        </w:rPr>
        <w:instrText xml:space="preserve"> </w:instrText>
      </w:r>
      <w:r>
        <w:rPr>
          <w:rFonts w:hint="eastAsia" w:ascii="宋体" w:hAnsi="宋体" w:eastAsia="宋体"/>
          <w:b/>
          <w:bCs/>
        </w:rPr>
        <w:instrText xml:space="preserve">= 4 \* GB3</w:instrText>
      </w:r>
      <w:r>
        <w:rPr>
          <w:rFonts w:ascii="宋体" w:hAnsi="宋体" w:eastAsia="宋体"/>
          <w:b/>
          <w:bCs/>
        </w:rPr>
        <w:instrText xml:space="preserve"> </w:instrText>
      </w:r>
      <w:r>
        <w:rPr>
          <w:rFonts w:ascii="宋体" w:hAnsi="宋体" w:eastAsia="宋体"/>
          <w:b/>
          <w:bCs/>
        </w:rPr>
        <w:fldChar w:fldCharType="separate"/>
      </w:r>
      <w:r>
        <w:rPr>
          <w:rFonts w:hint="eastAsia" w:ascii="宋体" w:hAnsi="宋体" w:eastAsia="宋体"/>
          <w:b/>
          <w:bCs/>
        </w:rPr>
        <w:t>④</w:t>
      </w:r>
      <w:r>
        <w:rPr>
          <w:rFonts w:ascii="宋体" w:hAnsi="宋体" w:eastAsia="宋体"/>
          <w:b/>
          <w:bCs/>
        </w:rPr>
        <w:fldChar w:fldCharType="end"/>
      </w:r>
      <w:r>
        <w:rPr>
          <w:rFonts w:hint="eastAsia" w:ascii="宋体" w:hAnsi="宋体" w:eastAsia="宋体"/>
          <w:b/>
          <w:bCs/>
        </w:rPr>
        <w:t>出血风险评估</w:t>
      </w:r>
    </w:p>
    <w:p w14:paraId="20B7B6D7">
      <w:pPr>
        <w:ind w:firstLine="420" w:firstLineChars="200"/>
        <w:rPr>
          <w:rFonts w:hint="default" w:ascii="Times New Roman" w:hAnsi="Times New Roman" w:eastAsia="宋体" w:cs="Times New Roman"/>
        </w:rPr>
      </w:pPr>
      <w:r>
        <w:rPr>
          <w:rFonts w:hint="default" w:ascii="Times New Roman" w:hAnsi="Times New Roman" w:eastAsia="宋体" w:cs="Times New Roman"/>
        </w:rPr>
        <w:t>在术前需要全面、系统地评估患者有无引起出血的危险因素，尤其是抗凝抗血小板类药物的使用，并针对病因进行处理，必要时应预防性应用止血药物，以预防或减少术中、术后出血风险，具体主要包括以下几个方面：</w:t>
      </w:r>
      <w:r>
        <w:rPr>
          <w:rFonts w:ascii="Times New Roman" w:hAnsi="Times New Roman" w:eastAsia="宋体" w:cs="Times New Roman"/>
        </w:rPr>
        <w:t>(1)询问</w:t>
      </w:r>
      <w:r>
        <w:rPr>
          <w:rFonts w:hint="default" w:ascii="Times New Roman" w:hAnsi="Times New Roman" w:eastAsia="宋体" w:cs="Times New Roman"/>
        </w:rPr>
        <w:t>患者基础病史（</w:t>
      </w:r>
      <w:r>
        <w:rPr>
          <w:rFonts w:ascii="Times New Roman" w:hAnsi="Times New Roman" w:eastAsia="宋体" w:cs="Times New Roman"/>
        </w:rPr>
        <w:t>如慢性肝肾疾病、结缔组织病或淀粉样变性等</w:t>
      </w:r>
      <w:r>
        <w:rPr>
          <w:rFonts w:hint="default" w:ascii="Times New Roman" w:hAnsi="Times New Roman" w:eastAsia="宋体" w:cs="Times New Roman"/>
        </w:rPr>
        <w:t>）、既往手术出血史、</w:t>
      </w:r>
      <w:r>
        <w:rPr>
          <w:rFonts w:ascii="Times New Roman" w:hAnsi="Times New Roman" w:eastAsia="宋体" w:cs="Times New Roman"/>
        </w:rPr>
        <w:t>有无出血倾向</w:t>
      </w:r>
      <w:r>
        <w:rPr>
          <w:rFonts w:hint="default" w:ascii="Times New Roman" w:hAnsi="Times New Roman" w:eastAsia="宋体" w:cs="Times New Roman"/>
        </w:rPr>
        <w:t>或出血史（包括鼻衄</w:t>
      </w:r>
      <w:r>
        <w:rPr>
          <w:rFonts w:ascii="Times New Roman" w:hAnsi="Times New Roman" w:eastAsia="宋体" w:cs="Times New Roman"/>
        </w:rPr>
        <w:t>、齿龈出血、皮</w:t>
      </w:r>
      <w:r>
        <w:rPr>
          <w:rFonts w:hint="default" w:ascii="Times New Roman" w:hAnsi="Times New Roman" w:eastAsia="宋体" w:cs="Times New Roman"/>
        </w:rPr>
        <w:t>肤淤斑</w:t>
      </w:r>
      <w:r>
        <w:rPr>
          <w:rFonts w:ascii="Times New Roman" w:hAnsi="Times New Roman" w:eastAsia="宋体" w:cs="Times New Roman"/>
        </w:rPr>
        <w:t>、尿血或便血、关节或软组织出血；有无自发</w:t>
      </w:r>
      <w:r>
        <w:rPr>
          <w:rFonts w:hint="default" w:ascii="Times New Roman" w:hAnsi="Times New Roman" w:eastAsia="宋体" w:cs="Times New Roman"/>
        </w:rPr>
        <w:t>性</w:t>
      </w:r>
      <w:r>
        <w:rPr>
          <w:rFonts w:ascii="Times New Roman" w:hAnsi="Times New Roman" w:eastAsia="宋体" w:cs="Times New Roman"/>
        </w:rPr>
        <w:t>出血或轻微外伤后的显著出血</w:t>
      </w:r>
      <w:r>
        <w:rPr>
          <w:rFonts w:hint="default" w:ascii="Times New Roman" w:hAnsi="Times New Roman" w:eastAsia="宋体" w:cs="Times New Roman"/>
        </w:rPr>
        <w:t>）</w:t>
      </w:r>
      <w:r>
        <w:rPr>
          <w:rFonts w:ascii="Times New Roman" w:hAnsi="Times New Roman" w:eastAsia="宋体" w:cs="Times New Roman"/>
        </w:rPr>
        <w:t>，有无血液系统疾病史以及家族史。(2)有无口服抗血小板药物或抗凝药物史，是否已经停药，以及停药时间。(3)</w:t>
      </w:r>
      <w:r>
        <w:rPr>
          <w:rFonts w:hint="default" w:ascii="Times New Roman" w:hAnsi="Times New Roman" w:eastAsia="宋体" w:cs="Times New Roman"/>
        </w:rPr>
        <w:t>术前常规凝血功能检查对于评估患者的围手术期出血风险至关重要，包括血小板计数、</w:t>
      </w:r>
      <w:r>
        <w:rPr>
          <w:rFonts w:ascii="Times New Roman" w:hAnsi="Times New Roman" w:eastAsia="宋体" w:cs="Times New Roman"/>
        </w:rPr>
        <w:t>PT、APTT和纤维蛋白原（Fbg）等血常规检查可以评估血小板数量，凝血酶原时间(PT)、活化部分凝血活酶时间(APTT)和国际标准化比值(INR)水平可评估患者的凝血功能，服用华法林者需常规检测INR水平。血栓弹力图通过观察</w:t>
      </w:r>
      <w:r>
        <w:rPr>
          <w:rFonts w:hint="default" w:ascii="Times New Roman" w:hAnsi="Times New Roman" w:eastAsia="宋体" w:cs="Times New Roman"/>
        </w:rPr>
        <w:t>血液凝固的动态变化和纤维蛋白形成过程的动力学变化，可反映血小板凝血因子活性、纤维蛋白原功能和血小板聚集功能，有助于评估口服抗凝或抗血小板是否服用过抗血小板药物或抗凝药物，如阿司匹林、氯吡格雷、替格瑞洛、肝素、非甾体类抗炎药物、达比加群、利伐沙班和华法林等；（4）仔细的体格检查有助于进一步发现出血性疾病</w:t>
      </w:r>
      <w:r>
        <w:rPr>
          <w:rFonts w:ascii="Times New Roman" w:hAnsi="Times New Roman" w:eastAsia="宋体" w:cs="Times New Roman"/>
        </w:rPr>
        <w:t>的线索，例如皮</w:t>
      </w:r>
      <w:r>
        <w:rPr>
          <w:rFonts w:hint="default" w:ascii="Times New Roman" w:hAnsi="Times New Roman" w:eastAsia="宋体" w:cs="Times New Roman"/>
        </w:rPr>
        <w:t>肤淤点或紫癜</w:t>
      </w:r>
      <w:r>
        <w:rPr>
          <w:rFonts w:ascii="Times New Roman" w:hAnsi="Times New Roman" w:eastAsia="宋体" w:cs="Times New Roman"/>
        </w:rPr>
        <w:t>可提示血小板质或量的缺陷，颜面部</w:t>
      </w:r>
      <w:r>
        <w:rPr>
          <w:rFonts w:hint="default" w:ascii="Times New Roman" w:hAnsi="Times New Roman" w:eastAsia="宋体" w:cs="Times New Roman"/>
        </w:rPr>
        <w:t>毛细血管扩张应警惕遗传性毛细血管扩张症</w:t>
      </w:r>
      <w:r>
        <w:rPr>
          <w:rFonts w:ascii="Times New Roman" w:hAnsi="Times New Roman" w:eastAsia="宋体" w:cs="Times New Roman"/>
        </w:rPr>
        <w:t>，而关</w:t>
      </w:r>
      <w:r>
        <w:rPr>
          <w:rFonts w:hint="default" w:ascii="Times New Roman" w:hAnsi="Times New Roman" w:eastAsia="宋体" w:cs="Times New Roman"/>
        </w:rPr>
        <w:t>节肿胀或畸形应除外严重的凝血因子缺乏等。（5）综合病史、实验室和影像学检查结果，权衡患者的出血和血栓栓塞风险，必要时可组织多学科会诊。</w:t>
      </w:r>
    </w:p>
    <w:p w14:paraId="42EE09CE">
      <w:pPr>
        <w:pStyle w:val="1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谵妄评估</w:t>
      </w:r>
    </w:p>
    <w:p w14:paraId="40FB0A6A">
      <w:pPr>
        <w:pStyle w:val="48"/>
        <w:ind w:left="0" w:firstLine="420" w:firstLineChars="200"/>
        <w:jc w:val="both"/>
        <w:rPr>
          <w:rFonts w:hint="default" w:ascii="Times New Roman" w:hAnsi="Times New Roman" w:eastAsia="宋体" w:cs="Times New Roman"/>
        </w:rPr>
      </w:pPr>
      <w:r>
        <w:rPr>
          <w:rFonts w:ascii="Times New Roman" w:hAnsi="Times New Roman" w:eastAsia="宋体" w:cs="Times New Roman"/>
        </w:rPr>
        <w:t>谵妄的发生是易感</w:t>
      </w:r>
      <w:r>
        <w:rPr>
          <w:rFonts w:hint="default" w:ascii="Times New Roman" w:hAnsi="Times New Roman" w:eastAsia="宋体" w:cs="Times New Roman"/>
        </w:rPr>
        <w:t>因素和诱发因素共同作用的结果，</w:t>
      </w:r>
      <w:r>
        <w:rPr>
          <w:rFonts w:ascii="Times New Roman" w:hAnsi="Times New Roman" w:eastAsia="宋体" w:cs="Times New Roman"/>
        </w:rPr>
        <w:t>了解这些因素有助于识别术后</w:t>
      </w:r>
      <w:r>
        <w:rPr>
          <w:rFonts w:hint="default" w:ascii="Times New Roman" w:hAnsi="Times New Roman" w:eastAsia="宋体" w:cs="Times New Roman"/>
        </w:rPr>
        <w:t>谵妄的高危患者和采取相应的预防措施，常见的易感因素及诱发因素见表14。对老年外科患者术前应了解患者一般情况，既往病史及合并疾病，精神状态、体力及活动状态、营养情况及药物治疗等，并进行常规的电解质、血糖、贫血、白蛋白水平、肝肾功能等化验室检查。对老年患者实行个体化管理，针对评估存在的易感因素和诱发因素进行综合管理，可有效的减少老年患者术后谵妄的发生率。</w:t>
      </w:r>
    </w:p>
    <w:p w14:paraId="79CB5188">
      <w:pPr>
        <w:pStyle w:val="48"/>
        <w:autoSpaceDE w:val="0"/>
        <w:autoSpaceDN w:val="0"/>
        <w:adjustRightInd w:val="0"/>
        <w:ind w:left="0"/>
        <w:jc w:val="center"/>
        <w:rPr>
          <w:rFonts w:hint="eastAsia" w:ascii="宋体" w:hAnsi="宋体" w:eastAsia="宋体"/>
        </w:rPr>
      </w:pPr>
      <w:r>
        <w:rPr>
          <w:rFonts w:hint="eastAsia" w:ascii="宋体" w:hAnsi="宋体" w:eastAsia="宋体"/>
        </w:rPr>
        <w:t>表</w:t>
      </w:r>
      <w:r>
        <w:rPr>
          <w:rFonts w:hint="default" w:ascii="Times New Roman" w:hAnsi="Times New Roman" w:eastAsia="宋体" w:cs="Times New Roman"/>
        </w:rPr>
        <w:t>15</w:t>
      </w:r>
      <w:r>
        <w:rPr>
          <w:rFonts w:ascii="宋体" w:hAnsi="宋体" w:eastAsia="宋体"/>
        </w:rPr>
        <w:t xml:space="preserve"> </w:t>
      </w:r>
      <w:r>
        <w:rPr>
          <w:rFonts w:hint="eastAsia" w:ascii="宋体" w:hAnsi="宋体" w:eastAsia="宋体"/>
        </w:rPr>
        <w:t>术后谵妄的易感因素和诱发因素</w:t>
      </w:r>
    </w:p>
    <w:tbl>
      <w:tblPr>
        <w:tblStyle w:val="13"/>
        <w:tblW w:w="8926"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926"/>
      </w:tblGrid>
      <w:tr w14:paraId="13879A8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26" w:type="dxa"/>
          </w:tcPr>
          <w:p w14:paraId="0803C41F">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易感因素</w:t>
            </w:r>
          </w:p>
        </w:tc>
      </w:tr>
      <w:tr w14:paraId="19ACEEB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26" w:type="dxa"/>
          </w:tcPr>
          <w:p w14:paraId="543FE889">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年龄（≥</w:t>
            </w:r>
            <w:r>
              <w:rPr>
                <w:rFonts w:ascii="Times New Roman" w:hAnsi="Times New Roman" w:eastAsia="宋体" w:cs="Times New Roman"/>
                <w:sz w:val="21"/>
                <w:szCs w:val="21"/>
              </w:rPr>
              <w:t>65</w:t>
            </w:r>
            <w:r>
              <w:rPr>
                <w:rFonts w:hint="default" w:ascii="Times New Roman" w:hAnsi="Times New Roman" w:eastAsia="宋体" w:cs="Times New Roman"/>
                <w:sz w:val="21"/>
                <w:szCs w:val="21"/>
              </w:rPr>
              <w:t>岁）</w:t>
            </w:r>
          </w:p>
          <w:p w14:paraId="32C8B227">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吸烟，酗酒，滥用药物</w:t>
            </w:r>
          </w:p>
          <w:p w14:paraId="58674899">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并存疾病</w:t>
            </w:r>
          </w:p>
          <w:p w14:paraId="0D590BE6">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严重疾病，终末期疾病</w:t>
            </w:r>
          </w:p>
          <w:p w14:paraId="2C2A22C4">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多种合并症（脑卒中，高血压，冠心病，心力衰竭，慢性阻塞性肺病，糖尿病，慢性肾病，贫血，外周血管疾病，慢性疼痛，脱水，电解质紊乱，代谢紊乱，营养不良，低蛋白血症，创伤或骨折，精神疾病）</w:t>
            </w:r>
          </w:p>
          <w:p w14:paraId="6784731F">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认知功能储备降低</w:t>
            </w:r>
          </w:p>
          <w:p w14:paraId="5F4155C2">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痴呆，认知障碍，脑萎缩</w:t>
            </w:r>
          </w:p>
          <w:p w14:paraId="6883EA16">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焦虑 抑郁，谵妄病史</w:t>
            </w:r>
          </w:p>
          <w:p w14:paraId="27B83C70">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生理功能储备降低</w:t>
            </w:r>
          </w:p>
          <w:p w14:paraId="61F3647C">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衰弱，自主活动受限，活动耐量降低</w:t>
            </w:r>
          </w:p>
          <w:p w14:paraId="5162D40B">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视觉或听觉损害</w:t>
            </w:r>
          </w:p>
          <w:p w14:paraId="576D9285">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睡眠呼吸紊乱</w:t>
            </w:r>
            <w:r>
              <w:rPr>
                <w:rFonts w:ascii="Times New Roman" w:hAnsi="Times New Roman" w:eastAsia="宋体" w:cs="Times New Roman"/>
                <w:sz w:val="21"/>
                <w:szCs w:val="21"/>
              </w:rPr>
              <w:t>/</w:t>
            </w:r>
            <w:r>
              <w:rPr>
                <w:rFonts w:hint="default" w:ascii="Times New Roman" w:hAnsi="Times New Roman" w:eastAsia="宋体" w:cs="Times New Roman"/>
                <w:sz w:val="21"/>
                <w:szCs w:val="21"/>
              </w:rPr>
              <w:t>失眠症</w:t>
            </w:r>
          </w:p>
          <w:p w14:paraId="219AE111">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药物应用</w:t>
            </w:r>
          </w:p>
          <w:p w14:paraId="4DB92077">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有精神作用的药物</w:t>
            </w:r>
          </w:p>
          <w:p w14:paraId="521F6685">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多种药物治疗</w:t>
            </w:r>
          </w:p>
        </w:tc>
      </w:tr>
      <w:tr w14:paraId="72B3E66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26" w:type="dxa"/>
          </w:tcPr>
          <w:p w14:paraId="1A4F63C9">
            <w:pPr>
              <w:autoSpaceDE w:val="0"/>
              <w:autoSpaceDN w:val="0"/>
              <w:adjustRightInd w:val="0"/>
              <w:snapToGrid w:val="0"/>
              <w:jc w:val="left"/>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诱发因素</w:t>
            </w:r>
          </w:p>
        </w:tc>
      </w:tr>
      <w:tr w14:paraId="1B41B19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26" w:type="dxa"/>
          </w:tcPr>
          <w:p w14:paraId="7A9B6CE3">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药物</w:t>
            </w:r>
          </w:p>
          <w:p w14:paraId="37AD2E63">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镇静催眠药；抗胆碱药；多种药物治疗</w:t>
            </w:r>
          </w:p>
          <w:p w14:paraId="09D9516D">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手术</w:t>
            </w:r>
          </w:p>
          <w:p w14:paraId="711584AF">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心血管手术；非心脏手术；长时间体外循环；各种诊断性操作</w:t>
            </w:r>
          </w:p>
          <w:p w14:paraId="61900F5B">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手术时间，手术方式，麻醉方式</w:t>
            </w:r>
          </w:p>
          <w:p w14:paraId="6EA9F18B">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术中低血压，术中低脑氧饱和度，术中输血</w:t>
            </w:r>
          </w:p>
          <w:p w14:paraId="08A45963">
            <w:pPr>
              <w:autoSpaceDE w:val="0"/>
              <w:autoSpaceDN w:val="0"/>
              <w:adjustRightInd w:val="0"/>
              <w:snapToGrid w:val="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术后</w:t>
            </w:r>
          </w:p>
          <w:p w14:paraId="2405D00E">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精神紧张，睡眠障碍，</w:t>
            </w:r>
            <w:r>
              <w:rPr>
                <w:rFonts w:ascii="Times New Roman" w:hAnsi="Times New Roman" w:eastAsia="宋体" w:cs="Times New Roman"/>
                <w:sz w:val="21"/>
                <w:szCs w:val="21"/>
              </w:rPr>
              <w:t>ICU</w:t>
            </w:r>
            <w:r>
              <w:rPr>
                <w:rFonts w:hint="default" w:ascii="Times New Roman" w:hAnsi="Times New Roman" w:eastAsia="宋体" w:cs="Times New Roman"/>
                <w:sz w:val="21"/>
                <w:szCs w:val="21"/>
              </w:rPr>
              <w:t>，环境改变，身体束缚，导尿管和各种引流管</w:t>
            </w:r>
          </w:p>
          <w:p w14:paraId="0E0B7F8E">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并发疾病，感染，严重急性疾病，代谢紊乱，脑卒中</w:t>
            </w:r>
          </w:p>
          <w:p w14:paraId="6A293596">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发热或低体温，休克，低氧血症，贫血，脱水，营养不良，低蛋白血症</w:t>
            </w:r>
          </w:p>
          <w:p w14:paraId="49F9B4E0">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疼痛</w:t>
            </w:r>
          </w:p>
          <w:p w14:paraId="0B9CD91C">
            <w:pPr>
              <w:autoSpaceDE w:val="0"/>
              <w:autoSpaceDN w:val="0"/>
              <w:adjustRightInd w:val="0"/>
              <w:snapToGrid w:val="0"/>
              <w:ind w:firstLine="420" w:firstLineChars="200"/>
              <w:jc w:val="left"/>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机械通气</w:t>
            </w:r>
          </w:p>
        </w:tc>
      </w:tr>
    </w:tbl>
    <w:p w14:paraId="23CE9A71">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术后恶心呕吐</w:t>
      </w:r>
    </w:p>
    <w:p w14:paraId="4807A84F">
      <w:pPr>
        <w:pStyle w:val="48"/>
        <w:ind w:left="0" w:firstLine="420" w:firstLineChars="200"/>
        <w:jc w:val="both"/>
        <w:rPr>
          <w:rFonts w:hint="default" w:ascii="Times New Roman" w:hAnsi="Times New Roman" w:eastAsia="宋体" w:cs="Times New Roman"/>
        </w:rPr>
      </w:pPr>
      <w:r>
        <w:rPr>
          <w:rFonts w:hint="default" w:ascii="Times New Roman" w:hAnsi="Times New Roman" w:eastAsia="宋体" w:cs="Times New Roman"/>
        </w:rPr>
        <w:t>术后恶心呕吐</w:t>
      </w:r>
      <w:r>
        <w:rPr>
          <w:rFonts w:ascii="Times New Roman" w:hAnsi="Times New Roman" w:eastAsia="宋体" w:cs="Times New Roman"/>
        </w:rPr>
        <w:t>(postoperative nausea and vomiting, PONV</w:t>
      </w:r>
      <w:r>
        <w:rPr>
          <w:rFonts w:hint="default" w:ascii="Times New Roman" w:hAnsi="Times New Roman" w:eastAsia="宋体" w:cs="Times New Roman"/>
        </w:rPr>
        <w:t>)</w:t>
      </w:r>
      <w:r>
        <w:rPr>
          <w:rFonts w:ascii="Times New Roman" w:hAnsi="Times New Roman" w:eastAsia="宋体" w:cs="Times New Roman"/>
        </w:rPr>
        <w:t>是</w:t>
      </w:r>
      <w:r>
        <w:rPr>
          <w:rFonts w:hint="default" w:ascii="Times New Roman" w:hAnsi="Times New Roman" w:eastAsia="宋体" w:cs="Times New Roman"/>
        </w:rPr>
        <w:t>术后常见的问题，其</w:t>
      </w:r>
      <w:r>
        <w:rPr>
          <w:rFonts w:ascii="Times New Roman" w:hAnsi="Times New Roman" w:eastAsia="宋体" w:cs="Times New Roman"/>
        </w:rPr>
        <w:t>发生率因患者因素和麻醉选择的不同而有所差异，也可能因手术类型不同而有所差异</w:t>
      </w:r>
      <w:r>
        <w:rPr>
          <w:rFonts w:hint="default" w:ascii="Times New Roman" w:hAnsi="Times New Roman" w:eastAsia="宋体" w:cs="Times New Roman"/>
        </w:rPr>
        <w:t>，患者</w:t>
      </w:r>
      <w:r>
        <w:rPr>
          <w:rFonts w:ascii="Times New Roman" w:hAnsi="Times New Roman" w:eastAsia="宋体" w:cs="Times New Roman"/>
        </w:rPr>
        <w:t>PONV危险因素主要包括术前恶心呕吐、女性、晕动病病史、非吸烟者、年龄、化疗所致恶心呕吐、麻醉因素、手术类型等。</w:t>
      </w:r>
      <w:r>
        <w:rPr>
          <w:rFonts w:hint="default" w:ascii="Times New Roman" w:hAnsi="Times New Roman" w:eastAsia="宋体" w:cs="Times New Roman"/>
        </w:rPr>
        <w:t>临床采用简化风险评分系统进行</w:t>
      </w:r>
      <w:r>
        <w:rPr>
          <w:rFonts w:ascii="Times New Roman" w:hAnsi="Times New Roman" w:eastAsia="宋体" w:cs="Times New Roman"/>
        </w:rPr>
        <w:t>PONV</w:t>
      </w:r>
      <w:r>
        <w:rPr>
          <w:rFonts w:hint="default" w:ascii="Times New Roman" w:hAnsi="Times New Roman" w:eastAsia="宋体" w:cs="Times New Roman"/>
        </w:rPr>
        <w:t>评估，简化版风险评分系统的内容包含以下</w:t>
      </w:r>
      <w:r>
        <w:rPr>
          <w:rFonts w:ascii="Times New Roman" w:hAnsi="Times New Roman" w:eastAsia="宋体" w:cs="Times New Roman"/>
        </w:rPr>
        <w:t>4种高度预测性危险因素：女性、非吸烟患者、晕动病史或既往PONV病史、预期术后给予阿片类药物。这一风险评分系统已在各机构内及机构间进行验证。存在0、1、2、3和4项这些危险因素时，相应的PONV风险分别是10%、20%、40%、60%及80%</w:t>
      </w:r>
      <w:r>
        <w:rPr>
          <w:rFonts w:hint="default" w:ascii="Times New Roman" w:hAnsi="Times New Roman" w:eastAsia="宋体" w:cs="Times New Roman"/>
        </w:rPr>
        <w:t>。</w:t>
      </w:r>
    </w:p>
    <w:p w14:paraId="68D0AE92">
      <w:pPr>
        <w:pStyle w:val="48"/>
        <w:numPr>
          <w:ilvl w:val="1"/>
          <w:numId w:val="1"/>
        </w:numPr>
        <w:spacing w:before="156" w:beforeLines="50" w:after="156" w:afterLines="50"/>
        <w:ind w:firstLineChars="0"/>
        <w:jc w:val="left"/>
        <w:rPr>
          <w:rFonts w:hint="eastAsia" w:ascii="黑体" w:hAnsi="黑体" w:eastAsia="黑体" w:cs="黑体"/>
          <w:bCs/>
          <w:szCs w:val="21"/>
        </w:rPr>
      </w:pPr>
      <w:r>
        <w:rPr>
          <w:rFonts w:hint="eastAsia" w:ascii="黑体" w:hAnsi="黑体" w:eastAsia="黑体" w:cs="黑体"/>
          <w:bCs/>
          <w:szCs w:val="21"/>
        </w:rPr>
        <w:t>疼痛评估</w:t>
      </w:r>
    </w:p>
    <w:p w14:paraId="28C60902">
      <w:pPr>
        <w:pStyle w:val="48"/>
        <w:ind w:left="0" w:firstLine="420" w:firstLineChars="200"/>
        <w:jc w:val="both"/>
        <w:rPr>
          <w:rFonts w:hint="eastAsia" w:ascii="Times New Roman" w:hAnsi="Times New Roman" w:eastAsia="宋体" w:cs="Times New Roman"/>
        </w:rPr>
      </w:pPr>
      <w:r>
        <w:rPr>
          <w:rFonts w:hint="eastAsia" w:ascii="Times New Roman" w:hAnsi="Times New Roman" w:eastAsia="宋体" w:cs="Times New Roman"/>
        </w:rPr>
        <w:t>手术后疼痛</w:t>
      </w:r>
      <w:r>
        <w:rPr>
          <w:rFonts w:ascii="Times New Roman" w:hAnsi="Times New Roman" w:eastAsia="宋体" w:cs="Times New Roman"/>
        </w:rPr>
        <w:t>(postoperative pain)是手术后即刻发生的急性疼痛，包括躯体痛和内脏痛。</w:t>
      </w:r>
      <w:r>
        <w:rPr>
          <w:rFonts w:hint="eastAsia" w:ascii="Times New Roman" w:hAnsi="Times New Roman" w:eastAsia="宋体" w:cs="Times New Roman"/>
        </w:rPr>
        <w:t>老年患者围手术期疼痛评估极具挑战，为了确定哪种疼痛量表最适合使用，需要仔细评估老年患者的认知和言语功能。老年患者可能伴随的记忆、认知、表达、交流障碍等因素增加了术后疼痛评估的难度，特别是有认知功能障碍的老年患者，从而导致其疼痛程度被低估。临床上常用的评估方式均可用于老年患者术后疼痛的评估</w:t>
      </w:r>
      <w:r>
        <w:rPr>
          <w:rFonts w:ascii="Times New Roman" w:hAnsi="Times New Roman" w:eastAsia="宋体" w:cs="Times New Roman"/>
        </w:rPr>
        <w:t>。</w:t>
      </w:r>
      <w:r>
        <w:rPr>
          <w:rFonts w:hint="eastAsia" w:ascii="Times New Roman" w:hAnsi="Times New Roman" w:eastAsia="宋体" w:cs="Times New Roman"/>
        </w:rPr>
        <w:t>对于具有完整的认知功能的患者采用数字等级评定量表（</w:t>
      </w:r>
      <w:r>
        <w:rPr>
          <w:rFonts w:ascii="Times New Roman" w:hAnsi="Times New Roman" w:eastAsia="宋体" w:cs="Times New Roman"/>
        </w:rPr>
        <w:t>NRS）、视觉模拟评分法（VAS）表或语言等级评定量表（VRS）进行疼痛评估；对于交流困难、意识不清或不能用言语准确表达的老年患者采用Wong‑Baker 面部表情量表；对于重度认知障碍的个体，建议使用晚期痴呆疼痛量表(PAINAD)和Dolopus-2工具，对于在重症监护气管插管患者，建议使用重症监护疼痛观察工具(CPOT)或行为疼痛量表(BPS)。对完全无法交流的老年患者目前尚无国际公认的术后疼痛评估方式，患者的面部表情、发声和</w:t>
      </w:r>
      <w:r>
        <w:rPr>
          <w:rFonts w:hint="eastAsia" w:ascii="Times New Roman" w:hAnsi="Times New Roman" w:eastAsia="宋体" w:cs="Times New Roman"/>
        </w:rPr>
        <w:t>肢体动作等可作为疼痛评估的参考指标。</w:t>
      </w:r>
    </w:p>
    <w:p w14:paraId="50544FC4">
      <w:pPr>
        <w:pStyle w:val="48"/>
        <w:numPr>
          <w:ilvl w:val="1"/>
          <w:numId w:val="1"/>
        </w:numPr>
        <w:spacing w:before="156" w:beforeLines="50" w:after="156" w:afterLines="50"/>
        <w:ind w:firstLineChars="0"/>
        <w:jc w:val="left"/>
        <w:rPr>
          <w:rFonts w:hint="eastAsia" w:ascii="黑体" w:hAnsi="黑体" w:eastAsia="黑体" w:cs="黑体"/>
          <w:bCs/>
          <w:szCs w:val="21"/>
        </w:rPr>
      </w:pPr>
      <w:r>
        <w:rPr>
          <w:rFonts w:ascii="黑体" w:hAnsi="黑体" w:eastAsia="黑体" w:cs="黑体"/>
          <w:bCs/>
          <w:szCs w:val="21"/>
        </w:rPr>
        <w:t>老年社会评估</w:t>
      </w:r>
    </w:p>
    <w:p w14:paraId="01AA994A">
      <w:pPr>
        <w:pStyle w:val="48"/>
        <w:spacing w:before="156" w:beforeLines="50" w:after="156" w:afterLines="50"/>
        <w:ind w:left="0" w:firstLine="420" w:firstLineChars="200"/>
        <w:rPr>
          <w:rFonts w:hint="eastAsia"/>
        </w:rPr>
      </w:pPr>
      <w:r>
        <w:rPr>
          <w:rFonts w:ascii="Times New Roman" w:hAnsi="Times New Roman" w:eastAsia="宋体" w:cs="Times New Roman"/>
        </w:rPr>
        <w:t>社会评估主要包括生活能力、工作能力、时间空间定向、人物定向及社会交往能力等,良好的社会支持对手术创伤和应激有缓冲作用</w:t>
      </w:r>
      <w:r>
        <w:rPr>
          <w:rFonts w:hint="eastAsia" w:ascii="Times New Roman" w:hAnsi="Times New Roman" w:eastAsia="宋体" w:cs="Times New Roman"/>
        </w:rPr>
        <w:t>，</w:t>
      </w:r>
      <w:r>
        <w:rPr>
          <w:rFonts w:ascii="Times New Roman" w:hAnsi="Times New Roman" w:eastAsia="宋体" w:cs="Times New Roman"/>
        </w:rPr>
        <w:t>有利于术后康复。</w:t>
      </w:r>
    </w:p>
    <w:p w14:paraId="08C76236">
      <w:pPr>
        <w:widowControl/>
        <w:jc w:val="both"/>
        <w:rPr>
          <w:rFonts w:hint="eastAsia" w:ascii="宋体" w:hAnsi="宋体" w:eastAsia="宋体" w:cs="Times New Roman"/>
          <w:bCs/>
          <w:szCs w:val="21"/>
        </w:rPr>
      </w:pPr>
      <w:r>
        <w:rPr>
          <w:rFonts w:ascii="宋体" w:hAnsi="宋体" w:eastAsia="宋体" w:cs="Times New Roman"/>
          <w:bCs/>
          <w:szCs w:val="21"/>
        </w:rPr>
        <w:br w:type="page"/>
      </w:r>
    </w:p>
    <w:p w14:paraId="640F592E">
      <w:pPr>
        <w:widowControl/>
        <w:spacing w:before="312" w:beforeLines="100" w:after="156" w:afterLines="50"/>
        <w:jc w:val="center"/>
        <w:outlineLvl w:val="0"/>
        <w:rPr>
          <w:rFonts w:hint="eastAsia" w:ascii="黑体" w:hAnsi="黑体" w:eastAsia="黑体" w:cs="黑体"/>
          <w:bCs/>
          <w:szCs w:val="21"/>
        </w:rPr>
      </w:pPr>
      <w:bookmarkStart w:id="20" w:name="_Toc226880801"/>
      <w:r>
        <w:rPr>
          <w:rFonts w:hint="eastAsia" w:ascii="黑体" w:hAnsi="黑体" w:eastAsia="黑体" w:cs="黑体"/>
          <w:bCs/>
          <w:szCs w:val="21"/>
        </w:rPr>
        <w:t>参  考  文  献</w:t>
      </w:r>
      <w:bookmarkEnd w:id="20"/>
    </w:p>
    <w:p w14:paraId="3BDD26F3">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szCs w:val="21"/>
        </w:rPr>
        <w:t xml:space="preserve">[1] </w:t>
      </w:r>
      <w:r>
        <w:rPr>
          <w:rFonts w:ascii="Times New Roman" w:hAnsi="Times New Roman" w:eastAsia="宋体" w:cs="Times New Roman"/>
          <w:color w:val="000000" w:themeColor="text1"/>
          <w14:textFill>
            <w14:solidFill>
              <w14:schemeClr w14:val="tx1"/>
            </w14:solidFill>
          </w14:textFill>
        </w:rPr>
        <w:t>Stewart JJ, Partridge JSL, Dhesi JK. Perioperative medicine for Older People undergoing Surgery (POPS): Comprehensive Geriatric Assessment (CGA) and optimization in the perioperative setting. Int Anesthesiol Clin. 2023 Apr 1;61(2):62-69.</w:t>
      </w:r>
    </w:p>
    <w:p w14:paraId="2E2BFC63">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中国医师协会危重症分会围手术期管理学组.老年非心脏手术围术期风险评估与管理指南2021.中华重症医学电子杂志.</w:t>
      </w:r>
    </w:p>
    <w:p w14:paraId="687E4013">
      <w:pPr>
        <w:wordWrap w:val="0"/>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高德伟,徐立宁,李天志.老年外科围手术期综合管理模式探索[J].中华保健医学杂志,2017,19(2):169-170.</w:t>
      </w:r>
    </w:p>
    <w:p w14:paraId="4E6CF823">
      <w:pPr>
        <w:rPr>
          <w:rFonts w:hint="eastAsia" w:ascii="Times New Roman" w:hAnsi="Times New Roman" w:eastAsia="宋体" w:cs="Times New Roman"/>
          <w:color w:val="000000" w:themeColor="text1"/>
          <w:lang w:val="fr-FR"/>
          <w14:textFill>
            <w14:solidFill>
              <w14:schemeClr w14:val="tx1"/>
            </w14:solidFill>
          </w14:textFill>
        </w:rPr>
      </w:pPr>
      <w:r>
        <w:rPr>
          <w:rFonts w:hint="eastAsia" w:ascii="Times New Roman" w:hAnsi="Times New Roman" w:eastAsia="宋体" w:cs="Times New Roman"/>
          <w:color w:val="000000" w:themeColor="text1"/>
          <w:lang w:val="fr-FR"/>
          <w14:textFill>
            <w14:solidFill>
              <w14:schemeClr w14:val="tx1"/>
            </w14:solidFill>
          </w14:textFill>
        </w:rPr>
        <w:t>[4]</w:t>
      </w:r>
      <w:r>
        <w:rPr>
          <w:rFonts w:hint="eastAsia" w:ascii="Times New Roman" w:hAnsi="Times New Roman" w:eastAsia="宋体" w:cs="Times New Roman"/>
          <w:color w:val="000000" w:themeColor="text1"/>
          <w:lang w:val="fr-FR"/>
          <w14:textFill>
            <w14:solidFill>
              <w14:schemeClr w14:val="tx1"/>
            </w14:solidFill>
          </w14:textFill>
        </w:rPr>
        <w:t xml:space="preserve"> </w:t>
      </w:r>
      <w:r>
        <w:rPr>
          <w:rFonts w:ascii="Times New Roman" w:hAnsi="Times New Roman" w:eastAsia="宋体" w:cs="Times New Roman"/>
          <w:color w:val="000000" w:themeColor="text1"/>
          <w:lang w:val="fr-FR"/>
          <w14:textFill>
            <w14:solidFill>
              <w14:schemeClr w14:val="tx1"/>
            </w14:solidFill>
          </w14:textFill>
        </w:rPr>
        <w:t xml:space="preserve">Braude P, Goodman A, Elias T, et al. </w:t>
      </w:r>
      <w:r>
        <w:rPr>
          <w:rFonts w:ascii="Times New Roman" w:hAnsi="Times New Roman" w:eastAsia="宋体" w:cs="Times New Roman"/>
          <w:color w:val="000000" w:themeColor="text1"/>
          <w14:textFill>
            <w14:solidFill>
              <w14:schemeClr w14:val="tx1"/>
            </w14:solidFill>
          </w14:textFill>
        </w:rPr>
        <w:t xml:space="preserve">Evaluation and establishment of a ward-based geriatric liaison service for older urological surgical patients: POPS-Urology (Proactive Care of Older People Undergoing Surgery). </w:t>
      </w:r>
      <w:r>
        <w:rPr>
          <w:rFonts w:ascii="Times New Roman" w:hAnsi="Times New Roman" w:eastAsia="宋体" w:cs="Times New Roman"/>
          <w:color w:val="000000" w:themeColor="text1"/>
          <w:lang w:val="fr-FR"/>
          <w14:textFill>
            <w14:solidFill>
              <w14:schemeClr w14:val="tx1"/>
            </w14:solidFill>
          </w14:textFill>
        </w:rPr>
        <w:t>BJU Int. 2017</w:t>
      </w:r>
      <w:r>
        <w:rPr>
          <w:rFonts w:hint="eastAsia" w:ascii="Times New Roman" w:hAnsi="Times New Roman" w:eastAsia="宋体" w:cs="Times New Roman"/>
          <w:color w:val="000000" w:themeColor="text1"/>
          <w:lang w:val="fr-FR"/>
          <w14:textFill>
            <w14:solidFill>
              <w14:schemeClr w14:val="tx1"/>
            </w14:solidFill>
          </w14:textFill>
        </w:rPr>
        <w:t>,</w:t>
      </w:r>
      <w:r>
        <w:rPr>
          <w:rFonts w:ascii="Times New Roman" w:hAnsi="Times New Roman" w:eastAsia="宋体" w:cs="Times New Roman"/>
          <w:color w:val="000000" w:themeColor="text1"/>
          <w:lang w:val="fr-FR"/>
          <w14:textFill>
            <w14:solidFill>
              <w14:schemeClr w14:val="tx1"/>
            </w14:solidFill>
          </w14:textFill>
        </w:rPr>
        <w:t>120:123</w:t>
      </w:r>
      <w:r>
        <w:rPr>
          <w:rFonts w:hint="eastAsia" w:ascii="Times New Roman" w:hAnsi="Times New Roman" w:eastAsia="宋体" w:cs="Times New Roman"/>
          <w:color w:val="000000" w:themeColor="text1"/>
          <w:lang w:val="fr-FR"/>
          <w14:textFill>
            <w14:solidFill>
              <w14:schemeClr w14:val="tx1"/>
            </w14:solidFill>
          </w14:textFill>
        </w:rPr>
        <w:t>-</w:t>
      </w:r>
      <w:r>
        <w:rPr>
          <w:rFonts w:ascii="Times New Roman" w:hAnsi="Times New Roman" w:eastAsia="宋体" w:cs="Times New Roman"/>
          <w:color w:val="000000" w:themeColor="text1"/>
          <w:lang w:val="fr-FR"/>
          <w14:textFill>
            <w14:solidFill>
              <w14:schemeClr w14:val="tx1"/>
            </w14:solidFill>
          </w14:textFill>
        </w:rPr>
        <w:t>129.</w:t>
      </w:r>
    </w:p>
    <w:p w14:paraId="45782B62">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lang w:val="fr-FR"/>
          <w14:textFill>
            <w14:solidFill>
              <w14:schemeClr w14:val="tx1"/>
            </w14:solidFill>
          </w14:textFill>
        </w:rPr>
        <w:t>[5]</w:t>
      </w:r>
      <w:r>
        <w:rPr>
          <w:rFonts w:hint="eastAsia" w:ascii="Times New Roman" w:hAnsi="Times New Roman" w:eastAsia="宋体" w:cs="Times New Roman"/>
          <w:color w:val="000000" w:themeColor="text1"/>
          <w:lang w:val="fr-FR"/>
          <w14:textFill>
            <w14:solidFill>
              <w14:schemeClr w14:val="tx1"/>
            </w14:solidFill>
          </w14:textFill>
        </w:rPr>
        <w:t xml:space="preserve"> </w:t>
      </w:r>
      <w:r>
        <w:rPr>
          <w:rFonts w:ascii="Times New Roman" w:hAnsi="Times New Roman" w:eastAsia="宋体" w:cs="Times New Roman"/>
          <w:color w:val="000000" w:themeColor="text1"/>
          <w:lang w:val="fr-FR"/>
          <w14:textFill>
            <w14:solidFill>
              <w14:schemeClr w14:val="tx1"/>
            </w14:solidFill>
          </w14:textFill>
        </w:rPr>
        <w:t xml:space="preserve">Partridge JSL, Harari D, Martin FC, et al. </w:t>
      </w:r>
      <w:r>
        <w:rPr>
          <w:rFonts w:ascii="Times New Roman" w:hAnsi="Times New Roman" w:eastAsia="宋体" w:cs="Times New Roman"/>
          <w:color w:val="000000" w:themeColor="text1"/>
          <w14:textFill>
            <w14:solidFill>
              <w14:schemeClr w14:val="tx1"/>
            </w14:solidFill>
          </w14:textFill>
        </w:rPr>
        <w:t>Randomized clinical trial of comprehensive geriatric assessment and optimization in vascular surgery. Br J Surg. 2017</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104:679</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687.</w:t>
      </w:r>
    </w:p>
    <w:p w14:paraId="2E25322F">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[6]</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Partridge JSL, Healey A, Modarai B, et al. Preoperative comprehensive geriatric assessment and optimisation prior to elective arterial vascular surgery: a health economic analysis. Age Ageing. 2021</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50:1770</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1777.</w:t>
      </w:r>
    </w:p>
    <w:p w14:paraId="6402F7E9">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[7]</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Sankar A, Johnson SR, Beattie WS, et al. Reliability of the American Society of Anesthesiologists physical status scale in clinical practice[J].Br J Anaesth.2014;113(3):424-432.</w:t>
      </w:r>
    </w:p>
    <w:p w14:paraId="60ED8062">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lang w:val="fr-FR"/>
          <w14:textFill>
            <w14:solidFill>
              <w14:schemeClr w14:val="tx1"/>
            </w14:solidFill>
          </w14:textFill>
        </w:rPr>
        <w:t>[8]</w:t>
      </w:r>
      <w:r>
        <w:rPr>
          <w:rFonts w:hint="eastAsia" w:ascii="Times New Roman" w:hAnsi="Times New Roman" w:eastAsia="宋体" w:cs="Times New Roman"/>
          <w:color w:val="000000" w:themeColor="text1"/>
          <w:lang w:val="fr-FR"/>
          <w14:textFill>
            <w14:solidFill>
              <w14:schemeClr w14:val="tx1"/>
            </w14:solidFill>
          </w14:textFill>
        </w:rPr>
        <w:t xml:space="preserve"> </w:t>
      </w:r>
      <w:r>
        <w:rPr>
          <w:rFonts w:ascii="Times New Roman" w:hAnsi="Times New Roman" w:eastAsia="宋体" w:cs="Times New Roman"/>
          <w:color w:val="000000" w:themeColor="text1"/>
          <w:lang w:val="fr-FR"/>
          <w14:textFill>
            <w14:solidFill>
              <w14:schemeClr w14:val="tx1"/>
            </w14:solidFill>
          </w14:textFill>
        </w:rPr>
        <w:t xml:space="preserve">Hlatky MA, Boineau RE, Higginbotham MB, et al. </w:t>
      </w:r>
      <w:r>
        <w:rPr>
          <w:rFonts w:ascii="Times New Roman" w:hAnsi="Times New Roman" w:eastAsia="宋体" w:cs="Times New Roman"/>
          <w:color w:val="000000" w:themeColor="text1"/>
          <w14:textFill>
            <w14:solidFill>
              <w14:schemeClr w14:val="tx1"/>
            </w14:solidFill>
          </w14:textFill>
        </w:rPr>
        <w:t>A brief self-administered questionnaire to determine functional capacity (The Duke Activity Status Index). Amer J Cardiol, 1989, 64(10): 651-654.</w:t>
      </w:r>
    </w:p>
    <w:p w14:paraId="1263082B">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[9]</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O'Connell B, Myers H. The sensitivity and specificity of the Morse Fall Scale in an acute care setting. J Clin Nurs. 2002 Jan;11(1):134-6.</w:t>
      </w:r>
    </w:p>
    <w:p w14:paraId="7C3D27EB">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[10]</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Si H, Jin Y, Qiao X, Tian X, Liu X, Wang C. Comparison of 6 frailty screening tools in diagnostic properties among Chinese community-dwelling older people. Geriatr Nurs. 2021 Jan-Feb;42(1):276-282.</w:t>
      </w:r>
    </w:p>
    <w:p w14:paraId="51315B74">
      <w:pPr>
        <w:wordWrap w:val="0"/>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[11]</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纪木火</w:t>
      </w: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刘学胜</w:t>
      </w: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老年衰弱患者围术期管理专家意见[J].临床麻醉学杂志,2023,39(09):991-997.</w:t>
      </w:r>
    </w:p>
    <w:p w14:paraId="6D8E5F5C">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lang w:val="fr-FR"/>
          <w14:textFill>
            <w14:solidFill>
              <w14:schemeClr w14:val="tx1"/>
            </w14:solidFill>
          </w14:textFill>
        </w:rPr>
        <w:t>[12]</w:t>
      </w:r>
      <w:r>
        <w:rPr>
          <w:rFonts w:hint="eastAsia" w:ascii="Times New Roman" w:hAnsi="Times New Roman" w:eastAsia="宋体" w:cs="Times New Roman"/>
          <w:color w:val="000000" w:themeColor="text1"/>
          <w:lang w:val="fr-FR"/>
          <w14:textFill>
            <w14:solidFill>
              <w14:schemeClr w14:val="tx1"/>
            </w14:solidFill>
          </w14:textFill>
        </w:rPr>
        <w:t xml:space="preserve"> </w:t>
      </w:r>
      <w:r>
        <w:rPr>
          <w:rFonts w:ascii="Times New Roman" w:hAnsi="Times New Roman" w:eastAsia="宋体" w:cs="Times New Roman"/>
          <w:color w:val="000000" w:themeColor="text1"/>
          <w:lang w:val="fr-FR"/>
          <w14:textFill>
            <w14:solidFill>
              <w14:schemeClr w14:val="tx1"/>
            </w14:solidFill>
          </w14:textFill>
        </w:rPr>
        <w:t xml:space="preserve">Folstein MF, Folstein SE, McHugh PR. </w:t>
      </w:r>
      <w:r>
        <w:rPr>
          <w:rFonts w:ascii="Times New Roman" w:hAnsi="Times New Roman" w:eastAsia="宋体" w:cs="Times New Roman"/>
          <w:color w:val="000000" w:themeColor="text1"/>
          <w14:textFill>
            <w14:solidFill>
              <w14:schemeClr w14:val="tx1"/>
            </w14:solidFill>
          </w14:textFill>
        </w:rPr>
        <w:t>“Mini-mental state”. A practical method for grading the cognitive state of patients for the clinician. J Psychiatr Res 1975;12: 189–98.</w:t>
      </w:r>
    </w:p>
    <w:p w14:paraId="09ED2DAF">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[13]</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Borson S, Scanlan J, Brush M, Vitaliano P, Dokmak A. The mini-cog: a cognitive 'vital signs' measure for dementia screening in multi-lingual elderly. Int J Geriatr Psychiatry. 2000 Nov;15(11):1021-7.</w:t>
      </w:r>
    </w:p>
    <w:p w14:paraId="6AFE3D5B">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[14]</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中国研究型医院学会老年外科专委会. 老年外科患者围手术期营养支持中国专家共识（2024版）. 中华普通外科杂志，2024，39(05):386-394.</w:t>
      </w:r>
    </w:p>
    <w:p w14:paraId="3684C166">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[15]</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Bieling PJ, Antony MM, Swinson RP. The State-Trait Anxiety Inventory, Trait version: structure and content re-examined. Behav Res Ther. 1998 Jul-Aug;36(7-8):777-88.</w:t>
      </w:r>
    </w:p>
    <w:p w14:paraId="1DFC2AEB">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[16]</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Bjerre LM, Ramsay T, Cahir C, Ryan C, Halil R, Farrell B, Thavorn K, Catley C, Hawken S, Gillespie U, Manuel DG. Assessing potentially inappropriate prescribing (PIP) and predicting patient outcomes in Ontario's older population: a population-based cohort study applying subsets of the STOPP/START and Beers' criteria in large health administrative databases. BMJ Open. 2015 Nov 25;5(11):e010146.</w:t>
      </w:r>
    </w:p>
    <w:p w14:paraId="6E072A12">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[17]</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朱鸣雷,刘晓红,董碧蓉,等.老年共病管理中国专家共识(2023)[J].中国临床保健杂志,2023, 26(5): 577-584.</w:t>
      </w:r>
    </w:p>
    <w:p w14:paraId="23E5F74A">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[18]</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Charlson ME, Pompei P, Ales KL, MacKenzie CR. A new method of classifying prognostic comorbidity in longitudinal studies: development and validation. J Chronic Dis. 1987</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40(5):373-83.</w:t>
      </w:r>
    </w:p>
    <w:p w14:paraId="484CAA5F">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[19]</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Charlson M, Szatrowski TP, Peterson J, Gold J. Validation of a combined comorbidity index. J Clin Epidemiol. 1994</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47(11):1245-51.</w:t>
      </w:r>
    </w:p>
    <w:p w14:paraId="4030EC35">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[20]</w:t>
      </w:r>
      <w:r>
        <w:rPr>
          <w:rFonts w:hint="eastAsia"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中华人民共和国民政部.中华人民共和国民政行业标准.老年人能力评估[S]. (mz/ T 001.2013).</w:t>
      </w:r>
    </w:p>
    <w:p w14:paraId="2FE28419">
      <w:pPr>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cs="Times New Roman"/>
          <w:bCs/>
          <w:sz w:val="24"/>
        </w:rPr>
        <mc:AlternateContent>
          <mc:Choice Requires="wps">
            <w:drawing>
              <wp:anchor distT="0" distB="0" distL="114300" distR="114300" simplePos="0" relativeHeight="251661312" behindDoc="0" locked="0" layoutInCell="1" allowOverlap="1">
                <wp:simplePos x="0" y="0"/>
                <wp:positionH relativeFrom="column">
                  <wp:posOffset>1979930</wp:posOffset>
                </wp:positionH>
                <wp:positionV relativeFrom="page">
                  <wp:posOffset>3346450</wp:posOffset>
                </wp:positionV>
                <wp:extent cx="1371600" cy="2540"/>
                <wp:effectExtent l="0" t="0" r="0" b="0"/>
                <wp:wrapNone/>
                <wp:docPr id="20" name="直接连接符 20"/>
                <wp:cNvGraphicFramePr/>
                <a:graphic xmlns:a="http://schemas.openxmlformats.org/drawingml/2006/main">
                  <a:graphicData uri="http://schemas.microsoft.com/office/word/2010/wordprocessingShape">
                    <wps:wsp>
                      <wps:cNvCnPr/>
                      <wps:spPr>
                        <a:xfrm>
                          <a:off x="0" y="0"/>
                          <a:ext cx="1371600" cy="25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55.9pt;margin-top:263.5pt;height:0.2pt;width:108pt;mso-position-vertical-relative:page;z-index:251661312;mso-width-relative:page;mso-height-relative:page;" filled="f" stroked="t" coordsize="21600,21600" o:gfxdata="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sUSOn1wAA&#10;AAsBAAAPAAAAAAAAAAEAIAAAACIAAABkcnMvZG93bnJldi54bWxQSwECFAAUAAAACACHTuJAg4by&#10;MeYBAAC2AwAADgAAAAAAAAABACAAAAAmAQAAZHJzL2Uyb0RvYy54bWxQSwUGAAAAAAYABgBZAQAA&#10;fgUAAAAA&#10;">
                <v:fill on="f" focussize="0,0"/>
                <v:stroke weight="0.5pt" color="#000000 [3200]" miterlimit="8" joinstyle="miter"/>
                <v:imagedata o:title=""/>
                <o:lock v:ext="edit" aspectratio="f"/>
              </v:line>
            </w:pict>
          </mc:Fallback>
        </mc:AlternateContent>
      </w:r>
      <w:r>
        <w:rPr>
          <w:rFonts w:hint="eastAsia" w:ascii="Times New Roman" w:hAnsi="Times New Roman" w:eastAsia="宋体" w:cs="Times New Roman"/>
          <w:color w:val="000000" w:themeColor="text1"/>
          <w14:textFill>
            <w14:solidFill>
              <w14:schemeClr w14:val="tx1"/>
            </w14:solidFill>
          </w14:textFill>
        </w:rPr>
        <w:t>[21]</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Sbai M, Martin F, Partridge J, Dhesi J. Comprehensive geriatric assessment (CGA) in the perioperative setting: the current state of play. J R Coll Physicians Edinb. 2020 Dec</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50(4):356-358.</w:t>
      </w:r>
    </w:p>
    <w:sectPr>
      <w:footerReference r:id="rId15" w:type="default"/>
      <w:headerReference r:id="rId14" w:type="even"/>
      <w:footerReference r:id="rId16" w:type="even"/>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iti SC Medium">
    <w:altName w:val="宋体"/>
    <w:panose1 w:val="00000000000000000000"/>
    <w:charset w:val="86"/>
    <w:family w:val="auto"/>
    <w:pitch w:val="default"/>
    <w:sig w:usb0="00000000" w:usb1="00000000" w:usb2="00000000" w:usb3="00000000" w:csb0="203E0000"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DBD77">
    <w:pPr>
      <w:pStyle w:val="6"/>
      <w:rPr>
        <w:rFonts w:hint="eastAsia"/>
      </w:rPr>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741628442"/>
                          </w:sdtPr>
                          <w:sdtContent>
                            <w:p w14:paraId="5DB13518">
                              <w:pPr>
                                <w:pStyle w:val="6"/>
                                <w:rPr>
                                  <w:rFonts w:hint="eastAsia"/>
                                </w:rPr>
                              </w:pPr>
                              <w:r>
                                <w:fldChar w:fldCharType="begin"/>
                              </w:r>
                              <w:r>
                                <w:instrText xml:space="preserve">PAGE   \* MERGEFORMAT</w:instrText>
                              </w:r>
                              <w:r>
                                <w:fldChar w:fldCharType="separate"/>
                              </w:r>
                              <w:r>
                                <w:rPr>
                                  <w:lang w:val="zh-CN"/>
                                </w:rPr>
                                <w:t>15</w:t>
                              </w:r>
                              <w:r>
                                <w:fldChar w:fldCharType="end"/>
                              </w:r>
                            </w:p>
                          </w:sdtContent>
                        </w:sdt>
                        <w:p w14:paraId="724ED2CD">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sdt>
                    <w:sdtPr>
                      <w:id w:val="-1741628442"/>
                    </w:sdtPr>
                    <w:sdtContent>
                      <w:p w14:paraId="5DB13518">
                        <w:pPr>
                          <w:pStyle w:val="6"/>
                          <w:rPr>
                            <w:rFonts w:hint="eastAsia"/>
                          </w:rPr>
                        </w:pPr>
                        <w:r>
                          <w:fldChar w:fldCharType="begin"/>
                        </w:r>
                        <w:r>
                          <w:instrText xml:space="preserve">PAGE   \* MERGEFORMAT</w:instrText>
                        </w:r>
                        <w:r>
                          <w:fldChar w:fldCharType="separate"/>
                        </w:r>
                        <w:r>
                          <w:rPr>
                            <w:lang w:val="zh-CN"/>
                          </w:rPr>
                          <w:t>15</w:t>
                        </w:r>
                        <w:r>
                          <w:fldChar w:fldCharType="end"/>
                        </w:r>
                      </w:p>
                    </w:sdtContent>
                  </w:sdt>
                  <w:p w14:paraId="724ED2CD">
                    <w:pPr>
                      <w:rPr>
                        <w:rFonts w:hint="eastAsia"/>
                      </w:rPr>
                    </w:pPr>
                  </w:p>
                </w:txbxContent>
              </v:textbox>
            </v:shape>
          </w:pict>
        </mc:Fallback>
      </mc:AlternateContent>
    </w:r>
  </w:p>
  <w:p w14:paraId="45BA4D21">
    <w:pPr>
      <w:pStyle w:val="6"/>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6BF92">
    <w:pPr>
      <w:pStyle w:val="6"/>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DAB3D5">
                          <w:pPr>
                            <w:pStyle w:val="6"/>
                            <w:rPr>
                              <w:rFonts w:hint="eastAsia"/>
                            </w:rPr>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6DAB3D5">
                    <w:pPr>
                      <w:pStyle w:val="6"/>
                      <w:rPr>
                        <w:rFonts w:hint="eastAsia"/>
                      </w:rPr>
                    </w:pPr>
                    <w:r>
                      <w:fldChar w:fldCharType="begin"/>
                    </w:r>
                    <w:r>
                      <w:instrText xml:space="preserve"> PAGE  \* MERGEFORMAT </w:instrText>
                    </w:r>
                    <w:r>
                      <w:fldChar w:fldCharType="separate"/>
                    </w:r>
                    <w:r>
                      <w:t>II</w:t>
                    </w:r>
                    <w:r>
                      <w:fldChar w:fldCharType="end"/>
                    </w:r>
                  </w:p>
                </w:txbxContent>
              </v:textbox>
            </v:shape>
          </w:pict>
        </mc:Fallback>
      </mc:AlternateContent>
    </w:r>
    <w:r>
      <w:rPr>
        <w:rFonts w:hint="eastAsia" w:eastAsia="宋体"/>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9279404"/>
      <w:docPartObj>
        <w:docPartGallery w:val="autotext"/>
      </w:docPartObj>
    </w:sdtPr>
    <w:sdtContent>
      <w:p w14:paraId="536E98F8">
        <w:pPr>
          <w:pStyle w:val="6"/>
          <w:rPr>
            <w:rFonts w:hint="eastAsia"/>
          </w:rPr>
        </w:pPr>
        <w:r>
          <w:rPr>
            <w:rFonts w:hint="eastAsia"/>
          </w:rPr>
          <w:t>1</w:t>
        </w:r>
        <w:r>
          <w:fldChar w:fldCharType="begin"/>
        </w:r>
        <w:r>
          <w:instrText xml:space="preserve">PAGE   \* MERGEFORMAT</w:instrText>
        </w:r>
        <w:r>
          <w:fldChar w:fldCharType="separate"/>
        </w:r>
        <w:r>
          <w:rPr>
            <w:lang w:val="zh-CN"/>
          </w:rPr>
          <w:t>2</w:t>
        </w:r>
        <w:r>
          <w:fldChar w:fldCharType="end"/>
        </w:r>
      </w:p>
    </w:sdtContent>
  </w:sdt>
  <w:p w14:paraId="54EF4659">
    <w:pPr>
      <w:pStyle w:val="6"/>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6561C">
    <w:pPr>
      <w:pStyle w:val="6"/>
      <w:rPr>
        <w:rFonts w:hint="eastAsia"/>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78AA34">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878AA34">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68D54">
    <w:pPr>
      <w:pStyle w:val="6"/>
      <w:rPr>
        <w:rFonts w:hint="eastAsia"/>
      </w:rPr>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1F98FE">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81F98FE">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18674">
    <w:pPr>
      <w:pStyle w:val="6"/>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9397A3">
                          <w:pPr>
                            <w:pStyle w:val="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39397A3">
                    <w:pPr>
                      <w:pStyle w:val="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7E9CD">
    <w:pPr>
      <w:pStyle w:val="6"/>
      <w:rPr>
        <w:rFonts w:hint="eastAsia"/>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286B36">
                          <w:pPr>
                            <w:pStyle w:val="6"/>
                            <w:rPr>
                              <w:rFonts w:hint="eastAsia"/>
                            </w:rPr>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21286B36">
                    <w:pPr>
                      <w:pStyle w:val="6"/>
                      <w:rPr>
                        <w:rFonts w:hint="eastAsia"/>
                      </w:rPr>
                    </w:pPr>
                    <w:r>
                      <w:fldChar w:fldCharType="begin"/>
                    </w:r>
                    <w:r>
                      <w:instrText xml:space="preserve"> PAGE  \* MERGEFORMAT </w:instrText>
                    </w:r>
                    <w:r>
                      <w:fldChar w:fldCharType="separate"/>
                    </w:r>
                    <w:r>
                      <w:t>I</w:t>
                    </w:r>
                    <w:r>
                      <w:fldChar w:fldCharType="end"/>
                    </w:r>
                  </w:p>
                </w:txbxContent>
              </v:textbox>
            </v:shape>
          </w:pict>
        </mc:Fallback>
      </mc:AlternateContent>
    </w:r>
  </w:p>
  <w:p w14:paraId="2C410FC0">
    <w:pPr>
      <w:pStyle w:val="6"/>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3E30FE">
    <w:pPr>
      <w:pStyle w:val="6"/>
      <w:rPr>
        <w:rFonts w:hint="eastAsia"/>
      </w:rPr>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448ED9">
                          <w:pPr>
                            <w:pStyle w:val="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C448ED9">
                    <w:pPr>
                      <w:pStyle w:val="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4A46B">
    <w:pPr>
      <w:pStyle w:val="6"/>
      <w:rPr>
        <w:rFonts w:hint="eastAsia"/>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81BB9">
    <w:pPr>
      <w:pStyle w:val="6"/>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6A5A38">
                          <w:pPr>
                            <w:pStyle w:val="6"/>
                            <w:rPr>
                              <w:rFonts w:hint="eastAsia"/>
                            </w:rPr>
                          </w:pPr>
                          <w:r>
                            <w:fldChar w:fldCharType="begin"/>
                          </w:r>
                          <w:r>
                            <w:instrText xml:space="preserve"> PAGE  \* MERGEFORMAT </w:instrText>
                          </w:r>
                          <w:r>
                            <w:fldChar w:fldCharType="separate"/>
                          </w:r>
                          <w:r>
                            <w:t>III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176A5A38">
                    <w:pPr>
                      <w:pStyle w:val="6"/>
                      <w:rPr>
                        <w:rFonts w:hint="eastAsia"/>
                      </w:rPr>
                    </w:pPr>
                    <w:r>
                      <w:fldChar w:fldCharType="begin"/>
                    </w:r>
                    <w:r>
                      <w:instrText xml:space="preserve"> PAGE  \* MERGEFORMAT </w:instrText>
                    </w:r>
                    <w:r>
                      <w:fldChar w:fldCharType="separate"/>
                    </w:r>
                    <w:r>
                      <w:t>III</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inside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5D1601">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25D1601">
                    <w:pPr>
                      <w:rPr>
                        <w:rFonts w:hint="eastAsia"/>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BA621">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B55A8">
    <w:pPr>
      <w:pStyle w:val="7"/>
      <w:pBdr>
        <w:bottom w:val="none" w:color="auto" w:sz="0" w:space="1"/>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1680E">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XXX—2025</w:t>
    </w:r>
  </w:p>
  <w:p w14:paraId="2511BD53">
    <w:pP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7742E">
    <w:pPr>
      <w:pStyle w:val="7"/>
      <w:pBdr>
        <w:bottom w:val="none" w:color="auto" w:sz="0" w:space="1"/>
      </w:pBdr>
      <w:jc w:val="left"/>
      <w:rPr>
        <w:rFonts w:ascii="Times New Roman" w:hAnsi="Times New Roman" w:eastAsia="宋体" w:cs="Times New Roman"/>
        <w:lang w:val="fr-FR"/>
      </w:rPr>
    </w:pPr>
    <w:r>
      <w:rPr>
        <w:rFonts w:ascii="Times New Roman" w:hAnsi="Times New Roman" w:eastAsia="宋体" w:cs="Times New Roman"/>
        <w:lang w:val="fr-FR"/>
      </w:rPr>
      <w:t>T/CRHA XXX</w:t>
    </w:r>
    <w:r>
      <w:rPr>
        <w:rFonts w:hint="eastAsia" w:ascii="Times New Roman" w:hAnsi="Times New Roman" w:eastAsia="宋体" w:cs="Times New Roman"/>
        <w:lang w:val="fr-FR"/>
      </w:rPr>
      <w:t>—</w:t>
    </w:r>
    <w:r>
      <w:rPr>
        <w:rFonts w:ascii="Times New Roman" w:hAnsi="Times New Roman" w:eastAsia="宋体" w:cs="Times New Roman"/>
        <w:lang w:val="fr-FR"/>
      </w:rPr>
      <w:t>202X</w:t>
    </w:r>
  </w:p>
  <w:p w14:paraId="4FD0EB77">
    <w:pPr>
      <w:pStyle w:val="7"/>
      <w:pBdr>
        <w:bottom w:val="none" w:color="auto" w:sz="0" w:space="1"/>
      </w:pBdr>
      <w:rPr>
        <w:rFonts w:hint="eastAsia"/>
        <w:lang w:val="fr-F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FAAF5E"/>
    <w:multiLevelType w:val="multilevel"/>
    <w:tmpl w:val="FEFAAF5E"/>
    <w:lvl w:ilvl="0" w:tentative="0">
      <w:start w:val="1"/>
      <w:numFmt w:val="decimal"/>
      <w:lvlText w:val="%1"/>
      <w:lvlJc w:val="left"/>
      <w:pPr>
        <w:ind w:left="0" w:firstLine="0"/>
      </w:pPr>
      <w:rPr>
        <w:rFonts w:hint="default" w:ascii="黑体" w:hAnsi="黑体" w:eastAsia="黑体" w:cs="Heiti SC Medium"/>
        <w:i w:val="0"/>
        <w:szCs w:val="21"/>
      </w:rPr>
    </w:lvl>
    <w:lvl w:ilvl="1" w:tentative="0">
      <w:start w:val="1"/>
      <w:numFmt w:val="decimal"/>
      <w:lvlText w:val="%1.%2"/>
      <w:lvlJc w:val="left"/>
      <w:pPr>
        <w:ind w:left="0" w:firstLine="0"/>
      </w:pPr>
      <w:rPr>
        <w:rFonts w:hint="default" w:ascii="黑体" w:hAnsi="黑体" w:eastAsia="黑体" w:cs="黑体"/>
        <w:b w:val="0"/>
        <w:bCs w:val="0"/>
        <w:szCs w:val="21"/>
      </w:rPr>
    </w:lvl>
    <w:lvl w:ilvl="2" w:tentative="0">
      <w:start w:val="1"/>
      <w:numFmt w:val="decimal"/>
      <w:lvlText w:val="%1.%2.%3"/>
      <w:lvlJc w:val="left"/>
      <w:pPr>
        <w:ind w:left="0" w:firstLine="0"/>
      </w:pPr>
      <w:rPr>
        <w:rFonts w:hint="default" w:ascii="黑体" w:hAnsi="黑体" w:eastAsia="黑体" w:cs="黑体"/>
        <w:b w:val="0"/>
        <w:bCs w:val="0"/>
      </w:rPr>
    </w:lvl>
    <w:lvl w:ilvl="3" w:tentative="0">
      <w:start w:val="1"/>
      <w:numFmt w:val="decimal"/>
      <w:lvlText w:val="%1.%2.%3.%4"/>
      <w:lvlJc w:val="left"/>
      <w:pPr>
        <w:ind w:left="284" w:hanging="284"/>
      </w:pPr>
      <w:rPr>
        <w:rFonts w:hint="default" w:ascii="黑体" w:hAnsi="黑体" w:eastAsia="黑体" w:cs="黑体"/>
      </w:rPr>
    </w:lvl>
    <w:lvl w:ilvl="4" w:tentative="0">
      <w:start w:val="1"/>
      <w:numFmt w:val="decimal"/>
      <w:lvlText w:val="%1.%2.%3.%4.%5."/>
      <w:lvlJc w:val="left"/>
      <w:pPr>
        <w:ind w:left="0" w:firstLine="0"/>
      </w:pPr>
      <w:rPr>
        <w:rFonts w:hint="eastAsia"/>
      </w:rPr>
    </w:lvl>
    <w:lvl w:ilvl="5" w:tentative="0">
      <w:start w:val="1"/>
      <w:numFmt w:val="decimal"/>
      <w:lvlText w:val="%1.%2.%3.%4.%5.%6."/>
      <w:lvlJc w:val="left"/>
      <w:pPr>
        <w:ind w:left="0" w:firstLine="0"/>
      </w:pPr>
      <w:rPr>
        <w:rFonts w:hint="eastAsia"/>
      </w:rPr>
    </w:lvl>
    <w:lvl w:ilvl="6" w:tentative="0">
      <w:start w:val="1"/>
      <w:numFmt w:val="decimal"/>
      <w:lvlText w:val="%1.%2.%3.%4.%5.%6.%7."/>
      <w:lvlJc w:val="left"/>
      <w:pPr>
        <w:ind w:left="284" w:hanging="284"/>
      </w:pPr>
      <w:rPr>
        <w:rFonts w:hint="eastAsia"/>
      </w:rPr>
    </w:lvl>
    <w:lvl w:ilvl="7" w:tentative="0">
      <w:start w:val="1"/>
      <w:numFmt w:val="decimal"/>
      <w:lvlText w:val="%1.%2.%3.%4.%5.%6.%7.%8."/>
      <w:lvlJc w:val="left"/>
      <w:pPr>
        <w:ind w:left="284" w:hanging="284"/>
      </w:pPr>
      <w:rPr>
        <w:rFonts w:hint="eastAsia"/>
      </w:rPr>
    </w:lvl>
    <w:lvl w:ilvl="8" w:tentative="0">
      <w:start w:val="1"/>
      <w:numFmt w:val="decimal"/>
      <w:lvlText w:val="%1.%2.%3.%4.%5.%6.%7.%8.%9."/>
      <w:lvlJc w:val="left"/>
      <w:pPr>
        <w:ind w:left="284" w:hanging="284"/>
      </w:pPr>
      <w:rPr>
        <w:rFonts w:hint="eastAsia"/>
      </w:rPr>
    </w:lvl>
  </w:abstractNum>
  <w:abstractNum w:abstractNumId="1">
    <w:nsid w:val="58DA7C75"/>
    <w:multiLevelType w:val="multilevel"/>
    <w:tmpl w:val="58DA7C75"/>
    <w:lvl w:ilvl="0" w:tentative="0">
      <w:start w:val="1"/>
      <w:numFmt w:val="decimal"/>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5ZDM0NmQwNjA1OTNjYTgxMWU3ZThlM2E4YzM2ZjQifQ=="/>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z55zesf5zzvs0eave8vaf9nvrdsvdwa5zpa&quot;&gt;Lib-2021-CZS&lt;record-ids&gt;&lt;item&gt;365&lt;/item&gt;&lt;item&gt;367&lt;/item&gt;&lt;item&gt;372&lt;/item&gt;&lt;item&gt;379&lt;/item&gt;&lt;item&gt;385&lt;/item&gt;&lt;item&gt;395&lt;/item&gt;&lt;item&gt;410&lt;/item&gt;&lt;item&gt;414&lt;/item&gt;&lt;item&gt;437&lt;/item&gt;&lt;item&gt;439&lt;/item&gt;&lt;item&gt;440&lt;/item&gt;&lt;item&gt;442&lt;/item&gt;&lt;item&gt;444&lt;/item&gt;&lt;item&gt;445&lt;/item&gt;&lt;item&gt;446&lt;/item&gt;&lt;item&gt;447&lt;/item&gt;&lt;item&gt;448&lt;/item&gt;&lt;item&gt;449&lt;/item&gt;&lt;item&gt;450&lt;/item&gt;&lt;item&gt;451&lt;/item&gt;&lt;item&gt;452&lt;/item&gt;&lt;item&gt;453&lt;/item&gt;&lt;item&gt;454&lt;/item&gt;&lt;/record-ids&gt;&lt;/item&gt;&lt;/Libraries&gt;"/>
  </w:docVars>
  <w:rsids>
    <w:rsidRoot w:val="004833E2"/>
    <w:rsid w:val="00005D15"/>
    <w:rsid w:val="00006072"/>
    <w:rsid w:val="00010792"/>
    <w:rsid w:val="000126AC"/>
    <w:rsid w:val="00013176"/>
    <w:rsid w:val="00021587"/>
    <w:rsid w:val="0002453B"/>
    <w:rsid w:val="0002547B"/>
    <w:rsid w:val="0002663B"/>
    <w:rsid w:val="00027EDC"/>
    <w:rsid w:val="000304DE"/>
    <w:rsid w:val="00033458"/>
    <w:rsid w:val="000377DA"/>
    <w:rsid w:val="00041138"/>
    <w:rsid w:val="00041949"/>
    <w:rsid w:val="0005409C"/>
    <w:rsid w:val="000548DC"/>
    <w:rsid w:val="00056A60"/>
    <w:rsid w:val="0005763E"/>
    <w:rsid w:val="00057B09"/>
    <w:rsid w:val="0006275C"/>
    <w:rsid w:val="00066840"/>
    <w:rsid w:val="00072491"/>
    <w:rsid w:val="00072815"/>
    <w:rsid w:val="00073AC5"/>
    <w:rsid w:val="000771FC"/>
    <w:rsid w:val="00081E09"/>
    <w:rsid w:val="000830A8"/>
    <w:rsid w:val="00083AF0"/>
    <w:rsid w:val="0008659B"/>
    <w:rsid w:val="000870BE"/>
    <w:rsid w:val="00095271"/>
    <w:rsid w:val="000A10B7"/>
    <w:rsid w:val="000A144A"/>
    <w:rsid w:val="000A2D37"/>
    <w:rsid w:val="000A3E0D"/>
    <w:rsid w:val="000A3FAE"/>
    <w:rsid w:val="000B009E"/>
    <w:rsid w:val="000B12BE"/>
    <w:rsid w:val="000B1758"/>
    <w:rsid w:val="000B54AC"/>
    <w:rsid w:val="000B5A07"/>
    <w:rsid w:val="000C032C"/>
    <w:rsid w:val="000C6575"/>
    <w:rsid w:val="000C73CA"/>
    <w:rsid w:val="000D38BE"/>
    <w:rsid w:val="000D3B34"/>
    <w:rsid w:val="000D4494"/>
    <w:rsid w:val="000D74F8"/>
    <w:rsid w:val="000E1B7B"/>
    <w:rsid w:val="000E24EC"/>
    <w:rsid w:val="000E2CC9"/>
    <w:rsid w:val="000E3A43"/>
    <w:rsid w:val="000E4609"/>
    <w:rsid w:val="000E506C"/>
    <w:rsid w:val="000E5DF9"/>
    <w:rsid w:val="000E60A7"/>
    <w:rsid w:val="000E674A"/>
    <w:rsid w:val="000F0451"/>
    <w:rsid w:val="000F2F90"/>
    <w:rsid w:val="00104AB0"/>
    <w:rsid w:val="00105858"/>
    <w:rsid w:val="00110C41"/>
    <w:rsid w:val="00113BFA"/>
    <w:rsid w:val="00114735"/>
    <w:rsid w:val="0011477A"/>
    <w:rsid w:val="00116438"/>
    <w:rsid w:val="0011708B"/>
    <w:rsid w:val="00121EE3"/>
    <w:rsid w:val="001248BA"/>
    <w:rsid w:val="00124CF6"/>
    <w:rsid w:val="001270E5"/>
    <w:rsid w:val="0012776E"/>
    <w:rsid w:val="001302FE"/>
    <w:rsid w:val="00132C82"/>
    <w:rsid w:val="001354DB"/>
    <w:rsid w:val="00135D3F"/>
    <w:rsid w:val="00136B06"/>
    <w:rsid w:val="0015254C"/>
    <w:rsid w:val="00153874"/>
    <w:rsid w:val="001545CB"/>
    <w:rsid w:val="00156041"/>
    <w:rsid w:val="00172DF1"/>
    <w:rsid w:val="00173FC5"/>
    <w:rsid w:val="00177C9E"/>
    <w:rsid w:val="0018356F"/>
    <w:rsid w:val="0018623D"/>
    <w:rsid w:val="00191DFD"/>
    <w:rsid w:val="00192EBC"/>
    <w:rsid w:val="00193CC8"/>
    <w:rsid w:val="00193D37"/>
    <w:rsid w:val="00193DB4"/>
    <w:rsid w:val="001A0393"/>
    <w:rsid w:val="001A22EE"/>
    <w:rsid w:val="001A3586"/>
    <w:rsid w:val="001A5115"/>
    <w:rsid w:val="001A56CB"/>
    <w:rsid w:val="001A7742"/>
    <w:rsid w:val="001B2C09"/>
    <w:rsid w:val="001B6FBB"/>
    <w:rsid w:val="001E186D"/>
    <w:rsid w:val="001E637A"/>
    <w:rsid w:val="001E64A9"/>
    <w:rsid w:val="001E6E82"/>
    <w:rsid w:val="001E74EF"/>
    <w:rsid w:val="001E781A"/>
    <w:rsid w:val="001F357D"/>
    <w:rsid w:val="001F3A00"/>
    <w:rsid w:val="00201D5E"/>
    <w:rsid w:val="00206199"/>
    <w:rsid w:val="002100B3"/>
    <w:rsid w:val="00211CEC"/>
    <w:rsid w:val="002120B7"/>
    <w:rsid w:val="00214163"/>
    <w:rsid w:val="00214910"/>
    <w:rsid w:val="0021602E"/>
    <w:rsid w:val="00217103"/>
    <w:rsid w:val="00217F4A"/>
    <w:rsid w:val="0022139D"/>
    <w:rsid w:val="00222A03"/>
    <w:rsid w:val="002257B9"/>
    <w:rsid w:val="002262E4"/>
    <w:rsid w:val="0022631D"/>
    <w:rsid w:val="00231B51"/>
    <w:rsid w:val="0024007A"/>
    <w:rsid w:val="002403DA"/>
    <w:rsid w:val="00243155"/>
    <w:rsid w:val="00244993"/>
    <w:rsid w:val="00244CDC"/>
    <w:rsid w:val="00245436"/>
    <w:rsid w:val="00247092"/>
    <w:rsid w:val="0025110E"/>
    <w:rsid w:val="00251F14"/>
    <w:rsid w:val="00252505"/>
    <w:rsid w:val="00252F69"/>
    <w:rsid w:val="00256156"/>
    <w:rsid w:val="00257E6E"/>
    <w:rsid w:val="00260405"/>
    <w:rsid w:val="00264453"/>
    <w:rsid w:val="002664EC"/>
    <w:rsid w:val="00266DD1"/>
    <w:rsid w:val="002722E2"/>
    <w:rsid w:val="002754A5"/>
    <w:rsid w:val="002774C4"/>
    <w:rsid w:val="00284BE6"/>
    <w:rsid w:val="00285401"/>
    <w:rsid w:val="00287B4E"/>
    <w:rsid w:val="0029058B"/>
    <w:rsid w:val="002A747A"/>
    <w:rsid w:val="002B2A24"/>
    <w:rsid w:val="002B3A01"/>
    <w:rsid w:val="002B4433"/>
    <w:rsid w:val="002B7DDF"/>
    <w:rsid w:val="002C5170"/>
    <w:rsid w:val="002D1BE9"/>
    <w:rsid w:val="002D4EE4"/>
    <w:rsid w:val="002D7DD8"/>
    <w:rsid w:val="002E225F"/>
    <w:rsid w:val="002E3D25"/>
    <w:rsid w:val="002E5DE3"/>
    <w:rsid w:val="002E64C1"/>
    <w:rsid w:val="002E754E"/>
    <w:rsid w:val="002F2B77"/>
    <w:rsid w:val="002F34DA"/>
    <w:rsid w:val="002F7767"/>
    <w:rsid w:val="003029FB"/>
    <w:rsid w:val="00311695"/>
    <w:rsid w:val="0031175E"/>
    <w:rsid w:val="00315F43"/>
    <w:rsid w:val="00323F01"/>
    <w:rsid w:val="003256F7"/>
    <w:rsid w:val="00327512"/>
    <w:rsid w:val="00327862"/>
    <w:rsid w:val="00331CC2"/>
    <w:rsid w:val="0033219D"/>
    <w:rsid w:val="0033587F"/>
    <w:rsid w:val="003400F5"/>
    <w:rsid w:val="00343D89"/>
    <w:rsid w:val="00345620"/>
    <w:rsid w:val="00347CB2"/>
    <w:rsid w:val="00352252"/>
    <w:rsid w:val="003523E1"/>
    <w:rsid w:val="0035267F"/>
    <w:rsid w:val="003527C8"/>
    <w:rsid w:val="00356C7D"/>
    <w:rsid w:val="00360423"/>
    <w:rsid w:val="00361449"/>
    <w:rsid w:val="003639D4"/>
    <w:rsid w:val="003668B4"/>
    <w:rsid w:val="00370221"/>
    <w:rsid w:val="003703BE"/>
    <w:rsid w:val="00373ED5"/>
    <w:rsid w:val="00387294"/>
    <w:rsid w:val="00390258"/>
    <w:rsid w:val="003906E6"/>
    <w:rsid w:val="00390962"/>
    <w:rsid w:val="00392044"/>
    <w:rsid w:val="00393573"/>
    <w:rsid w:val="00393AE0"/>
    <w:rsid w:val="003979DD"/>
    <w:rsid w:val="003A3B44"/>
    <w:rsid w:val="003A4197"/>
    <w:rsid w:val="003A4C7C"/>
    <w:rsid w:val="003A4FB7"/>
    <w:rsid w:val="003B055C"/>
    <w:rsid w:val="003B7750"/>
    <w:rsid w:val="003C036C"/>
    <w:rsid w:val="003C0938"/>
    <w:rsid w:val="003C1481"/>
    <w:rsid w:val="003C5E4C"/>
    <w:rsid w:val="003C76BA"/>
    <w:rsid w:val="003C7AE8"/>
    <w:rsid w:val="003D05AD"/>
    <w:rsid w:val="003D3BDD"/>
    <w:rsid w:val="003D5F18"/>
    <w:rsid w:val="003D705C"/>
    <w:rsid w:val="003D7F21"/>
    <w:rsid w:val="003E37B5"/>
    <w:rsid w:val="003E61AA"/>
    <w:rsid w:val="003E71CC"/>
    <w:rsid w:val="003E7715"/>
    <w:rsid w:val="003F1381"/>
    <w:rsid w:val="003F2AD8"/>
    <w:rsid w:val="00403B10"/>
    <w:rsid w:val="004065F6"/>
    <w:rsid w:val="0040710E"/>
    <w:rsid w:val="0041083D"/>
    <w:rsid w:val="004165A5"/>
    <w:rsid w:val="00417131"/>
    <w:rsid w:val="0042069E"/>
    <w:rsid w:val="00420F81"/>
    <w:rsid w:val="004218BD"/>
    <w:rsid w:val="00422DA8"/>
    <w:rsid w:val="00425509"/>
    <w:rsid w:val="0043034C"/>
    <w:rsid w:val="00433002"/>
    <w:rsid w:val="00434575"/>
    <w:rsid w:val="00436831"/>
    <w:rsid w:val="0044366C"/>
    <w:rsid w:val="0044422D"/>
    <w:rsid w:val="004447DF"/>
    <w:rsid w:val="0045238F"/>
    <w:rsid w:val="00453FDA"/>
    <w:rsid w:val="004552E8"/>
    <w:rsid w:val="004564E4"/>
    <w:rsid w:val="00463CEE"/>
    <w:rsid w:val="004678FD"/>
    <w:rsid w:val="00472C4F"/>
    <w:rsid w:val="00474290"/>
    <w:rsid w:val="00475E70"/>
    <w:rsid w:val="0048130D"/>
    <w:rsid w:val="004827C7"/>
    <w:rsid w:val="004833E2"/>
    <w:rsid w:val="0049165F"/>
    <w:rsid w:val="00493599"/>
    <w:rsid w:val="004A48C8"/>
    <w:rsid w:val="004A5FED"/>
    <w:rsid w:val="004A6F6F"/>
    <w:rsid w:val="004A79E7"/>
    <w:rsid w:val="004B3892"/>
    <w:rsid w:val="004B6B28"/>
    <w:rsid w:val="004C52AF"/>
    <w:rsid w:val="004C57D2"/>
    <w:rsid w:val="004C6146"/>
    <w:rsid w:val="004C6DB8"/>
    <w:rsid w:val="004C7695"/>
    <w:rsid w:val="004D1A69"/>
    <w:rsid w:val="004D3B8F"/>
    <w:rsid w:val="004E1256"/>
    <w:rsid w:val="004E4111"/>
    <w:rsid w:val="004F2091"/>
    <w:rsid w:val="004F2362"/>
    <w:rsid w:val="004F2F68"/>
    <w:rsid w:val="004F5102"/>
    <w:rsid w:val="004F78EB"/>
    <w:rsid w:val="005002C5"/>
    <w:rsid w:val="0050659A"/>
    <w:rsid w:val="00506993"/>
    <w:rsid w:val="00506E46"/>
    <w:rsid w:val="00512B61"/>
    <w:rsid w:val="005148EF"/>
    <w:rsid w:val="00516FA2"/>
    <w:rsid w:val="0052080D"/>
    <w:rsid w:val="00524D29"/>
    <w:rsid w:val="00525095"/>
    <w:rsid w:val="00525AD4"/>
    <w:rsid w:val="0053058A"/>
    <w:rsid w:val="00532915"/>
    <w:rsid w:val="00536034"/>
    <w:rsid w:val="00536BB4"/>
    <w:rsid w:val="00537219"/>
    <w:rsid w:val="005400EA"/>
    <w:rsid w:val="005419C0"/>
    <w:rsid w:val="0054235F"/>
    <w:rsid w:val="00546117"/>
    <w:rsid w:val="00546C16"/>
    <w:rsid w:val="00562781"/>
    <w:rsid w:val="005641B7"/>
    <w:rsid w:val="00564F85"/>
    <w:rsid w:val="005702B0"/>
    <w:rsid w:val="0057249C"/>
    <w:rsid w:val="0057395C"/>
    <w:rsid w:val="00573B86"/>
    <w:rsid w:val="00575A68"/>
    <w:rsid w:val="0057793E"/>
    <w:rsid w:val="005810B2"/>
    <w:rsid w:val="005824EC"/>
    <w:rsid w:val="0058363A"/>
    <w:rsid w:val="0058407E"/>
    <w:rsid w:val="00585107"/>
    <w:rsid w:val="0059091B"/>
    <w:rsid w:val="00592122"/>
    <w:rsid w:val="0059283F"/>
    <w:rsid w:val="005943A5"/>
    <w:rsid w:val="00597064"/>
    <w:rsid w:val="00597654"/>
    <w:rsid w:val="005B0F1D"/>
    <w:rsid w:val="005B12AD"/>
    <w:rsid w:val="005B1835"/>
    <w:rsid w:val="005B49DF"/>
    <w:rsid w:val="005B604B"/>
    <w:rsid w:val="005C0011"/>
    <w:rsid w:val="005C04C3"/>
    <w:rsid w:val="005C197C"/>
    <w:rsid w:val="005C32E8"/>
    <w:rsid w:val="005C6025"/>
    <w:rsid w:val="005C7387"/>
    <w:rsid w:val="005D131B"/>
    <w:rsid w:val="005D63D2"/>
    <w:rsid w:val="005D653B"/>
    <w:rsid w:val="005D7B2D"/>
    <w:rsid w:val="005D7CF6"/>
    <w:rsid w:val="005E3C6E"/>
    <w:rsid w:val="005E4F2F"/>
    <w:rsid w:val="005E515E"/>
    <w:rsid w:val="005E5E1C"/>
    <w:rsid w:val="005E5F98"/>
    <w:rsid w:val="005E6163"/>
    <w:rsid w:val="005F0F3A"/>
    <w:rsid w:val="005F43C8"/>
    <w:rsid w:val="005F46DC"/>
    <w:rsid w:val="005F7559"/>
    <w:rsid w:val="00606253"/>
    <w:rsid w:val="00611C44"/>
    <w:rsid w:val="00615DB0"/>
    <w:rsid w:val="00617CBE"/>
    <w:rsid w:val="00620574"/>
    <w:rsid w:val="00622DC2"/>
    <w:rsid w:val="006253F5"/>
    <w:rsid w:val="00632C53"/>
    <w:rsid w:val="006333F0"/>
    <w:rsid w:val="0063386D"/>
    <w:rsid w:val="00633AF5"/>
    <w:rsid w:val="00633B40"/>
    <w:rsid w:val="0063405C"/>
    <w:rsid w:val="006367B9"/>
    <w:rsid w:val="006376F3"/>
    <w:rsid w:val="00640069"/>
    <w:rsid w:val="006421D1"/>
    <w:rsid w:val="00647139"/>
    <w:rsid w:val="00647B91"/>
    <w:rsid w:val="00652BCD"/>
    <w:rsid w:val="0065301E"/>
    <w:rsid w:val="00656333"/>
    <w:rsid w:val="00656AE6"/>
    <w:rsid w:val="006620AD"/>
    <w:rsid w:val="00671068"/>
    <w:rsid w:val="00677299"/>
    <w:rsid w:val="00680A19"/>
    <w:rsid w:val="00681BC9"/>
    <w:rsid w:val="00682CE5"/>
    <w:rsid w:val="006849DC"/>
    <w:rsid w:val="006862D2"/>
    <w:rsid w:val="00687E06"/>
    <w:rsid w:val="00691370"/>
    <w:rsid w:val="00692694"/>
    <w:rsid w:val="00693BC4"/>
    <w:rsid w:val="006945F7"/>
    <w:rsid w:val="006963AC"/>
    <w:rsid w:val="006972E5"/>
    <w:rsid w:val="006A4469"/>
    <w:rsid w:val="006A6223"/>
    <w:rsid w:val="006A68DF"/>
    <w:rsid w:val="006A6C6C"/>
    <w:rsid w:val="006A7AFC"/>
    <w:rsid w:val="006B03C3"/>
    <w:rsid w:val="006B1439"/>
    <w:rsid w:val="006B1F0E"/>
    <w:rsid w:val="006B7B8E"/>
    <w:rsid w:val="006C1353"/>
    <w:rsid w:val="006C496E"/>
    <w:rsid w:val="006C5897"/>
    <w:rsid w:val="006C60F7"/>
    <w:rsid w:val="006C69BA"/>
    <w:rsid w:val="006C77DE"/>
    <w:rsid w:val="006D034C"/>
    <w:rsid w:val="006D6044"/>
    <w:rsid w:val="006E02A6"/>
    <w:rsid w:val="006E0380"/>
    <w:rsid w:val="006E2123"/>
    <w:rsid w:val="006E40C6"/>
    <w:rsid w:val="006E6A7A"/>
    <w:rsid w:val="006E7CFD"/>
    <w:rsid w:val="006F0339"/>
    <w:rsid w:val="006F2389"/>
    <w:rsid w:val="006F41C4"/>
    <w:rsid w:val="006F6546"/>
    <w:rsid w:val="006F6C5D"/>
    <w:rsid w:val="0070163A"/>
    <w:rsid w:val="007070BE"/>
    <w:rsid w:val="00711FCA"/>
    <w:rsid w:val="0071225A"/>
    <w:rsid w:val="007176F3"/>
    <w:rsid w:val="0072244C"/>
    <w:rsid w:val="00722878"/>
    <w:rsid w:val="00725D22"/>
    <w:rsid w:val="00730FDB"/>
    <w:rsid w:val="00731871"/>
    <w:rsid w:val="00732AEA"/>
    <w:rsid w:val="0073579A"/>
    <w:rsid w:val="00735ADB"/>
    <w:rsid w:val="00742B1E"/>
    <w:rsid w:val="007535CD"/>
    <w:rsid w:val="00754C92"/>
    <w:rsid w:val="0075609C"/>
    <w:rsid w:val="00756885"/>
    <w:rsid w:val="00757981"/>
    <w:rsid w:val="00760557"/>
    <w:rsid w:val="0076787C"/>
    <w:rsid w:val="00770073"/>
    <w:rsid w:val="00773291"/>
    <w:rsid w:val="00774E1D"/>
    <w:rsid w:val="00775D33"/>
    <w:rsid w:val="00782F2E"/>
    <w:rsid w:val="00786659"/>
    <w:rsid w:val="00786BDC"/>
    <w:rsid w:val="00787609"/>
    <w:rsid w:val="00792A02"/>
    <w:rsid w:val="007964BB"/>
    <w:rsid w:val="00797BF9"/>
    <w:rsid w:val="007A4113"/>
    <w:rsid w:val="007A6239"/>
    <w:rsid w:val="007A7289"/>
    <w:rsid w:val="007B236A"/>
    <w:rsid w:val="007B238D"/>
    <w:rsid w:val="007B582A"/>
    <w:rsid w:val="007B6572"/>
    <w:rsid w:val="007C112A"/>
    <w:rsid w:val="007C29C5"/>
    <w:rsid w:val="007C2EA9"/>
    <w:rsid w:val="007D0F89"/>
    <w:rsid w:val="007D4F08"/>
    <w:rsid w:val="007D792F"/>
    <w:rsid w:val="007D7D68"/>
    <w:rsid w:val="007E0FB8"/>
    <w:rsid w:val="007E3E71"/>
    <w:rsid w:val="007E7EE7"/>
    <w:rsid w:val="007F401F"/>
    <w:rsid w:val="007F443D"/>
    <w:rsid w:val="00801891"/>
    <w:rsid w:val="00805B23"/>
    <w:rsid w:val="0080621A"/>
    <w:rsid w:val="0080715F"/>
    <w:rsid w:val="00813A2D"/>
    <w:rsid w:val="00813B00"/>
    <w:rsid w:val="00813CCB"/>
    <w:rsid w:val="00814E62"/>
    <w:rsid w:val="008168A2"/>
    <w:rsid w:val="008177AE"/>
    <w:rsid w:val="00820B03"/>
    <w:rsid w:val="008219FA"/>
    <w:rsid w:val="00821AFB"/>
    <w:rsid w:val="00822479"/>
    <w:rsid w:val="00822B1E"/>
    <w:rsid w:val="00822FBC"/>
    <w:rsid w:val="008232A0"/>
    <w:rsid w:val="0082597C"/>
    <w:rsid w:val="00825E6F"/>
    <w:rsid w:val="0082758F"/>
    <w:rsid w:val="00832AF6"/>
    <w:rsid w:val="008353FC"/>
    <w:rsid w:val="00836652"/>
    <w:rsid w:val="0083672E"/>
    <w:rsid w:val="008369FF"/>
    <w:rsid w:val="008420AD"/>
    <w:rsid w:val="008449E3"/>
    <w:rsid w:val="00845B2F"/>
    <w:rsid w:val="0084793F"/>
    <w:rsid w:val="008501F2"/>
    <w:rsid w:val="008553AE"/>
    <w:rsid w:val="008560D4"/>
    <w:rsid w:val="00856AD7"/>
    <w:rsid w:val="0086056F"/>
    <w:rsid w:val="00860685"/>
    <w:rsid w:val="00860C2B"/>
    <w:rsid w:val="00863FCC"/>
    <w:rsid w:val="008643BC"/>
    <w:rsid w:val="008664B3"/>
    <w:rsid w:val="00871670"/>
    <w:rsid w:val="00871C8D"/>
    <w:rsid w:val="008736D9"/>
    <w:rsid w:val="008762A1"/>
    <w:rsid w:val="008769E8"/>
    <w:rsid w:val="00877EE4"/>
    <w:rsid w:val="00881D53"/>
    <w:rsid w:val="00882EC1"/>
    <w:rsid w:val="00887AA4"/>
    <w:rsid w:val="0089033E"/>
    <w:rsid w:val="00891494"/>
    <w:rsid w:val="00891CB1"/>
    <w:rsid w:val="008920B2"/>
    <w:rsid w:val="00895010"/>
    <w:rsid w:val="00896950"/>
    <w:rsid w:val="008A07AC"/>
    <w:rsid w:val="008A0A97"/>
    <w:rsid w:val="008A4DC1"/>
    <w:rsid w:val="008A5C55"/>
    <w:rsid w:val="008A5DB2"/>
    <w:rsid w:val="008B0383"/>
    <w:rsid w:val="008B4528"/>
    <w:rsid w:val="008B58AE"/>
    <w:rsid w:val="008B5A83"/>
    <w:rsid w:val="008B65FF"/>
    <w:rsid w:val="008B7BD5"/>
    <w:rsid w:val="008C0A0A"/>
    <w:rsid w:val="008C57A8"/>
    <w:rsid w:val="008C5F0B"/>
    <w:rsid w:val="008C7151"/>
    <w:rsid w:val="008C7770"/>
    <w:rsid w:val="008C7B4E"/>
    <w:rsid w:val="008D2276"/>
    <w:rsid w:val="008E5ED9"/>
    <w:rsid w:val="008F004E"/>
    <w:rsid w:val="008F02E4"/>
    <w:rsid w:val="008F5578"/>
    <w:rsid w:val="008F71CB"/>
    <w:rsid w:val="00902A9C"/>
    <w:rsid w:val="009047DF"/>
    <w:rsid w:val="0090541E"/>
    <w:rsid w:val="00905491"/>
    <w:rsid w:val="00911F0E"/>
    <w:rsid w:val="009131B7"/>
    <w:rsid w:val="00913C5D"/>
    <w:rsid w:val="00914112"/>
    <w:rsid w:val="00914A77"/>
    <w:rsid w:val="00916B4A"/>
    <w:rsid w:val="009204F3"/>
    <w:rsid w:val="00925F87"/>
    <w:rsid w:val="009319AF"/>
    <w:rsid w:val="0093620A"/>
    <w:rsid w:val="009417FB"/>
    <w:rsid w:val="00941E08"/>
    <w:rsid w:val="009454C1"/>
    <w:rsid w:val="009505B8"/>
    <w:rsid w:val="00953BEB"/>
    <w:rsid w:val="009559BA"/>
    <w:rsid w:val="009559F5"/>
    <w:rsid w:val="00956AF5"/>
    <w:rsid w:val="0096348D"/>
    <w:rsid w:val="00965AEC"/>
    <w:rsid w:val="00966453"/>
    <w:rsid w:val="00966FDA"/>
    <w:rsid w:val="00974E52"/>
    <w:rsid w:val="00975BB7"/>
    <w:rsid w:val="00986BAD"/>
    <w:rsid w:val="0099233B"/>
    <w:rsid w:val="00993146"/>
    <w:rsid w:val="00994BB5"/>
    <w:rsid w:val="00994D61"/>
    <w:rsid w:val="00996E5C"/>
    <w:rsid w:val="009977E5"/>
    <w:rsid w:val="00997BBE"/>
    <w:rsid w:val="009A27A2"/>
    <w:rsid w:val="009A4D49"/>
    <w:rsid w:val="009B316A"/>
    <w:rsid w:val="009B34F9"/>
    <w:rsid w:val="009B7ED1"/>
    <w:rsid w:val="009C0A1C"/>
    <w:rsid w:val="009C4D87"/>
    <w:rsid w:val="009C6404"/>
    <w:rsid w:val="009D02FA"/>
    <w:rsid w:val="009D159C"/>
    <w:rsid w:val="009D39B7"/>
    <w:rsid w:val="009D56A9"/>
    <w:rsid w:val="009D56DE"/>
    <w:rsid w:val="009E2F00"/>
    <w:rsid w:val="009E40F6"/>
    <w:rsid w:val="009E57FD"/>
    <w:rsid w:val="009E6710"/>
    <w:rsid w:val="009E792A"/>
    <w:rsid w:val="009E7E3D"/>
    <w:rsid w:val="009F05EF"/>
    <w:rsid w:val="009F3A5F"/>
    <w:rsid w:val="00A1116F"/>
    <w:rsid w:val="00A1166C"/>
    <w:rsid w:val="00A142CC"/>
    <w:rsid w:val="00A15B1A"/>
    <w:rsid w:val="00A16649"/>
    <w:rsid w:val="00A16E1B"/>
    <w:rsid w:val="00A23B56"/>
    <w:rsid w:val="00A24727"/>
    <w:rsid w:val="00A328D6"/>
    <w:rsid w:val="00A349C8"/>
    <w:rsid w:val="00A41BFF"/>
    <w:rsid w:val="00A4287E"/>
    <w:rsid w:val="00A444D4"/>
    <w:rsid w:val="00A45393"/>
    <w:rsid w:val="00A47318"/>
    <w:rsid w:val="00A533EE"/>
    <w:rsid w:val="00A5515E"/>
    <w:rsid w:val="00A562AD"/>
    <w:rsid w:val="00A5638E"/>
    <w:rsid w:val="00A63B7D"/>
    <w:rsid w:val="00A67DE3"/>
    <w:rsid w:val="00A7062A"/>
    <w:rsid w:val="00A73985"/>
    <w:rsid w:val="00A74C0B"/>
    <w:rsid w:val="00A758C1"/>
    <w:rsid w:val="00A76F09"/>
    <w:rsid w:val="00A77ECE"/>
    <w:rsid w:val="00A82F9A"/>
    <w:rsid w:val="00A8449E"/>
    <w:rsid w:val="00A855FC"/>
    <w:rsid w:val="00A85C55"/>
    <w:rsid w:val="00A90D6F"/>
    <w:rsid w:val="00A90DE0"/>
    <w:rsid w:val="00A91830"/>
    <w:rsid w:val="00A91C1B"/>
    <w:rsid w:val="00A93C6F"/>
    <w:rsid w:val="00A944E8"/>
    <w:rsid w:val="00A96831"/>
    <w:rsid w:val="00A96ACA"/>
    <w:rsid w:val="00AA0743"/>
    <w:rsid w:val="00AA4039"/>
    <w:rsid w:val="00AA4FE3"/>
    <w:rsid w:val="00AA7737"/>
    <w:rsid w:val="00AB34D1"/>
    <w:rsid w:val="00AB638B"/>
    <w:rsid w:val="00AB7E42"/>
    <w:rsid w:val="00AC2F03"/>
    <w:rsid w:val="00AC2F81"/>
    <w:rsid w:val="00AC6A90"/>
    <w:rsid w:val="00AD0063"/>
    <w:rsid w:val="00AD160F"/>
    <w:rsid w:val="00AD250D"/>
    <w:rsid w:val="00AD4722"/>
    <w:rsid w:val="00AE1A22"/>
    <w:rsid w:val="00AE2575"/>
    <w:rsid w:val="00AE5A09"/>
    <w:rsid w:val="00AE728D"/>
    <w:rsid w:val="00AF06BC"/>
    <w:rsid w:val="00AF1AF8"/>
    <w:rsid w:val="00AF3627"/>
    <w:rsid w:val="00B01B00"/>
    <w:rsid w:val="00B02FE8"/>
    <w:rsid w:val="00B03358"/>
    <w:rsid w:val="00B04673"/>
    <w:rsid w:val="00B056B0"/>
    <w:rsid w:val="00B065C4"/>
    <w:rsid w:val="00B06795"/>
    <w:rsid w:val="00B068CF"/>
    <w:rsid w:val="00B1046E"/>
    <w:rsid w:val="00B110A2"/>
    <w:rsid w:val="00B120F4"/>
    <w:rsid w:val="00B12278"/>
    <w:rsid w:val="00B1359C"/>
    <w:rsid w:val="00B2156E"/>
    <w:rsid w:val="00B22991"/>
    <w:rsid w:val="00B22A55"/>
    <w:rsid w:val="00B2632D"/>
    <w:rsid w:val="00B3032D"/>
    <w:rsid w:val="00B30BE8"/>
    <w:rsid w:val="00B32582"/>
    <w:rsid w:val="00B35A32"/>
    <w:rsid w:val="00B410C7"/>
    <w:rsid w:val="00B41B0F"/>
    <w:rsid w:val="00B43F6E"/>
    <w:rsid w:val="00B440A9"/>
    <w:rsid w:val="00B467F0"/>
    <w:rsid w:val="00B4734E"/>
    <w:rsid w:val="00B477D4"/>
    <w:rsid w:val="00B577A8"/>
    <w:rsid w:val="00B62C00"/>
    <w:rsid w:val="00B64D06"/>
    <w:rsid w:val="00B67C87"/>
    <w:rsid w:val="00B70CD1"/>
    <w:rsid w:val="00B71CEF"/>
    <w:rsid w:val="00B727A8"/>
    <w:rsid w:val="00B7612D"/>
    <w:rsid w:val="00B80205"/>
    <w:rsid w:val="00B82E58"/>
    <w:rsid w:val="00B85BB1"/>
    <w:rsid w:val="00B85F1A"/>
    <w:rsid w:val="00B872B5"/>
    <w:rsid w:val="00B8785F"/>
    <w:rsid w:val="00B90087"/>
    <w:rsid w:val="00B91590"/>
    <w:rsid w:val="00B931BE"/>
    <w:rsid w:val="00B9676D"/>
    <w:rsid w:val="00B96E4E"/>
    <w:rsid w:val="00B96F07"/>
    <w:rsid w:val="00B9752F"/>
    <w:rsid w:val="00B97B02"/>
    <w:rsid w:val="00BA7DB6"/>
    <w:rsid w:val="00BB0777"/>
    <w:rsid w:val="00BB0847"/>
    <w:rsid w:val="00BB57EB"/>
    <w:rsid w:val="00BB74CE"/>
    <w:rsid w:val="00BB7A0B"/>
    <w:rsid w:val="00BC09DF"/>
    <w:rsid w:val="00BC0E99"/>
    <w:rsid w:val="00BC309B"/>
    <w:rsid w:val="00BC5342"/>
    <w:rsid w:val="00BC5FDD"/>
    <w:rsid w:val="00BC70BD"/>
    <w:rsid w:val="00BC7BE5"/>
    <w:rsid w:val="00BD2124"/>
    <w:rsid w:val="00BD2127"/>
    <w:rsid w:val="00BD25F8"/>
    <w:rsid w:val="00BD2B0D"/>
    <w:rsid w:val="00BD379D"/>
    <w:rsid w:val="00BE6460"/>
    <w:rsid w:val="00BE7804"/>
    <w:rsid w:val="00BF1635"/>
    <w:rsid w:val="00BF1C4E"/>
    <w:rsid w:val="00BF1FD0"/>
    <w:rsid w:val="00BF5080"/>
    <w:rsid w:val="00BF5996"/>
    <w:rsid w:val="00BF5D82"/>
    <w:rsid w:val="00C02BEE"/>
    <w:rsid w:val="00C125CC"/>
    <w:rsid w:val="00C145DC"/>
    <w:rsid w:val="00C305CE"/>
    <w:rsid w:val="00C30D88"/>
    <w:rsid w:val="00C33380"/>
    <w:rsid w:val="00C35772"/>
    <w:rsid w:val="00C361DA"/>
    <w:rsid w:val="00C41C4F"/>
    <w:rsid w:val="00C42980"/>
    <w:rsid w:val="00C432B8"/>
    <w:rsid w:val="00C44BE6"/>
    <w:rsid w:val="00C4716F"/>
    <w:rsid w:val="00C547A8"/>
    <w:rsid w:val="00C54D92"/>
    <w:rsid w:val="00C55A5E"/>
    <w:rsid w:val="00C57D9D"/>
    <w:rsid w:val="00C6163A"/>
    <w:rsid w:val="00C66361"/>
    <w:rsid w:val="00C669A6"/>
    <w:rsid w:val="00C67A63"/>
    <w:rsid w:val="00C74316"/>
    <w:rsid w:val="00C74FAD"/>
    <w:rsid w:val="00C772DF"/>
    <w:rsid w:val="00C8003B"/>
    <w:rsid w:val="00C80209"/>
    <w:rsid w:val="00C81392"/>
    <w:rsid w:val="00C82EA3"/>
    <w:rsid w:val="00C8377A"/>
    <w:rsid w:val="00C84565"/>
    <w:rsid w:val="00C8639E"/>
    <w:rsid w:val="00C91631"/>
    <w:rsid w:val="00C933C9"/>
    <w:rsid w:val="00C94331"/>
    <w:rsid w:val="00C96D61"/>
    <w:rsid w:val="00CA0A0F"/>
    <w:rsid w:val="00CA2AB5"/>
    <w:rsid w:val="00CA35B1"/>
    <w:rsid w:val="00CA7365"/>
    <w:rsid w:val="00CA7680"/>
    <w:rsid w:val="00CB396B"/>
    <w:rsid w:val="00CB40A9"/>
    <w:rsid w:val="00CB4F35"/>
    <w:rsid w:val="00CC1FAE"/>
    <w:rsid w:val="00CC1FD6"/>
    <w:rsid w:val="00CC27BA"/>
    <w:rsid w:val="00CC54A6"/>
    <w:rsid w:val="00CC68FB"/>
    <w:rsid w:val="00CC77BA"/>
    <w:rsid w:val="00CC7853"/>
    <w:rsid w:val="00CD0BD3"/>
    <w:rsid w:val="00CD0CF9"/>
    <w:rsid w:val="00CD14E7"/>
    <w:rsid w:val="00CD1D1A"/>
    <w:rsid w:val="00CD42FA"/>
    <w:rsid w:val="00CD62AD"/>
    <w:rsid w:val="00CE20D1"/>
    <w:rsid w:val="00CE3D4C"/>
    <w:rsid w:val="00CE613D"/>
    <w:rsid w:val="00CF0035"/>
    <w:rsid w:val="00CF16D7"/>
    <w:rsid w:val="00CF5064"/>
    <w:rsid w:val="00CF574B"/>
    <w:rsid w:val="00CF7D5C"/>
    <w:rsid w:val="00D003E4"/>
    <w:rsid w:val="00D02D09"/>
    <w:rsid w:val="00D031C9"/>
    <w:rsid w:val="00D035B0"/>
    <w:rsid w:val="00D058BD"/>
    <w:rsid w:val="00D0653F"/>
    <w:rsid w:val="00D06AE6"/>
    <w:rsid w:val="00D1292A"/>
    <w:rsid w:val="00D138F3"/>
    <w:rsid w:val="00D151E2"/>
    <w:rsid w:val="00D1550B"/>
    <w:rsid w:val="00D167E5"/>
    <w:rsid w:val="00D224CE"/>
    <w:rsid w:val="00D23475"/>
    <w:rsid w:val="00D25A1A"/>
    <w:rsid w:val="00D26334"/>
    <w:rsid w:val="00D30C94"/>
    <w:rsid w:val="00D3197F"/>
    <w:rsid w:val="00D3290A"/>
    <w:rsid w:val="00D34670"/>
    <w:rsid w:val="00D426BC"/>
    <w:rsid w:val="00D44C91"/>
    <w:rsid w:val="00D50D97"/>
    <w:rsid w:val="00D51E17"/>
    <w:rsid w:val="00D55895"/>
    <w:rsid w:val="00D56BC6"/>
    <w:rsid w:val="00D6204A"/>
    <w:rsid w:val="00D620A4"/>
    <w:rsid w:val="00D62118"/>
    <w:rsid w:val="00D62350"/>
    <w:rsid w:val="00D64CB0"/>
    <w:rsid w:val="00D70E26"/>
    <w:rsid w:val="00D71C09"/>
    <w:rsid w:val="00D74072"/>
    <w:rsid w:val="00D81903"/>
    <w:rsid w:val="00D81C75"/>
    <w:rsid w:val="00D83260"/>
    <w:rsid w:val="00D87ADD"/>
    <w:rsid w:val="00D94F5F"/>
    <w:rsid w:val="00D95652"/>
    <w:rsid w:val="00D9567E"/>
    <w:rsid w:val="00D97A64"/>
    <w:rsid w:val="00DB7F17"/>
    <w:rsid w:val="00DC0E13"/>
    <w:rsid w:val="00DC1BFC"/>
    <w:rsid w:val="00DC43B6"/>
    <w:rsid w:val="00DC51BD"/>
    <w:rsid w:val="00DC7A56"/>
    <w:rsid w:val="00DC7E6D"/>
    <w:rsid w:val="00DD0748"/>
    <w:rsid w:val="00DD1394"/>
    <w:rsid w:val="00DD15CF"/>
    <w:rsid w:val="00DD17C6"/>
    <w:rsid w:val="00DD227F"/>
    <w:rsid w:val="00DD55DD"/>
    <w:rsid w:val="00DD6879"/>
    <w:rsid w:val="00DE0EB6"/>
    <w:rsid w:val="00DE299F"/>
    <w:rsid w:val="00DE31CD"/>
    <w:rsid w:val="00DF015E"/>
    <w:rsid w:val="00DF663D"/>
    <w:rsid w:val="00E00BFE"/>
    <w:rsid w:val="00E011BA"/>
    <w:rsid w:val="00E01280"/>
    <w:rsid w:val="00E01DD3"/>
    <w:rsid w:val="00E0339B"/>
    <w:rsid w:val="00E04D39"/>
    <w:rsid w:val="00E0660B"/>
    <w:rsid w:val="00E07C8E"/>
    <w:rsid w:val="00E1642E"/>
    <w:rsid w:val="00E222C0"/>
    <w:rsid w:val="00E22B4B"/>
    <w:rsid w:val="00E25E23"/>
    <w:rsid w:val="00E267F4"/>
    <w:rsid w:val="00E27F9A"/>
    <w:rsid w:val="00E32E0E"/>
    <w:rsid w:val="00E3323D"/>
    <w:rsid w:val="00E33AD8"/>
    <w:rsid w:val="00E3444A"/>
    <w:rsid w:val="00E3517E"/>
    <w:rsid w:val="00E35731"/>
    <w:rsid w:val="00E35937"/>
    <w:rsid w:val="00E35CC7"/>
    <w:rsid w:val="00E36FF4"/>
    <w:rsid w:val="00E405BC"/>
    <w:rsid w:val="00E40A0F"/>
    <w:rsid w:val="00E4121E"/>
    <w:rsid w:val="00E43BB0"/>
    <w:rsid w:val="00E44751"/>
    <w:rsid w:val="00E52592"/>
    <w:rsid w:val="00E5547E"/>
    <w:rsid w:val="00E623F0"/>
    <w:rsid w:val="00E62CE8"/>
    <w:rsid w:val="00E65ACA"/>
    <w:rsid w:val="00E70BD7"/>
    <w:rsid w:val="00E71B71"/>
    <w:rsid w:val="00E77497"/>
    <w:rsid w:val="00E7799F"/>
    <w:rsid w:val="00E821F9"/>
    <w:rsid w:val="00E827E1"/>
    <w:rsid w:val="00E85332"/>
    <w:rsid w:val="00E86844"/>
    <w:rsid w:val="00E87234"/>
    <w:rsid w:val="00E875AB"/>
    <w:rsid w:val="00E90824"/>
    <w:rsid w:val="00E91330"/>
    <w:rsid w:val="00E95ED8"/>
    <w:rsid w:val="00EA0126"/>
    <w:rsid w:val="00EA132E"/>
    <w:rsid w:val="00EA1CA6"/>
    <w:rsid w:val="00EA6744"/>
    <w:rsid w:val="00EA6D69"/>
    <w:rsid w:val="00EB0BEA"/>
    <w:rsid w:val="00EB3901"/>
    <w:rsid w:val="00EB6CD2"/>
    <w:rsid w:val="00EB78C2"/>
    <w:rsid w:val="00EC033F"/>
    <w:rsid w:val="00EC0764"/>
    <w:rsid w:val="00EC1EDA"/>
    <w:rsid w:val="00EC32D6"/>
    <w:rsid w:val="00EC4E98"/>
    <w:rsid w:val="00EC5C1D"/>
    <w:rsid w:val="00EC695D"/>
    <w:rsid w:val="00ED621F"/>
    <w:rsid w:val="00EE2ECE"/>
    <w:rsid w:val="00EE4B06"/>
    <w:rsid w:val="00EE5689"/>
    <w:rsid w:val="00EF2A4E"/>
    <w:rsid w:val="00EF5BBF"/>
    <w:rsid w:val="00EF680F"/>
    <w:rsid w:val="00F0034D"/>
    <w:rsid w:val="00F01FE7"/>
    <w:rsid w:val="00F05BAB"/>
    <w:rsid w:val="00F22547"/>
    <w:rsid w:val="00F22E0E"/>
    <w:rsid w:val="00F23836"/>
    <w:rsid w:val="00F24572"/>
    <w:rsid w:val="00F259CE"/>
    <w:rsid w:val="00F30BA8"/>
    <w:rsid w:val="00F31C2A"/>
    <w:rsid w:val="00F34BCC"/>
    <w:rsid w:val="00F358F1"/>
    <w:rsid w:val="00F37817"/>
    <w:rsid w:val="00F40722"/>
    <w:rsid w:val="00F41668"/>
    <w:rsid w:val="00F427D8"/>
    <w:rsid w:val="00F43524"/>
    <w:rsid w:val="00F50D06"/>
    <w:rsid w:val="00F52BCE"/>
    <w:rsid w:val="00F52ECB"/>
    <w:rsid w:val="00F532B2"/>
    <w:rsid w:val="00F63116"/>
    <w:rsid w:val="00F6451F"/>
    <w:rsid w:val="00F723C8"/>
    <w:rsid w:val="00F83532"/>
    <w:rsid w:val="00F860A5"/>
    <w:rsid w:val="00F90C52"/>
    <w:rsid w:val="00F92298"/>
    <w:rsid w:val="00F924A4"/>
    <w:rsid w:val="00F93198"/>
    <w:rsid w:val="00F942D2"/>
    <w:rsid w:val="00F94C16"/>
    <w:rsid w:val="00FA0B28"/>
    <w:rsid w:val="00FA3145"/>
    <w:rsid w:val="00FA4A60"/>
    <w:rsid w:val="00FB3CBC"/>
    <w:rsid w:val="00FB518B"/>
    <w:rsid w:val="00FC143E"/>
    <w:rsid w:val="00FC1648"/>
    <w:rsid w:val="00FC3737"/>
    <w:rsid w:val="00FC3CB9"/>
    <w:rsid w:val="00FC420A"/>
    <w:rsid w:val="00FC51AE"/>
    <w:rsid w:val="00FD072F"/>
    <w:rsid w:val="00FD3142"/>
    <w:rsid w:val="00FD794C"/>
    <w:rsid w:val="00FE0E85"/>
    <w:rsid w:val="00FE39F2"/>
    <w:rsid w:val="00FE6472"/>
    <w:rsid w:val="00FE6B1E"/>
    <w:rsid w:val="00FF1E6D"/>
    <w:rsid w:val="00FF2C91"/>
    <w:rsid w:val="00FF46F9"/>
    <w:rsid w:val="00FF7904"/>
    <w:rsid w:val="01041951"/>
    <w:rsid w:val="05E40C54"/>
    <w:rsid w:val="06A42377"/>
    <w:rsid w:val="07587E1D"/>
    <w:rsid w:val="093A0DE5"/>
    <w:rsid w:val="0AF9CB7F"/>
    <w:rsid w:val="0F877EC3"/>
    <w:rsid w:val="117D361B"/>
    <w:rsid w:val="13836007"/>
    <w:rsid w:val="13A14AC4"/>
    <w:rsid w:val="150C03F7"/>
    <w:rsid w:val="1CE61304"/>
    <w:rsid w:val="1D5E7B70"/>
    <w:rsid w:val="1EEB7D15"/>
    <w:rsid w:val="206E0FC8"/>
    <w:rsid w:val="23B02BC5"/>
    <w:rsid w:val="25FE5651"/>
    <w:rsid w:val="26472A30"/>
    <w:rsid w:val="274779FD"/>
    <w:rsid w:val="2ACB3B4E"/>
    <w:rsid w:val="2D5D6C5F"/>
    <w:rsid w:val="2E47409D"/>
    <w:rsid w:val="34803EC8"/>
    <w:rsid w:val="34B9379B"/>
    <w:rsid w:val="35E772E4"/>
    <w:rsid w:val="3EAE7781"/>
    <w:rsid w:val="3F4405BD"/>
    <w:rsid w:val="3F779754"/>
    <w:rsid w:val="3FA78228"/>
    <w:rsid w:val="413A3D72"/>
    <w:rsid w:val="43B12F69"/>
    <w:rsid w:val="4479290B"/>
    <w:rsid w:val="454D63F2"/>
    <w:rsid w:val="4687467B"/>
    <w:rsid w:val="49A2495C"/>
    <w:rsid w:val="4A603B63"/>
    <w:rsid w:val="4BC13157"/>
    <w:rsid w:val="4C303B79"/>
    <w:rsid w:val="5439223A"/>
    <w:rsid w:val="553F0BCB"/>
    <w:rsid w:val="5C696B87"/>
    <w:rsid w:val="5D002955"/>
    <w:rsid w:val="5DAB167E"/>
    <w:rsid w:val="60732830"/>
    <w:rsid w:val="61452CD9"/>
    <w:rsid w:val="63DE1DF7"/>
    <w:rsid w:val="650F518F"/>
    <w:rsid w:val="678D25CA"/>
    <w:rsid w:val="68964C95"/>
    <w:rsid w:val="6C2142DB"/>
    <w:rsid w:val="6D6C01D4"/>
    <w:rsid w:val="6EBBEF1C"/>
    <w:rsid w:val="70120D53"/>
    <w:rsid w:val="701E08C7"/>
    <w:rsid w:val="70932323"/>
    <w:rsid w:val="74322378"/>
    <w:rsid w:val="754049A5"/>
    <w:rsid w:val="76FF0615"/>
    <w:rsid w:val="77AFCE9C"/>
    <w:rsid w:val="7ACC7DC7"/>
    <w:rsid w:val="7C7951F7"/>
    <w:rsid w:val="BD737697"/>
    <w:rsid w:val="BEF9AD9B"/>
    <w:rsid w:val="F63D405D"/>
    <w:rsid w:val="F769E095"/>
    <w:rsid w:val="FEFF4084"/>
    <w:rsid w:val="FF3E3E40"/>
    <w:rsid w:val="FFFF99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0"/>
    <w:qFormat/>
    <w:uiPriority w:val="9"/>
    <w:pPr>
      <w:keepNext/>
      <w:keepLines/>
      <w:spacing w:before="340" w:after="330" w:line="578" w:lineRule="auto"/>
      <w:outlineLvl w:val="0"/>
    </w:pPr>
    <w:rPr>
      <w:b/>
      <w:bCs/>
      <w:kern w:val="44"/>
      <w:sz w:val="44"/>
      <w:szCs w:val="44"/>
    </w:rPr>
  </w:style>
  <w:style w:type="character" w:default="1" w:styleId="14">
    <w:name w:val="Default Paragraph Font"/>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27"/>
    <w:unhideWhenUsed/>
    <w:qFormat/>
    <w:uiPriority w:val="99"/>
    <w:pPr>
      <w:jc w:val="left"/>
    </w:pPr>
  </w:style>
  <w:style w:type="paragraph" w:styleId="4">
    <w:name w:val="Body Text"/>
    <w:basedOn w:val="1"/>
    <w:qFormat/>
    <w:uiPriority w:val="1"/>
    <w:pPr>
      <w:spacing w:before="37"/>
      <w:ind w:left="540"/>
    </w:pPr>
    <w:rPr>
      <w:rFonts w:ascii="宋体" w:hAnsi="宋体" w:eastAsia="宋体"/>
      <w:szCs w:val="21"/>
    </w:rPr>
  </w:style>
  <w:style w:type="paragraph" w:styleId="5">
    <w:name w:val="Balloon Text"/>
    <w:basedOn w:val="1"/>
    <w:link w:val="29"/>
    <w:unhideWhenUsed/>
    <w:qFormat/>
    <w:uiPriority w:val="99"/>
    <w:rPr>
      <w:sz w:val="18"/>
      <w:szCs w:val="18"/>
    </w:rPr>
  </w:style>
  <w:style w:type="paragraph" w:styleId="6">
    <w:name w:val="footer"/>
    <w:basedOn w:val="1"/>
    <w:link w:val="20"/>
    <w:autoRedefine/>
    <w:unhideWhenUsed/>
    <w:qFormat/>
    <w:uiPriority w:val="99"/>
    <w:pPr>
      <w:tabs>
        <w:tab w:val="center" w:pos="4153"/>
        <w:tab w:val="right" w:pos="8306"/>
      </w:tabs>
      <w:snapToGrid w:val="0"/>
      <w:jc w:val="center"/>
    </w:pPr>
    <w:rPr>
      <w:sz w:val="18"/>
      <w:szCs w:val="18"/>
    </w:rPr>
  </w:style>
  <w:style w:type="paragraph" w:styleId="7">
    <w:name w:val="header"/>
    <w:basedOn w:val="1"/>
    <w:link w:val="19"/>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unhideWhenUsed/>
    <w:qFormat/>
    <w:uiPriority w:val="39"/>
  </w:style>
  <w:style w:type="paragraph" w:styleId="9">
    <w:name w:val="HTML Preformatted"/>
    <w:basedOn w:val="1"/>
    <w:link w:val="31"/>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0">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1">
    <w:name w:val="annotation subject"/>
    <w:basedOn w:val="3"/>
    <w:next w:val="3"/>
    <w:link w:val="28"/>
    <w:autoRedefine/>
    <w:unhideWhenUsed/>
    <w:qFormat/>
    <w:uiPriority w:val="99"/>
    <w:rPr>
      <w:b/>
      <w:bCs/>
    </w:rPr>
  </w:style>
  <w:style w:type="table" w:styleId="13">
    <w:name w:val="Table Grid"/>
    <w:basedOn w:val="12"/>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Emphasis"/>
    <w:basedOn w:val="14"/>
    <w:autoRedefine/>
    <w:qFormat/>
    <w:uiPriority w:val="20"/>
    <w:rPr>
      <w:i/>
      <w:iCs/>
    </w:rPr>
  </w:style>
  <w:style w:type="character" w:styleId="16">
    <w:name w:val="Hyperlink"/>
    <w:basedOn w:val="14"/>
    <w:autoRedefine/>
    <w:unhideWhenUsed/>
    <w:qFormat/>
    <w:uiPriority w:val="99"/>
    <w:rPr>
      <w:color w:val="0563C1" w:themeColor="hyperlink"/>
      <w:u w:val="single"/>
      <w14:textFill>
        <w14:solidFill>
          <w14:schemeClr w14:val="hlink"/>
        </w14:solidFill>
      </w14:textFill>
    </w:rPr>
  </w:style>
  <w:style w:type="character" w:styleId="17">
    <w:name w:val="annotation reference"/>
    <w:basedOn w:val="14"/>
    <w:autoRedefine/>
    <w:unhideWhenUsed/>
    <w:qFormat/>
    <w:uiPriority w:val="99"/>
    <w:rPr>
      <w:sz w:val="21"/>
      <w:szCs w:val="21"/>
    </w:rPr>
  </w:style>
  <w:style w:type="paragraph" w:customStyle="1" w:styleId="18">
    <w:name w:val="列出段落1"/>
    <w:basedOn w:val="1"/>
    <w:link w:val="22"/>
    <w:autoRedefine/>
    <w:qFormat/>
    <w:uiPriority w:val="34"/>
    <w:pPr>
      <w:ind w:firstLine="420" w:firstLineChars="200"/>
    </w:pPr>
  </w:style>
  <w:style w:type="character" w:customStyle="1" w:styleId="19">
    <w:name w:val="页眉 字符"/>
    <w:basedOn w:val="14"/>
    <w:link w:val="7"/>
    <w:autoRedefine/>
    <w:qFormat/>
    <w:uiPriority w:val="99"/>
    <w:rPr>
      <w:sz w:val="18"/>
      <w:szCs w:val="18"/>
    </w:rPr>
  </w:style>
  <w:style w:type="character" w:customStyle="1" w:styleId="20">
    <w:name w:val="页脚 字符"/>
    <w:basedOn w:val="14"/>
    <w:link w:val="6"/>
    <w:autoRedefine/>
    <w:qFormat/>
    <w:uiPriority w:val="99"/>
    <w:rPr>
      <w:rFonts w:asciiTheme="minorHAnsi" w:hAnsiTheme="minorHAnsi" w:eastAsiaTheme="minorEastAsia" w:cstheme="minorBidi"/>
      <w:kern w:val="2"/>
      <w:sz w:val="18"/>
      <w:szCs w:val="18"/>
    </w:rPr>
  </w:style>
  <w:style w:type="paragraph" w:customStyle="1" w:styleId="21">
    <w:name w:val="EndNote Bibliography Title"/>
    <w:basedOn w:val="1"/>
    <w:link w:val="23"/>
    <w:autoRedefine/>
    <w:qFormat/>
    <w:uiPriority w:val="0"/>
    <w:pPr>
      <w:jc w:val="center"/>
    </w:pPr>
    <w:rPr>
      <w:rFonts w:ascii="等线" w:hAnsi="等线" w:eastAsia="等线"/>
      <w:sz w:val="20"/>
    </w:rPr>
  </w:style>
  <w:style w:type="character" w:customStyle="1" w:styleId="22">
    <w:name w:val="列出段落 Char"/>
    <w:basedOn w:val="14"/>
    <w:link w:val="18"/>
    <w:autoRedefine/>
    <w:qFormat/>
    <w:uiPriority w:val="34"/>
  </w:style>
  <w:style w:type="character" w:customStyle="1" w:styleId="23">
    <w:name w:val="EndNote Bibliography Title 字符"/>
    <w:basedOn w:val="22"/>
    <w:link w:val="21"/>
    <w:autoRedefine/>
    <w:qFormat/>
    <w:uiPriority w:val="0"/>
    <w:rPr>
      <w:rFonts w:ascii="等线" w:hAnsi="等线" w:eastAsia="等线"/>
      <w:sz w:val="20"/>
    </w:rPr>
  </w:style>
  <w:style w:type="paragraph" w:customStyle="1" w:styleId="24">
    <w:name w:val="EndNote Bibliography"/>
    <w:basedOn w:val="1"/>
    <w:link w:val="25"/>
    <w:autoRedefine/>
    <w:qFormat/>
    <w:uiPriority w:val="0"/>
    <w:rPr>
      <w:rFonts w:ascii="等线" w:hAnsi="等线" w:eastAsia="等线"/>
      <w:sz w:val="20"/>
    </w:rPr>
  </w:style>
  <w:style w:type="character" w:customStyle="1" w:styleId="25">
    <w:name w:val="EndNote Bibliography 字符"/>
    <w:basedOn w:val="22"/>
    <w:link w:val="24"/>
    <w:autoRedefine/>
    <w:qFormat/>
    <w:uiPriority w:val="0"/>
    <w:rPr>
      <w:rFonts w:ascii="等线" w:hAnsi="等线" w:eastAsia="等线"/>
      <w:sz w:val="20"/>
    </w:rPr>
  </w:style>
  <w:style w:type="character" w:customStyle="1" w:styleId="26">
    <w:name w:val="未处理的提及1"/>
    <w:basedOn w:val="14"/>
    <w:autoRedefine/>
    <w:unhideWhenUsed/>
    <w:qFormat/>
    <w:uiPriority w:val="99"/>
    <w:rPr>
      <w:color w:val="605E5C"/>
      <w:shd w:val="clear" w:color="auto" w:fill="E1DFDD"/>
    </w:rPr>
  </w:style>
  <w:style w:type="character" w:customStyle="1" w:styleId="27">
    <w:name w:val="批注文字 字符"/>
    <w:basedOn w:val="14"/>
    <w:link w:val="3"/>
    <w:autoRedefine/>
    <w:semiHidden/>
    <w:qFormat/>
    <w:uiPriority w:val="99"/>
  </w:style>
  <w:style w:type="character" w:customStyle="1" w:styleId="28">
    <w:name w:val="批注主题 字符"/>
    <w:basedOn w:val="27"/>
    <w:link w:val="11"/>
    <w:autoRedefine/>
    <w:semiHidden/>
    <w:qFormat/>
    <w:uiPriority w:val="99"/>
    <w:rPr>
      <w:b/>
      <w:bCs/>
    </w:rPr>
  </w:style>
  <w:style w:type="character" w:customStyle="1" w:styleId="29">
    <w:name w:val="批注框文本 字符"/>
    <w:basedOn w:val="14"/>
    <w:link w:val="5"/>
    <w:autoRedefine/>
    <w:semiHidden/>
    <w:qFormat/>
    <w:uiPriority w:val="99"/>
    <w:rPr>
      <w:sz w:val="18"/>
      <w:szCs w:val="18"/>
    </w:rPr>
  </w:style>
  <w:style w:type="paragraph" w:customStyle="1" w:styleId="30">
    <w:name w:val="修订1"/>
    <w:autoRedefine/>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HTML 预设格式 字符"/>
    <w:basedOn w:val="14"/>
    <w:link w:val="9"/>
    <w:autoRedefine/>
    <w:semiHidden/>
    <w:qFormat/>
    <w:uiPriority w:val="99"/>
    <w:rPr>
      <w:rFonts w:ascii="宋体" w:hAnsi="宋体" w:eastAsia="宋体" w:cs="宋体"/>
      <w:kern w:val="0"/>
      <w:sz w:val="24"/>
      <w:szCs w:val="24"/>
    </w:rPr>
  </w:style>
  <w:style w:type="character" w:customStyle="1" w:styleId="32">
    <w:name w:val="y2iqfc"/>
    <w:basedOn w:val="14"/>
    <w:autoRedefine/>
    <w:qFormat/>
    <w:uiPriority w:val="0"/>
  </w:style>
  <w:style w:type="character" w:customStyle="1" w:styleId="33">
    <w:name w:val="inner-text-paragraph-org"/>
    <w:basedOn w:val="14"/>
    <w:autoRedefine/>
    <w:qFormat/>
    <w:uiPriority w:val="0"/>
  </w:style>
  <w:style w:type="character" w:customStyle="1" w:styleId="34">
    <w:name w:val="未处理的提及2"/>
    <w:basedOn w:val="14"/>
    <w:autoRedefine/>
    <w:unhideWhenUsed/>
    <w:qFormat/>
    <w:uiPriority w:val="99"/>
    <w:rPr>
      <w:color w:val="605E5C"/>
      <w:shd w:val="clear" w:color="auto" w:fill="E1DFDD"/>
    </w:rPr>
  </w:style>
  <w:style w:type="character" w:customStyle="1" w:styleId="35">
    <w:name w:val="列表段落 字符1"/>
    <w:basedOn w:val="14"/>
    <w:autoRedefine/>
    <w:qFormat/>
    <w:uiPriority w:val="34"/>
  </w:style>
  <w:style w:type="paragraph" w:customStyle="1" w:styleId="36">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37">
    <w:name w:val="Heading #2|1"/>
    <w:basedOn w:val="1"/>
    <w:autoRedefine/>
    <w:qFormat/>
    <w:uiPriority w:val="0"/>
    <w:pPr>
      <w:keepNext/>
      <w:keepLines/>
      <w:framePr w:w="9116" w:h="3482" w:hRule="exact" w:wrap="around" w:vAnchor="page" w:hAnchor="page" w:x="1327" w:y="6897" w:anchorLock="1"/>
      <w:spacing w:after="400"/>
      <w:jc w:val="center"/>
      <w:outlineLvl w:val="1"/>
    </w:pPr>
    <w:rPr>
      <w:rFonts w:ascii="黑体" w:hAnsi="黑体" w:eastAsia="黑体" w:cs="黑体"/>
      <w:color w:val="000000"/>
      <w:kern w:val="0"/>
      <w:sz w:val="30"/>
      <w:szCs w:val="30"/>
      <w:lang w:bidi="zh-TW"/>
    </w:rPr>
  </w:style>
  <w:style w:type="paragraph" w:customStyle="1" w:styleId="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39">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0">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41">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42">
    <w:name w:val="发布部门"/>
    <w:next w:val="43"/>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jc w:val="center"/>
    </w:pPr>
    <w:rPr>
      <w:rFonts w:ascii="黑体" w:hAnsi="黑体" w:eastAsia="黑体" w:cs="黑体"/>
      <w:bCs/>
      <w:spacing w:val="20"/>
      <w:sz w:val="28"/>
      <w:szCs w:val="28"/>
      <w:lang w:val="en-US" w:eastAsia="zh-CN" w:bidi="ar-SA"/>
    </w:rPr>
  </w:style>
  <w:style w:type="paragraph" w:customStyle="1" w:styleId="43">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44">
    <w:name w:val="其他发布日期"/>
    <w:basedOn w:val="45"/>
    <w:autoRedefine/>
    <w:qFormat/>
    <w:uiPriority w:val="0"/>
    <w:pPr>
      <w:framePr w:wrap="around" w:vAnchor="page" w:hAnchor="text" w:x="1419"/>
    </w:pPr>
  </w:style>
  <w:style w:type="paragraph" w:customStyle="1" w:styleId="45">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46">
    <w:name w:val="样式1"/>
    <w:basedOn w:val="1"/>
    <w:next w:val="8"/>
    <w:autoRedefine/>
    <w:qFormat/>
    <w:uiPriority w:val="0"/>
  </w:style>
  <w:style w:type="paragraph" w:customStyle="1" w:styleId="47">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paragraph" w:styleId="48">
    <w:name w:val="List Paragraph"/>
    <w:basedOn w:val="1"/>
    <w:qFormat/>
    <w:uiPriority w:val="34"/>
    <w:pPr>
      <w:ind w:left="720"/>
      <w:contextualSpacing/>
    </w:pPr>
  </w:style>
  <w:style w:type="paragraph" w:customStyle="1" w:styleId="49">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50">
    <w:name w:val="标题 1 字符"/>
    <w:basedOn w:val="14"/>
    <w:link w:val="2"/>
    <w:qFormat/>
    <w:uiPriority w:val="9"/>
    <w:rPr>
      <w:rFonts w:asciiTheme="minorHAnsi" w:hAnsiTheme="minorHAnsi" w:eastAsiaTheme="minorEastAsia" w:cstheme="minorBidi"/>
      <w:b/>
      <w:bCs/>
      <w:kern w:val="44"/>
      <w:sz w:val="44"/>
      <w:szCs w:val="44"/>
    </w:rPr>
  </w:style>
  <w:style w:type="paragraph" w:customStyle="1" w:styleId="51">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jpeg"/><Relationship Id="rId17" Type="http://schemas.openxmlformats.org/officeDocument/2006/relationships/theme" Target="theme/theme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0DD4877-7F76-4720-AEB2-C7FDCD6457A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23</Pages>
  <Words>5431</Words>
  <Characters>6287</Characters>
  <Lines>186</Lines>
  <Paragraphs>52</Paragraphs>
  <TotalTime>150</TotalTime>
  <ScaleCrop>false</ScaleCrop>
  <LinksUpToDate>false</LinksUpToDate>
  <CharactersWithSpaces>6465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2022-01-12T00:44:00Z</dcterms:created>
  <dc:creator>Family</dc:creator>
  <cp:lastModifiedBy>J</cp:lastModifiedBy>
  <cp:lastPrinted>2021-10-22T19:40:00Z</cp:lastPrinted>
  <dcterms:modified xsi:type="dcterms:W3CDTF">2026-04-24T03:51:24Z</dcterms:modified>
  <cp:revision>112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AB2F145FBA3C4A4EAEDCE8C84449FDB8_13</vt:lpwstr>
  </property>
  <property fmtid="{D5CDD505-2E9C-101B-9397-08002B2CF9AE}" pid="4" name="KSOTemplateDocerSaveRecord">
    <vt:lpwstr>eyJoZGlkIjoiMTFmMDJjZGU0YzYzNjgxMjg1NzBlNDNlZWZkY2IyNjMiLCJ1c2VySWQiOiIxMzc2MzQzNjk3In0=</vt:lpwstr>
  </property>
</Properties>
</file>