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6C77C8">
      <w:pPr>
        <w:framePr w:w="2268" w:h="1134" w:hRule="exact" w:vSpace="181" w:wrap="around" w:vAnchor="page" w:hAnchor="page" w:x="8165" w:y="738" w:anchorLock="1"/>
        <w:spacing w:line="240" w:lineRule="atLeast"/>
        <w:rPr>
          <w:rFonts w:ascii="黑体" w:hAnsi="黑体" w:eastAsia="黑体" w:cs="黑体"/>
          <w:sz w:val="112"/>
          <w:szCs w:val="112"/>
        </w:rPr>
      </w:pPr>
      <w:sdt>
        <w:sdtPr>
          <w:rPr>
            <w:rFonts w:hint="eastAsia" w:ascii="Times New Roman" w:hAnsi="Times New Roman" w:eastAsia="宋体" w:cs="Times New Roman"/>
            <w:b/>
            <w:w w:val="150"/>
            <w:kern w:val="0"/>
            <w:sz w:val="96"/>
            <w:szCs w:val="96"/>
            <w:lang w:val="en-US" w:eastAsia="zh-CN" w:bidi="ar-SA"/>
          </w:rPr>
          <w:id w:val="147454156"/>
          <w:placeholder>
            <w:docPart w:val="{1f1e0937-a82e-4ec8-9be4-fd84868de435}"/>
          </w:placeholder>
          <w:text/>
        </w:sdtPr>
        <w:sdtEndPr>
          <w:rPr>
            <w:rFonts w:hint="eastAsia" w:ascii="黑体" w:hAnsi="黑体" w:eastAsia="黑体" w:cs="黑体"/>
            <w:b/>
            <w:w w:val="150"/>
            <w:kern w:val="0"/>
            <w:sz w:val="112"/>
            <w:szCs w:val="112"/>
            <w:lang w:val="en-US" w:eastAsia="zh-CN" w:bidi="ar-SA"/>
          </w:rPr>
        </w:sdtEndPr>
        <w:sdtContent>
          <w:bookmarkStart w:id="0" w:name="_Hlk26473981"/>
          <w:r>
            <w:rPr>
              <w:rFonts w:hint="eastAsia" w:ascii="Times New Roman" w:hAnsi="Times New Roman" w:cs="Times New Roman"/>
              <w:b/>
              <w:w w:val="150"/>
              <w:kern w:val="0"/>
              <w:sz w:val="96"/>
              <w:szCs w:val="96"/>
              <w:lang w:val="en-US" w:eastAsia="zh-CN" w:bidi="ar-SA"/>
            </w:rPr>
            <w:t>T</w:t>
          </w:r>
        </w:sdtContent>
      </w:sdt>
    </w:p>
    <w:p w14:paraId="793C0001">
      <w:pPr>
        <w:pStyle w:val="55"/>
        <w:framePr w:h="624" w:hRule="exact" w:hSpace="181" w:vSpace="181" w:wrap="around" w:hAnchor="page" w:x="1418" w:y="2269"/>
        <w:rPr>
          <w:rFonts w:ascii="黑体" w:hAnsi="黑体" w:eastAsia="黑体"/>
          <w:b w:val="0"/>
          <w:bCs w:val="0"/>
          <w:w w:val="100"/>
          <w:sz w:val="48"/>
          <w:szCs w:val="48"/>
        </w:rPr>
      </w:pPr>
      <w:sdt>
        <w:sdtPr>
          <w:rPr>
            <w:rFonts w:hint="eastAsia" w:ascii="黑体" w:hAnsi="黑体" w:eastAsia="黑体"/>
            <w:b w:val="0"/>
            <w:bCs w:val="0"/>
            <w:w w:val="100"/>
            <w:sz w:val="48"/>
            <w:szCs w:val="48"/>
          </w:rPr>
          <w:id w:val="147474807"/>
          <w:placeholder>
            <w:docPart w:val="{49969bb0-c0e8-49c0-a6f1-0eb642947298}"/>
          </w:placeholder>
          <w:text/>
        </w:sdtPr>
        <w:sdtEndPr>
          <w:rPr>
            <w:rFonts w:hint="eastAsia" w:ascii="黑体" w:hAnsi="黑体" w:eastAsia="黑体"/>
            <w:b w:val="0"/>
            <w:bCs w:val="0"/>
            <w:w w:val="100"/>
            <w:sz w:val="48"/>
            <w:szCs w:val="48"/>
          </w:rPr>
        </w:sdtEndPr>
        <w:sdtContent>
          <w:r>
            <w:rPr>
              <w:rFonts w:hint="eastAsia" w:ascii="黑体" w:hAnsi="黑体" w:eastAsia="黑体"/>
              <w:b w:val="0"/>
              <w:bCs w:val="0"/>
              <w:w w:val="100"/>
              <w:sz w:val="48"/>
              <w:szCs w:val="48"/>
              <w:lang w:val="en-US" w:eastAsia="zh-CN"/>
            </w:rPr>
            <w:t>团体</w:t>
          </w:r>
          <w:r>
            <w:rPr>
              <w:rFonts w:hint="eastAsia" w:ascii="黑体" w:hAnsi="黑体" w:eastAsia="黑体"/>
              <w:b w:val="0"/>
              <w:bCs w:val="0"/>
              <w:w w:val="100"/>
              <w:sz w:val="48"/>
              <w:szCs w:val="48"/>
            </w:rPr>
            <w:t>标准</w:t>
          </w:r>
        </w:sdtContent>
      </w:sdt>
    </w:p>
    <w:bookmarkEnd w:id="0"/>
    <w:p w14:paraId="5F307445">
      <w:pPr>
        <w:pStyle w:val="201"/>
        <w:pBdr>
          <w:top w:val="none" w:sz="0" w:space="0"/>
          <w:left w:val="none" w:sz="0" w:space="0"/>
          <w:bottom w:val="none" w:sz="0" w:space="0"/>
          <w:right w:val="none" w:sz="0" w:space="0"/>
        </w:pBdr>
        <w:rPr>
          <w:rFonts w:hAnsi="宋体"/>
          <w:lang w:val="fr-FR" w:bidi="ar"/>
        </w:rPr>
      </w:pPr>
      <w:r>
        <w:rPr>
          <w:rFonts w:hint="eastAsia"/>
        </w:rPr>
        <w:t xml:space="preserve"> </w:t>
      </w:r>
      <w:r>
        <w:rPr>
          <w:rFonts w:hint="eastAsia" w:ascii="黑体" w:hAnsi="黑体" w:eastAsia="黑体" w:cs="黑体"/>
          <w:sz w:val="28"/>
          <w:szCs w:val="28"/>
        </w:rPr>
        <w:t>T/</w:t>
      </w:r>
      <w:r>
        <w:rPr>
          <w:rFonts w:hint="eastAsia" w:ascii="黑体" w:hAnsi="黑体" w:eastAsia="黑体" w:cs="黑体"/>
          <w:sz w:val="28"/>
          <w:szCs w:val="28"/>
          <w:lang w:val="en-US" w:eastAsia="zh-CN"/>
        </w:rPr>
        <w:t>CWDPA</w:t>
      </w:r>
      <w:r>
        <w:rPr>
          <w:rFonts w:hint="eastAsia" w:ascii="黑体" w:hAnsi="黑体" w:eastAsia="黑体" w:cs="黑体"/>
          <w:sz w:val="28"/>
          <w:szCs w:val="28"/>
        </w:rPr>
        <w:t xml:space="preserve"> </w:t>
      </w:r>
      <w:r>
        <w:rPr>
          <w:rFonts w:hint="eastAsia" w:ascii="黑体" w:hAnsi="黑体" w:eastAsia="黑体" w:cs="黑体"/>
          <w:sz w:val="28"/>
          <w:szCs w:val="28"/>
          <w:lang w:val="en-US" w:eastAsia="zh-CN"/>
        </w:rPr>
        <w:t>XXX</w:t>
      </w:r>
      <w:r>
        <w:rPr>
          <w:rFonts w:hint="eastAsia" w:ascii="黑体" w:hAnsi="黑体" w:eastAsia="黑体" w:cs="黑体"/>
          <w:sz w:val="28"/>
          <w:szCs w:val="28"/>
        </w:rPr>
        <w:t>—202</w:t>
      </w:r>
      <w:r>
        <w:rPr>
          <w:rFonts w:hint="eastAsia" w:ascii="黑体" w:hAnsi="黑体" w:eastAsia="黑体" w:cs="黑体"/>
          <w:sz w:val="28"/>
          <w:szCs w:val="28"/>
          <w:lang w:val="en-US" w:eastAsia="zh-CN"/>
        </w:rPr>
        <w:t>5</w:t>
      </w:r>
    </w:p>
    <w:sdt>
      <w:sdtPr>
        <w:rPr>
          <w:rFonts w:ascii="黑体" w:hAnsi="宋体" w:eastAsia="黑体" w:cs="黑体"/>
          <w:sz w:val="21"/>
          <w:szCs w:val="21"/>
          <w:lang w:bidi="ar"/>
        </w:rPr>
        <w:id w:val="147462448"/>
        <w:placeholder>
          <w:docPart w:val="{0b929a9d-a2f7-4fb8-8621-155619d1cec5}"/>
        </w:placeholder>
      </w:sdtPr>
      <w:sdtEndPr>
        <w:rPr>
          <w:rFonts w:ascii="黑体" w:hAnsi="宋体" w:eastAsia="黑体" w:cs="黑体"/>
          <w:b/>
          <w:bCs/>
          <w:sz w:val="21"/>
          <w:szCs w:val="21"/>
          <w:lang w:bidi="ar"/>
        </w:rPr>
      </w:sdtEndPr>
      <w:sdtContent>
        <w:p w14:paraId="60E95295">
          <w:pPr>
            <w:pStyle w:val="19"/>
            <w:framePr w:w="5505" w:h="900" w:hRule="exact" w:wrap="notBeside" w:vAnchor="page" w:hAnchor="page" w:x="1418" w:y="568"/>
            <w:tabs>
              <w:tab w:val="clear" w:pos="4153"/>
              <w:tab w:val="clear" w:pos="8306"/>
            </w:tabs>
            <w:spacing w:line="240" w:lineRule="auto"/>
            <w:ind w:left="3"/>
            <w:jc w:val="left"/>
            <w:rPr>
              <w:rFonts w:hint="default" w:ascii="黑体" w:hAnsi="黑体" w:eastAsia="黑体"/>
              <w:sz w:val="21"/>
              <w:szCs w:val="21"/>
              <w:lang w:val="en-US" w:eastAsia="zh-CN"/>
            </w:rPr>
          </w:pPr>
          <w:r>
            <w:rPr>
              <w:rFonts w:hint="eastAsia" w:ascii="黑体" w:hAnsi="黑体" w:eastAsia="黑体"/>
              <w:sz w:val="21"/>
              <w:szCs w:val="21"/>
            </w:rPr>
            <w:t xml:space="preserve">ICS </w:t>
          </w:r>
          <w:r>
            <w:rPr>
              <w:rFonts w:hint="eastAsia" w:ascii="黑体" w:hAnsi="黑体" w:eastAsia="黑体"/>
              <w:sz w:val="21"/>
              <w:szCs w:val="21"/>
              <w:lang w:val="en-US" w:eastAsia="zh-CN"/>
            </w:rPr>
            <w:t>29.240.30</w:t>
          </w:r>
        </w:p>
        <w:p w14:paraId="7211FDF6">
          <w:pPr>
            <w:pStyle w:val="19"/>
            <w:framePr w:w="5505" w:h="900" w:hRule="exact" w:wrap="notBeside" w:vAnchor="page" w:hAnchor="page" w:x="1418" w:y="568"/>
            <w:tabs>
              <w:tab w:val="clear" w:pos="4153"/>
              <w:tab w:val="clear" w:pos="8306"/>
            </w:tabs>
            <w:spacing w:line="240" w:lineRule="auto"/>
            <w:ind w:left="3"/>
            <w:jc w:val="left"/>
            <w:rPr>
              <w:rFonts w:hint="default" w:ascii="黑体" w:hAnsi="黑体" w:eastAsia="黑体"/>
              <w:sz w:val="21"/>
              <w:szCs w:val="21"/>
              <w:lang w:val="en-US" w:eastAsia="zh-CN"/>
            </w:rPr>
          </w:pPr>
          <w:r>
            <w:rPr>
              <w:rFonts w:hint="eastAsia" w:ascii="黑体" w:hAnsi="黑体" w:eastAsia="黑体"/>
              <w:sz w:val="21"/>
              <w:szCs w:val="21"/>
            </w:rPr>
            <w:t xml:space="preserve">CCS </w:t>
          </w:r>
          <w:r>
            <w:rPr>
              <w:rFonts w:hint="eastAsia" w:ascii="黑体" w:hAnsi="黑体" w:eastAsia="黑体"/>
              <w:sz w:val="21"/>
              <w:szCs w:val="21"/>
              <w:lang w:val="en-US" w:eastAsia="zh-CN"/>
            </w:rPr>
            <w:t>L 10/34</w:t>
          </w:r>
        </w:p>
        <w:p w14:paraId="3748AC6C">
          <w:pPr>
            <w:pStyle w:val="19"/>
            <w:framePr w:w="5505" w:h="900" w:hRule="exact" w:wrap="notBeside" w:vAnchor="page" w:hAnchor="page" w:x="1418" w:y="568"/>
            <w:tabs>
              <w:tab w:val="clear" w:pos="4153"/>
              <w:tab w:val="clear" w:pos="8306"/>
            </w:tabs>
            <w:spacing w:line="240" w:lineRule="auto"/>
            <w:ind w:left="3"/>
            <w:jc w:val="left"/>
            <w:rPr>
              <w:rFonts w:ascii="黑体" w:hAnsi="宋体" w:eastAsia="黑体" w:cs="黑体"/>
              <w:b/>
              <w:bCs/>
              <w:sz w:val="21"/>
              <w:szCs w:val="21"/>
              <w:lang w:bidi="ar"/>
            </w:rPr>
          </w:pPr>
        </w:p>
      </w:sdtContent>
    </w:sdt>
    <w:p w14:paraId="7A0B6DD8">
      <w:pPr>
        <w:spacing w:line="240" w:lineRule="auto"/>
        <w:rPr>
          <w:rFonts w:ascii="黑体" w:hAnsi="黑体" w:eastAsia="黑体"/>
          <w:kern w:val="0"/>
          <w:sz w:val="10"/>
          <w:szCs w:val="10"/>
          <w:lang w:val="fr-FR"/>
        </w:rPr>
      </w:pPr>
      <w:r>
        <w:rPr>
          <w:rFonts w:ascii="黑体" w:hAnsi="黑体" w:eastAsia="黑体"/>
          <w:kern w:val="0"/>
          <w:sz w:val="10"/>
          <w:szCs w:val="1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381E3AB">
      <w:pPr>
        <w:pStyle w:val="55"/>
        <w:framePr w:w="9639" w:h="6976" w:hRule="exact" w:hSpace="0" w:vSpace="0" w:wrap="around" w:hAnchor="page" w:y="6408"/>
        <w:jc w:val="center"/>
        <w:rPr>
          <w:rFonts w:ascii="黑体" w:hAnsi="黑体" w:eastAsia="黑体"/>
          <w:b w:val="0"/>
          <w:bCs w:val="0"/>
          <w:w w:val="100"/>
          <w:lang w:val="fr-FR"/>
        </w:rPr>
      </w:pPr>
    </w:p>
    <w:p w14:paraId="4907D5B0">
      <w:pPr>
        <w:pStyle w:val="202"/>
        <w:framePr w:w="9638" w:h="6973" w:hRule="exact" w:wrap="around" w:x="1418" w:y="6407"/>
        <w:rPr>
          <w:rFonts w:hint="eastAsia" w:hAnsi="宋体"/>
          <w:lang w:bidi="ar"/>
        </w:rPr>
      </w:pPr>
      <w:sdt>
        <w:sdtPr>
          <w:rPr>
            <w:rFonts w:hint="eastAsia" w:hAnsi="宋体"/>
            <w:lang w:bidi="ar"/>
          </w:rPr>
          <w:id w:val="147453738"/>
          <w:placeholder>
            <w:docPart w:val="{67d0d06c-ef95-4110-8830-86c9be6c5241}"/>
          </w:placeholder>
        </w:sdtPr>
        <w:sdtEndPr>
          <w:rPr>
            <w:rFonts w:hint="eastAsia" w:hAnsi="宋体"/>
            <w:lang w:bidi="ar"/>
          </w:rPr>
        </w:sdtEndPr>
        <w:sdtContent>
          <w:r>
            <w:rPr>
              <w:rFonts w:hint="eastAsia" w:hAnsi="宋体"/>
              <w:lang w:bidi="ar"/>
            </w:rPr>
            <w:t>电力设备在线监测与智能诊断装置技术要求</w:t>
          </w:r>
        </w:sdtContent>
      </w:sdt>
    </w:p>
    <w:sdt>
      <w:sdtPr>
        <w:rPr>
          <w:rFonts w:hint="default" w:ascii="Times New Roman" w:hAnsi="Times New Roman" w:cs="Times New Roman"/>
        </w:rPr>
        <w:tag w:val="standardEnName"/>
        <w:id w:val="147463862"/>
        <w:placeholder>
          <w:docPart w:val="{9ab45570-4d49-4a33-b76c-3b5a8a0b582b}"/>
        </w:placeholder>
      </w:sdtPr>
      <w:sdtEndPr>
        <w:rPr>
          <w:rFonts w:hint="default" w:ascii="Times New Roman" w:hAnsi="Times New Roman" w:cs="Times New Roman"/>
        </w:rPr>
      </w:sdtEndPr>
      <w:sdtContent>
        <w:p w14:paraId="7D3C52D7">
          <w:pPr>
            <w:pStyle w:val="130"/>
            <w:framePr w:w="9638" w:h="6973" w:hRule="exact" w:wrap="around" w:vAnchor="page" w:hAnchor="page" w:x="1418" w:y="6407"/>
            <w:widowControl/>
            <w:pBdr>
              <w:top w:val="none" w:color="auto" w:sz="0" w:space="0"/>
              <w:left w:val="none" w:color="auto" w:sz="0" w:space="0"/>
              <w:bottom w:val="none" w:color="auto" w:sz="0" w:space="0"/>
              <w:right w:val="none" w:color="auto" w:sz="0" w:space="0"/>
            </w:pBdr>
            <w:textAlignment w:val="bottom"/>
            <w:rPr>
              <w:rFonts w:hint="default" w:ascii="Times New Roman" w:hAnsi="Times New Roman" w:cs="Times New Roman"/>
            </w:rPr>
          </w:pPr>
          <w:r>
            <w:rPr>
              <w:rFonts w:hint="default" w:ascii="Times New Roman" w:hAnsi="Times New Roman" w:cs="Times New Roman"/>
            </w:rPr>
            <w:t>Power equipment online monitoring and intelligent diagnosis device technical requirements</w:t>
          </w:r>
        </w:p>
        <w:p w14:paraId="30309837">
          <w:pPr>
            <w:pStyle w:val="130"/>
            <w:framePr w:w="9638" w:h="6973" w:hRule="exact" w:wrap="around" w:vAnchor="page" w:hAnchor="page" w:x="1418" w:y="6407"/>
            <w:widowControl/>
            <w:pBdr>
              <w:top w:val="none" w:color="auto" w:sz="0" w:space="0"/>
              <w:left w:val="none" w:color="auto" w:sz="0" w:space="0"/>
              <w:bottom w:val="none" w:color="auto" w:sz="0" w:space="0"/>
              <w:right w:val="none" w:color="auto" w:sz="0" w:space="0"/>
            </w:pBdr>
            <w:textAlignment w:val="bottom"/>
            <w:rPr>
              <w:rFonts w:hint="default" w:ascii="Times New Roman" w:hAnsi="Times New Roman" w:cs="Times New Roman"/>
            </w:rPr>
          </w:pPr>
        </w:p>
        <w:p w14:paraId="5361CBD2">
          <w:pPr>
            <w:pStyle w:val="130"/>
            <w:framePr w:w="9638" w:h="6973" w:hRule="exact" w:wrap="around" w:vAnchor="page" w:hAnchor="page" w:x="1418" w:y="6407"/>
            <w:widowControl/>
            <w:pBdr>
              <w:top w:val="none" w:color="auto" w:sz="0" w:space="0"/>
              <w:left w:val="none" w:color="auto" w:sz="0" w:space="0"/>
              <w:bottom w:val="none" w:color="auto" w:sz="0" w:space="0"/>
              <w:right w:val="none" w:color="auto" w:sz="0" w:space="0"/>
            </w:pBdr>
            <w:textAlignment w:val="bottom"/>
            <w:rPr>
              <w:rFonts w:hint="default" w:ascii="Times New Roman" w:hAnsi="Times New Roman" w:cs="Times New Roman"/>
            </w:rPr>
          </w:pPr>
        </w:p>
      </w:sdtContent>
    </w:sdt>
    <w:p w14:paraId="69D51698">
      <w:pPr>
        <w:framePr w:w="9638" w:h="6973" w:hRule="exact" w:wrap="around" w:vAnchor="page" w:hAnchor="page" w:x="1418" w:y="6407"/>
        <w:spacing w:line="760" w:lineRule="exact"/>
        <w:ind w:left="-1418"/>
      </w:pPr>
    </w:p>
    <w:p w14:paraId="2ED0C739">
      <w:pPr>
        <w:pStyle w:val="130"/>
        <w:framePr w:w="9638" w:h="6973" w:hRule="exact" w:wrap="around" w:vAnchor="page" w:hAnchor="page" w:x="1418" w:y="6407"/>
        <w:widowControl/>
        <w:textAlignment w:val="bottom"/>
        <w:rPr>
          <w:szCs w:val="28"/>
        </w:rPr>
      </w:pPr>
      <w:sdt>
        <w:sdtPr>
          <w:rPr>
            <w:rStyle w:val="237"/>
          </w:rPr>
          <w:tag w:val="biaoshi"/>
          <w:id w:val="147453493"/>
          <w:placeholder>
            <w:docPart w:val="{8b93df19-d3a2-4cf6-af64-545a8cba65b9}"/>
          </w:placeholder>
          <w:showingPlcHdr/>
        </w:sdtPr>
        <w:sdtEndPr>
          <w:rPr>
            <w:rStyle w:val="237"/>
            <w:rFonts w:ascii="Times New Roman" w:hAnsi="Times New Roman" w:cs="Times New Roman"/>
            <w:szCs w:val="28"/>
            <w:lang w:bidi="ar"/>
          </w:rPr>
        </w:sdtEndPr>
        <w:sdtContent>
          <w:r>
            <w:rPr>
              <w:color w:val="808080"/>
            </w:rPr>
            <w:t>点击此处添加与国际标准一致性程度的标识</w:t>
          </w:r>
        </w:sdtContent>
      </w:sdt>
    </w:p>
    <w:p w14:paraId="1A778ECE">
      <w:pPr>
        <w:pStyle w:val="130"/>
        <w:framePr w:w="9638" w:h="6973" w:hRule="exact" w:wrap="around" w:vAnchor="page" w:hAnchor="page" w:x="1418" w:y="6407"/>
        <w:widowControl/>
        <w:spacing w:before="180" w:line="240" w:lineRule="atLeast"/>
        <w:textAlignment w:val="bottom"/>
        <w:rPr>
          <w:rFonts w:ascii="Times New Roman" w:hAnsi="Times New Roman" w:eastAsia="宋体"/>
          <w:lang w:bidi="ar"/>
        </w:rPr>
      </w:pPr>
      <w:sdt>
        <w:sdtPr>
          <w:rPr>
            <w:rFonts w:hint="eastAsia" w:ascii="Times New Roman" w:hAnsi="Times New Roman" w:eastAsia="宋体"/>
            <w:lang w:bidi="ar"/>
          </w:rPr>
          <w:tag w:val="caoan"/>
          <w:id w:val="147454296"/>
          <w:placeholder>
            <w:docPart w:val="{5effb42c-7e4b-4748-a553-1e3ed4a8a110}"/>
          </w:placeholder>
          <w:dropDownList>
            <w:listItem w:displayText=" " w:value=" "/>
            <w:listItem w:displayText="草案版次选择" w:value="草案版次选择"/>
            <w:listItem w:displayText="（征求意见稿）" w:value="（征求意见稿）"/>
            <w:listItem w:displayText="（送审稿）" w:value="（送审稿）"/>
            <w:listItem w:displayText="（报批稿）" w:value="（报批稿）"/>
          </w:dropDownList>
        </w:sdtPr>
        <w:sdtEndPr>
          <w:rPr>
            <w:rFonts w:hint="eastAsia" w:ascii="Times New Roman" w:hAnsi="Times New Roman" w:eastAsia="宋体"/>
            <w:lang w:bidi="ar"/>
          </w:rPr>
        </w:sdtEndPr>
        <w:sdtContent>
          <w:r>
            <w:rPr>
              <w:rFonts w:hint="eastAsia" w:ascii="Times New Roman" w:hAnsi="Times New Roman" w:eastAsia="宋体"/>
              <w:lang w:bidi="ar"/>
            </w:rPr>
            <w:t>（征求意见稿）</w:t>
          </w:r>
        </w:sdtContent>
      </w:sdt>
    </w:p>
    <w:p w14:paraId="77AE380B">
      <w:pPr>
        <w:pStyle w:val="130"/>
        <w:framePr w:w="9638" w:h="6973" w:hRule="exact" w:wrap="around" w:vAnchor="page" w:hAnchor="page" w:x="1418" w:y="6407"/>
        <w:widowControl/>
        <w:spacing w:before="180" w:line="240" w:lineRule="atLeast"/>
        <w:textAlignment w:val="bottom"/>
        <w:rPr>
          <w:rFonts w:hAnsi="宋体"/>
          <w:bCs/>
          <w:sz w:val="21"/>
          <w:szCs w:val="28"/>
          <w:lang w:bidi="ar"/>
        </w:rPr>
      </w:pPr>
      <w:sdt>
        <w:sdtPr>
          <w:tag w:val="finishTime"/>
          <w:id w:val="147452740"/>
          <w:placeholder>
            <w:docPart w:val="{6006c831-1dff-4344-a30e-bd1d19dbe4b1}"/>
          </w:placeholder>
          <w:comboBox>
            <w:listItem w:displayText=" " w:value=" "/>
            <w:listItem w:displayText="（本草案完成时间：）" w:value="（本草案完成时间：）"/>
          </w:comboBox>
        </w:sdtPr>
        <w:sdtContent>
          <w:r>
            <w:rPr>
              <w:rFonts w:hint="eastAsia"/>
            </w:rPr>
            <w:t xml:space="preserve"> </w:t>
          </w:r>
        </w:sdtContent>
      </w:sdt>
    </w:p>
    <w:sdt>
      <w:sdtPr>
        <w:rPr>
          <w:rFonts w:ascii="Times New Roman" w:hAnsi="Times New Roman" w:eastAsia="宋体"/>
          <w:b/>
          <w:sz w:val="21"/>
          <w:szCs w:val="28"/>
        </w:rPr>
        <w:tag w:val="tishi"/>
        <w:id w:val="147479773"/>
        <w:placeholder>
          <w:docPart w:val="{0c871f9c-2089-4eac-b6ff-a01e24a2ff32}"/>
        </w:placeholder>
        <w:comboBox>
          <w:listItem w:displayText=" " w:value=" "/>
          <w:listItem w:displayText="在提交反馈意见时，请将您知道的相关专利连同支持性文件一并附上。" w:value="在提交反馈意见时，请将您知道的相关专利连同支持性文件一并附上。"/>
        </w:comboBox>
      </w:sdtPr>
      <w:sdtEndPr>
        <w:rPr>
          <w:rFonts w:ascii="Times New Roman" w:hAnsi="Times New Roman" w:eastAsia="宋体"/>
          <w:b/>
          <w:sz w:val="21"/>
          <w:szCs w:val="28"/>
        </w:rPr>
      </w:sdtEndPr>
      <w:sdtContent>
        <w:p w14:paraId="71A8FB93">
          <w:pPr>
            <w:pStyle w:val="130"/>
            <w:framePr w:w="9638" w:h="6973" w:hRule="exact" w:wrap="around" w:vAnchor="page" w:hAnchor="page" w:x="1418" w:y="6407"/>
            <w:widowControl/>
            <w:spacing w:before="936" w:beforeLines="300" w:after="93" w:afterLines="30" w:line="240" w:lineRule="auto"/>
            <w:textAlignment w:val="bottom"/>
            <w:rPr>
              <w:rFonts w:ascii="Times New Roman" w:hAnsi="Times New Roman" w:eastAsia="宋体"/>
              <w:b/>
              <w:sz w:val="21"/>
              <w:szCs w:val="28"/>
            </w:rPr>
          </w:pPr>
          <w:r>
            <w:rPr>
              <w:rFonts w:hint="eastAsia" w:ascii="Times New Roman" w:hAnsi="Times New Roman" w:eastAsia="宋体"/>
              <w:b/>
              <w:sz w:val="21"/>
              <w:szCs w:val="28"/>
            </w:rPr>
            <w:t xml:space="preserve"> </w:t>
          </w:r>
        </w:p>
      </w:sdtContent>
    </w:sdt>
    <w:p w14:paraId="7AC820B9">
      <w:pPr>
        <w:pStyle w:val="130"/>
        <w:framePr w:w="9638" w:h="6973" w:hRule="exact" w:wrap="around" w:vAnchor="page" w:hAnchor="page" w:x="1418" w:y="6407"/>
        <w:widowControl/>
        <w:spacing w:before="936" w:beforeLines="300" w:after="93" w:afterLines="30" w:line="240" w:lineRule="auto"/>
        <w:textAlignment w:val="bottom"/>
        <w:rPr>
          <w:rFonts w:ascii="Times New Roman" w:hAnsi="Times New Roman" w:eastAsia="宋体"/>
          <w:b/>
          <w:sz w:val="21"/>
          <w:szCs w:val="28"/>
        </w:rPr>
      </w:pPr>
    </w:p>
    <w:p w14:paraId="6A9C4FD1">
      <w:pPr>
        <w:pStyle w:val="198"/>
        <w:framePr w:wrap="around" w:y="14176"/>
      </w:pPr>
      <w:sdt>
        <w:sdtPr>
          <w:rPr>
            <w:rFonts w:hint="eastAsia" w:ascii="黑体" w:hAnsi="宋体"/>
            <w:bCs/>
            <w:szCs w:val="28"/>
            <w:lang w:val="fr" w:bidi="ar"/>
          </w:rPr>
          <w:tag w:val="standardNext"/>
          <w:id w:val="147476382"/>
          <w:placeholder>
            <w:docPart w:val="{ffc36ac9-555f-4fb4-b39b-c9c42afd0a0b}"/>
          </w:placeholder>
        </w:sdtPr>
        <w:sdtEndPr>
          <w:rPr>
            <w:rFonts w:hint="eastAsia" w:ascii="黑体" w:hAnsi="宋体"/>
            <w:bCs/>
            <w:szCs w:val="28"/>
            <w:lang w:val="fr" w:bidi="ar"/>
          </w:rPr>
        </w:sdtEndPr>
        <w:sdtContent>
          <w:sdt>
            <w:sdtPr>
              <w:rPr>
                <w:rFonts w:hint="eastAsia" w:ascii="黑体" w:hAnsi="宋体"/>
                <w:bCs/>
                <w:szCs w:val="28"/>
                <w:lang w:val="fr" w:bidi="ar"/>
              </w:rPr>
              <w:tag w:val="standardNext"/>
              <w:id w:val="147480417"/>
              <w:placeholder>
                <w:docPart w:val="{6520bed0-204d-45ab-a9bc-07c512250680}"/>
              </w:placeholder>
              <w:showingPlcHdr/>
            </w:sdtPr>
            <w:sdtEndPr>
              <w:rPr>
                <w:rFonts w:hint="eastAsia" w:ascii="黑体" w:hAnsi="宋体"/>
                <w:bCs/>
                <w:spacing w:val="20"/>
                <w:szCs w:val="28"/>
                <w:lang w:val="fr" w:bidi="ar"/>
              </w:rPr>
            </w:sdtEndPr>
            <w:sdtContent>
              <w:r>
                <w:rPr>
                  <w:color w:val="808080"/>
                </w:rPr>
                <w:t>XXXX</w:t>
              </w:r>
            </w:sdtContent>
          </w:sdt>
          <w:r>
            <w:rPr>
              <w:rFonts w:ascii="黑体"/>
              <w:spacing w:val="20"/>
            </w:rPr>
            <w:t>-</w:t>
          </w:r>
          <w:sdt>
            <w:sdtPr>
              <w:rPr>
                <w:rFonts w:hint="eastAsia" w:ascii="黑体" w:hAnsi="黑体" w:cs="黑体"/>
                <w:spacing w:val="20"/>
                <w:lang w:bidi="ar"/>
              </w:rPr>
              <w:tag w:val="b"/>
              <w:id w:val="147481029"/>
              <w:placeholder>
                <w:docPart w:val="{8702d678-4b8d-4209-b0b4-982da1757ede}"/>
              </w:placeholder>
              <w:showingPlcHdr/>
            </w:sdtPr>
            <w:sdtEndPr>
              <w:rPr>
                <w:rFonts w:hint="eastAsia" w:ascii="黑体" w:hAnsi="黑体" w:cs="黑体"/>
                <w:spacing w:val="20"/>
                <w:lang w:bidi="ar"/>
              </w:rPr>
            </w:sdtEndPr>
            <w:sdtContent>
              <w:r>
                <w:rPr>
                  <w:color w:val="808080"/>
                </w:rPr>
                <w:t>XX</w:t>
              </w:r>
            </w:sdtContent>
          </w:sdt>
          <w:r>
            <w:rPr>
              <w:rFonts w:ascii="黑体"/>
              <w:spacing w:val="20"/>
            </w:rPr>
            <w:t>-</w:t>
          </w:r>
          <w:sdt>
            <w:sdtPr>
              <w:rPr>
                <w:rFonts w:hint="eastAsia" w:ascii="黑体" w:hAnsi="黑体" w:cs="黑体"/>
                <w:spacing w:val="20"/>
                <w:lang w:bidi="ar"/>
              </w:rPr>
              <w:tag w:val="b"/>
              <w:id w:val="147479964"/>
              <w:placeholder>
                <w:docPart w:val="{bbf84e9a-ea19-48ac-8602-fd706520c678}"/>
              </w:placeholder>
              <w:showingPlcHdr/>
            </w:sdtPr>
            <w:sdtEndPr>
              <w:rPr>
                <w:rFonts w:hint="eastAsia" w:ascii="黑体" w:hAnsi="黑体" w:cs="黑体"/>
                <w:spacing w:val="20"/>
                <w:lang w:bidi="ar"/>
              </w:rPr>
            </w:sdtEndPr>
            <w:sdtContent>
              <w:r>
                <w:rPr>
                  <w:color w:val="808080"/>
                </w:rPr>
                <w:t>XX</w:t>
              </w:r>
            </w:sdtContent>
          </w:sdt>
          <w:r>
            <w:rPr>
              <w:rFonts w:hint="eastAsia" w:ascii="黑体" w:hAnsi="黑体" w:cs="黑体"/>
              <w:spacing w:val="20"/>
              <w:w w:val="50"/>
              <w:lang w:bidi="ar"/>
            </w:rPr>
            <w:t xml:space="preserve"> </w:t>
          </w:r>
          <w:r>
            <w:rPr>
              <w:rFonts w:hint="eastAsia"/>
              <w:spacing w:val="20"/>
            </w:rPr>
            <w:t>发布</w:t>
          </w:r>
        </w:sdtContent>
      </w:sdt>
    </w:p>
    <w:p w14:paraId="09AEF373">
      <w:pPr>
        <w:pStyle w:val="199"/>
        <w:framePr w:wrap="around" w:y="14176"/>
      </w:pPr>
      <w:sdt>
        <w:sdtPr>
          <w:rPr>
            <w:rFonts w:hint="eastAsia" w:ascii="黑体" w:hAnsi="宋体"/>
            <w:bCs/>
            <w:szCs w:val="28"/>
            <w:lang w:val="fr" w:bidi="ar"/>
          </w:rPr>
          <w:tag w:val="standardNext"/>
          <w:id w:val="147475347"/>
          <w:placeholder>
            <w:docPart w:val="{42e85895-5a69-4c5f-8435-6aa174df825e}"/>
          </w:placeholder>
        </w:sdtPr>
        <w:sdtEndPr>
          <w:rPr>
            <w:rFonts w:hint="eastAsia" w:ascii="黑体" w:hAnsi="宋体"/>
            <w:bCs/>
            <w:szCs w:val="28"/>
            <w:lang w:val="fr" w:bidi="ar"/>
          </w:rPr>
        </w:sdtEndPr>
        <w:sdtContent>
          <w:sdt>
            <w:sdtPr>
              <w:rPr>
                <w:rFonts w:hint="eastAsia" w:ascii="黑体" w:hAnsi="宋体"/>
                <w:bCs/>
                <w:szCs w:val="28"/>
                <w:lang w:val="fr" w:bidi="ar"/>
              </w:rPr>
              <w:tag w:val="standardNext"/>
              <w:id w:val="147464742"/>
              <w:placeholder>
                <w:docPart w:val="{273c241a-3545-4cb8-b3e1-dccdf8af0dbb}"/>
              </w:placeholder>
              <w:showingPlcHdr/>
            </w:sdtPr>
            <w:sdtEndPr>
              <w:rPr>
                <w:rFonts w:hint="eastAsia" w:ascii="黑体" w:hAnsi="宋体"/>
                <w:bCs/>
                <w:spacing w:val="20"/>
                <w:szCs w:val="28"/>
                <w:lang w:val="fr" w:bidi="ar"/>
              </w:rPr>
            </w:sdtEndPr>
            <w:sdtContent>
              <w:r>
                <w:rPr>
                  <w:color w:val="808080"/>
                </w:rPr>
                <w:t>XXXX</w:t>
              </w:r>
            </w:sdtContent>
          </w:sdt>
          <w:r>
            <w:rPr>
              <w:rFonts w:ascii="黑体"/>
              <w:spacing w:val="20"/>
            </w:rPr>
            <w:t>-</w:t>
          </w:r>
          <w:sdt>
            <w:sdtPr>
              <w:rPr>
                <w:rFonts w:hint="eastAsia" w:ascii="黑体" w:hAnsi="黑体" w:cs="黑体"/>
                <w:spacing w:val="20"/>
                <w:lang w:bidi="ar"/>
              </w:rPr>
              <w:tag w:val="b"/>
              <w:id w:val="147480824"/>
              <w:placeholder>
                <w:docPart w:val="{decab8c0-5632-48ca-8dfa-65fd198c0a0f}"/>
              </w:placeholder>
              <w:showingPlcHdr/>
            </w:sdtPr>
            <w:sdtEndPr>
              <w:rPr>
                <w:rFonts w:hint="eastAsia" w:ascii="黑体" w:hAnsi="黑体" w:cs="黑体"/>
                <w:spacing w:val="20"/>
                <w:lang w:bidi="ar"/>
              </w:rPr>
            </w:sdtEndPr>
            <w:sdtContent>
              <w:r>
                <w:rPr>
                  <w:color w:val="808080"/>
                </w:rPr>
                <w:t>XX</w:t>
              </w:r>
            </w:sdtContent>
          </w:sdt>
          <w:r>
            <w:rPr>
              <w:rFonts w:ascii="黑体"/>
              <w:spacing w:val="20"/>
            </w:rPr>
            <w:t>-</w:t>
          </w:r>
          <w:sdt>
            <w:sdtPr>
              <w:rPr>
                <w:rFonts w:hint="eastAsia" w:ascii="黑体" w:hAnsi="黑体" w:cs="黑体"/>
                <w:spacing w:val="20"/>
                <w:lang w:bidi="ar"/>
              </w:rPr>
              <w:tag w:val="b"/>
              <w:id w:val="147468566"/>
              <w:placeholder>
                <w:docPart w:val="{c4a20def-b4d2-4544-90c6-0a5a54de817a}"/>
              </w:placeholder>
              <w:showingPlcHdr/>
            </w:sdtPr>
            <w:sdtEndPr>
              <w:rPr>
                <w:rFonts w:hint="eastAsia" w:ascii="黑体" w:hAnsi="黑体" w:cs="黑体"/>
                <w:spacing w:val="20"/>
                <w:lang w:bidi="ar"/>
              </w:rPr>
            </w:sdtEndPr>
            <w:sdtContent>
              <w:r>
                <w:rPr>
                  <w:color w:val="808080"/>
                </w:rPr>
                <w:t>XX</w:t>
              </w:r>
            </w:sdtContent>
          </w:sdt>
          <w:r>
            <w:rPr>
              <w:rFonts w:hint="eastAsia" w:ascii="黑体" w:hAnsi="黑体" w:cs="黑体"/>
              <w:spacing w:val="20"/>
              <w:w w:val="50"/>
              <w:lang w:bidi="ar"/>
            </w:rPr>
            <w:t xml:space="preserve"> </w:t>
          </w:r>
          <w:r>
            <w:rPr>
              <w:rFonts w:hint="eastAsia"/>
              <w:spacing w:val="20"/>
              <w:w w:val="110"/>
            </w:rPr>
            <w:t>实施</w:t>
          </w:r>
        </w:sdtContent>
      </w:sdt>
    </w:p>
    <w:p w14:paraId="17BE332F">
      <w:pPr>
        <w:pStyle w:val="156"/>
        <w:framePr w:h="584" w:hRule="exact" w:hSpace="181" w:vSpace="181" w:wrap="around" w:y="14800"/>
        <w:rPr>
          <w:rFonts w:hAnsi="黑体"/>
        </w:rPr>
      </w:pPr>
      <w:sdt>
        <w:sdtPr>
          <w:rPr>
            <w:rFonts w:ascii="Times New Roman"/>
            <w:w w:val="100"/>
            <w:sz w:val="28"/>
          </w:rPr>
          <w:id w:val="147481135"/>
          <w:placeholder>
            <w:docPart w:val="{b7d6c8d2-2f40-43d5-8c2f-656491101695}"/>
          </w:placeholder>
        </w:sdtPr>
        <w:sdtEndPr>
          <w:rPr>
            <w:rFonts w:ascii="Times New Roman"/>
            <w:w w:val="100"/>
            <w:sz w:val="28"/>
          </w:rPr>
        </w:sdtEndPr>
        <w:sdtContent>
          <w:r>
            <w:rPr>
              <w:rFonts w:hint="eastAsia" w:ascii="隶属" w:hAnsi="隶属" w:eastAsia="隶属" w:cs="隶属"/>
              <w:b/>
              <w:bCs/>
              <w:sz w:val="52"/>
              <w:szCs w:val="52"/>
              <w:lang w:eastAsia="zh-CN"/>
            </w:rPr>
            <w:t>中国西部开发促进会</w:t>
          </w:r>
        </w:sdtContent>
      </w:sdt>
      <w:r>
        <w:rPr>
          <w:rFonts w:ascii="Times New Roman"/>
          <w:w w:val="100"/>
          <w:sz w:val="28"/>
          <w:szCs w:val="28"/>
        </w:rPr>
        <w:t>  </w:t>
      </w:r>
      <w:r>
        <w:rPr>
          <w:rStyle w:val="234"/>
          <w:rFonts w:hint="eastAsia" w:hAnsi="黑体"/>
          <w:position w:val="0"/>
        </w:rPr>
        <w:t>发</w:t>
      </w:r>
      <w:r>
        <w:rPr>
          <w:rStyle w:val="234"/>
          <w:rFonts w:hint="eastAsia" w:hAnsi="黑体"/>
          <w:spacing w:val="0"/>
          <w:position w:val="0"/>
        </w:rPr>
        <w:t>布</w:t>
      </w:r>
    </w:p>
    <w:p w14:paraId="76BE5296">
      <w:pPr>
        <w:rPr>
          <w:rFonts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020" w:left="1134" w:header="1418" w:footer="1134" w:gutter="283"/>
          <w:cols w:space="0" w:num="1"/>
          <w:titlePg/>
          <w:docGrid w:type="lines" w:linePitch="312" w:charSpace="0"/>
        </w:sectPr>
      </w:pPr>
      <w:r>
        <w:rPr>
          <w:rFonts w:hint="eastAsia" w:ascii="宋体" w:hAnsi="宋体"/>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9333230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34.9pt;height:0pt;width:481.9pt;mso-position-horizontal-relative:page;mso-position-vertical-relative:page;z-index:251661312;mso-width-relative:page;mso-height-relative:page;" filled="f" stroked="t" coordsize="21600,21600" o:gfxdata="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P9mWs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sdt>
      <w:sdtPr>
        <w:rPr>
          <w:rFonts w:ascii="宋体" w:hAnsi="宋体" w:eastAsia="宋体" w:cs="Times New Roman"/>
          <w:kern w:val="2"/>
          <w:sz w:val="21"/>
          <w:szCs w:val="21"/>
          <w:lang w:val="en-US" w:eastAsia="zh-CN" w:bidi="ar-SA"/>
        </w:rPr>
        <w:id w:val="147478998"/>
        <w15:color w:val="DBDBDB"/>
        <w:docPartObj>
          <w:docPartGallery w:val="Table of Contents"/>
          <w:docPartUnique/>
        </w:docPartObj>
      </w:sdtPr>
      <w:sdtEndPr>
        <w:rPr>
          <w:rFonts w:hint="eastAsia" w:ascii="宋体" w:hAnsi="宋体" w:eastAsia="宋体" w:cs="宋体"/>
          <w:b/>
          <w:kern w:val="2"/>
          <w:sz w:val="21"/>
          <w:szCs w:val="21"/>
          <w:lang w:val="en-US" w:eastAsia="zh-CN" w:bidi="ar-SA"/>
        </w:rPr>
      </w:sdtEndPr>
      <w:sdtContent>
        <w:p w14:paraId="071C4F6B">
          <w:pPr>
            <w:keepNext w:val="0"/>
            <w:keepLines w:val="0"/>
            <w:pageBreakBefore w:val="0"/>
            <w:widowControl w:val="0"/>
            <w:kinsoku/>
            <w:wordWrap/>
            <w:overflowPunct/>
            <w:topLinePunct w:val="0"/>
            <w:autoSpaceDE/>
            <w:autoSpaceDN/>
            <w:bidi w:val="0"/>
            <w:adjustRightInd w:val="0"/>
            <w:snapToGrid/>
            <w:spacing w:before="850" w:beforeLines="0" w:after="680" w:afterLines="0" w:line="240" w:lineRule="auto"/>
            <w:ind w:left="0" w:leftChars="0" w:right="0" w:rightChars="0" w:firstLine="0" w:firstLineChars="0"/>
            <w:jc w:val="center"/>
            <w:textAlignment w:val="auto"/>
            <w:rPr>
              <w:rFonts w:hint="default" w:ascii="黑体" w:hAnsi="Calibri" w:eastAsia="黑体" w:cs="Times New Roman"/>
              <w:spacing w:val="320"/>
              <w:kern w:val="2"/>
              <w:sz w:val="32"/>
              <w:szCs w:val="21"/>
              <w:lang w:val="en-US" w:eastAsia="zh-CN" w:bidi="ar-SA"/>
            </w:rPr>
          </w:pPr>
          <w:bookmarkStart w:id="1" w:name="_Toc4779"/>
          <w:bookmarkStart w:id="2" w:name="qianyan"/>
          <w:bookmarkStart w:id="3" w:name="BookMark4"/>
          <w:r>
            <w:rPr>
              <w:rFonts w:ascii="黑体" w:hAnsi="Calibri" w:eastAsia="黑体" w:cs="Times New Roman"/>
              <w:spacing w:val="320"/>
              <w:kern w:val="2"/>
              <w:sz w:val="32"/>
              <w:szCs w:val="21"/>
              <w:lang w:val="en-US" w:eastAsia="zh-CN" w:bidi="ar-SA"/>
            </w:rPr>
            <w:t>目</w:t>
          </w:r>
          <w:r>
            <w:rPr>
              <w:rFonts w:hint="eastAsia" w:ascii="黑体" w:hAnsi="黑体" w:eastAsia="黑体" w:cs="黑体"/>
              <w:sz w:val="32"/>
              <w:szCs w:val="32"/>
            </w:rPr>
            <w:t>次</w:t>
          </w:r>
        </w:p>
        <w:p w14:paraId="6202BE6B">
          <w:pPr>
            <w:pStyle w:val="20"/>
            <w:tabs>
              <w:tab w:val="right" w:leader="dot" w:pos="9354"/>
            </w:tabs>
            <w:rPr>
              <w:rFonts w:hint="eastAsia" w:ascii="宋体" w:hAnsi="宋体" w:eastAsia="宋体" w:cs="宋体"/>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TOC \o "1-2" \h \u </w:instrText>
          </w:r>
          <w:r>
            <w:rPr>
              <w:rFonts w:hint="eastAsia" w:ascii="宋体" w:hAnsi="宋体" w:eastAsia="宋体" w:cs="宋体"/>
              <w:sz w:val="21"/>
              <w:szCs w:val="21"/>
            </w:rPr>
            <w:fldChar w:fldCharType="separate"/>
          </w:r>
          <w:r>
            <w:rPr>
              <w:rFonts w:hint="eastAsia" w:ascii="宋体" w:hAnsi="宋体" w:eastAsia="宋体" w:cs="宋体"/>
              <w:szCs w:val="21"/>
            </w:rPr>
            <w:fldChar w:fldCharType="begin"/>
          </w:r>
          <w:r>
            <w:rPr>
              <w:rFonts w:hint="eastAsia" w:ascii="宋体" w:hAnsi="宋体" w:eastAsia="宋体" w:cs="宋体"/>
              <w:szCs w:val="21"/>
            </w:rPr>
            <w:instrText xml:space="preserve"> HYPERLINK \l _Toc16104 </w:instrText>
          </w:r>
          <w:r>
            <w:rPr>
              <w:rFonts w:hint="eastAsia" w:ascii="宋体" w:hAnsi="宋体" w:eastAsia="宋体" w:cs="宋体"/>
              <w:szCs w:val="21"/>
            </w:rPr>
            <w:fldChar w:fldCharType="separate"/>
          </w:r>
          <w:r>
            <w:rPr>
              <w:rFonts w:hint="eastAsia" w:ascii="宋体" w:hAnsi="宋体" w:eastAsia="宋体" w:cs="宋体"/>
              <w:spacing w:val="317"/>
            </w:rPr>
            <w:t>前</w:t>
          </w:r>
          <w:r>
            <w:rPr>
              <w:rFonts w:hint="eastAsia" w:ascii="宋体" w:hAnsi="宋体" w:eastAsia="宋体" w:cs="宋体"/>
            </w:rPr>
            <w:t>言</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_Toc16104 \h </w:instrText>
          </w:r>
          <w:r>
            <w:rPr>
              <w:rFonts w:hint="eastAsia" w:ascii="宋体" w:hAnsi="宋体" w:eastAsia="宋体" w:cs="宋体"/>
            </w:rPr>
            <w:fldChar w:fldCharType="separate"/>
          </w:r>
          <w:r>
            <w:rPr>
              <w:rFonts w:hint="eastAsia" w:ascii="宋体" w:hAnsi="宋体" w:eastAsia="宋体" w:cs="宋体"/>
            </w:rPr>
            <w:t>II</w:t>
          </w:r>
          <w:r>
            <w:rPr>
              <w:rFonts w:hint="eastAsia" w:ascii="宋体" w:hAnsi="宋体" w:eastAsia="宋体" w:cs="宋体"/>
            </w:rPr>
            <w:fldChar w:fldCharType="end"/>
          </w:r>
          <w:r>
            <w:rPr>
              <w:rFonts w:hint="eastAsia" w:ascii="宋体" w:hAnsi="宋体" w:eastAsia="宋体" w:cs="宋体"/>
              <w:szCs w:val="21"/>
            </w:rPr>
            <w:fldChar w:fldCharType="end"/>
          </w:r>
        </w:p>
        <w:p w14:paraId="3055D8F8">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_Toc16981 </w:instrText>
          </w:r>
          <w:r>
            <w:rPr>
              <w:rFonts w:hint="eastAsia" w:ascii="宋体" w:hAnsi="宋体" w:eastAsia="宋体" w:cs="宋体"/>
              <w:szCs w:val="21"/>
            </w:rPr>
            <w:fldChar w:fldCharType="separate"/>
          </w:r>
          <w:r>
            <w:rPr>
              <w:rFonts w:hint="eastAsia" w:ascii="宋体" w:hAnsi="宋体" w:eastAsia="宋体" w:cs="宋体"/>
              <w:i w:val="0"/>
            </w:rPr>
            <w:t xml:space="preserve">1 </w:t>
          </w:r>
          <w:r>
            <w:rPr>
              <w:rFonts w:hint="eastAsia" w:ascii="宋体" w:hAnsi="宋体" w:eastAsia="宋体" w:cs="宋体"/>
            </w:rPr>
            <w:t>范围</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_Toc16981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szCs w:val="21"/>
            </w:rPr>
            <w:fldChar w:fldCharType="end"/>
          </w:r>
        </w:p>
        <w:p w14:paraId="0CAFA8C4">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_Toc4722 </w:instrText>
          </w:r>
          <w:r>
            <w:rPr>
              <w:rFonts w:hint="eastAsia" w:ascii="宋体" w:hAnsi="宋体" w:eastAsia="宋体" w:cs="宋体"/>
              <w:szCs w:val="21"/>
            </w:rPr>
            <w:fldChar w:fldCharType="separate"/>
          </w:r>
          <w:r>
            <w:rPr>
              <w:rFonts w:hint="eastAsia" w:ascii="宋体" w:hAnsi="宋体" w:eastAsia="宋体" w:cs="宋体"/>
              <w:i w:val="0"/>
            </w:rPr>
            <w:t xml:space="preserve">2 </w:t>
          </w:r>
          <w:r>
            <w:rPr>
              <w:rFonts w:hint="eastAsia" w:ascii="宋体" w:hAnsi="宋体" w:eastAsia="宋体" w:cs="宋体"/>
            </w:rPr>
            <w:t>规范性引用文件</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_Toc4722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szCs w:val="21"/>
            </w:rPr>
            <w:fldChar w:fldCharType="end"/>
          </w:r>
        </w:p>
        <w:p w14:paraId="4B89C114">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_Toc24292 </w:instrText>
          </w:r>
          <w:r>
            <w:rPr>
              <w:rFonts w:hint="eastAsia" w:ascii="宋体" w:hAnsi="宋体" w:eastAsia="宋体" w:cs="宋体"/>
              <w:szCs w:val="21"/>
            </w:rPr>
            <w:fldChar w:fldCharType="separate"/>
          </w:r>
          <w:r>
            <w:rPr>
              <w:rFonts w:hint="eastAsia" w:ascii="宋体" w:hAnsi="宋体" w:eastAsia="宋体" w:cs="宋体"/>
              <w:i w:val="0"/>
            </w:rPr>
            <w:t xml:space="preserve">3 </w:t>
          </w:r>
          <w:r>
            <w:rPr>
              <w:rFonts w:hint="eastAsia" w:ascii="宋体" w:hAnsi="宋体" w:eastAsia="宋体" w:cs="宋体"/>
              <w:szCs w:val="21"/>
            </w:rPr>
            <w:t>术语和定义</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_Toc24292 \h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szCs w:val="21"/>
            </w:rPr>
            <w:fldChar w:fldCharType="end"/>
          </w:r>
        </w:p>
        <w:p w14:paraId="6A373B1F">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_Toc15944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4 </w:t>
          </w:r>
          <w:r>
            <w:rPr>
              <w:rFonts w:hint="eastAsia" w:ascii="宋体" w:hAnsi="宋体" w:eastAsia="宋体" w:cs="宋体"/>
              <w:szCs w:val="21"/>
              <w:lang w:val="en-US" w:eastAsia="zh-CN"/>
            </w:rPr>
            <w:t>在线监测装置技术要求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_Toc15944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21"/>
            </w:rPr>
            <w:fldChar w:fldCharType="end"/>
          </w:r>
        </w:p>
        <w:p w14:paraId="09CCE056">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_Toc8815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4.1 </w:t>
          </w:r>
          <w:r>
            <w:rPr>
              <w:rFonts w:hint="eastAsia" w:ascii="宋体" w:hAnsi="宋体" w:eastAsia="宋体" w:cs="宋体"/>
              <w:lang w:val="en-US" w:eastAsia="zh-CN"/>
            </w:rPr>
            <w:t>一般要求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_Toc8815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21"/>
            </w:rPr>
            <w:fldChar w:fldCharType="end"/>
          </w:r>
        </w:p>
        <w:p w14:paraId="3EBA79A8">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_Toc6872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4.2 </w:t>
          </w:r>
          <w:r>
            <w:rPr>
              <w:rFonts w:hint="eastAsia" w:ascii="宋体" w:hAnsi="宋体" w:eastAsia="宋体" w:cs="宋体"/>
              <w:lang w:val="en-US" w:eastAsia="zh-CN"/>
            </w:rPr>
            <w:t>监测功能要求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_Toc6872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21"/>
            </w:rPr>
            <w:fldChar w:fldCharType="end"/>
          </w:r>
        </w:p>
        <w:p w14:paraId="15D96A40">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_Toc373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4.3 </w:t>
          </w:r>
          <w:r>
            <w:rPr>
              <w:rFonts w:hint="eastAsia" w:ascii="宋体" w:hAnsi="宋体" w:eastAsia="宋体" w:cs="宋体"/>
              <w:lang w:val="en-US" w:eastAsia="zh-CN"/>
            </w:rPr>
            <w:t>监测性能要求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_Toc373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szCs w:val="21"/>
            </w:rPr>
            <w:fldChar w:fldCharType="end"/>
          </w:r>
        </w:p>
        <w:p w14:paraId="110133D0">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_Toc25281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4.4 </w:t>
          </w:r>
          <w:r>
            <w:rPr>
              <w:rFonts w:hint="eastAsia" w:ascii="宋体" w:hAnsi="宋体" w:eastAsia="宋体" w:cs="宋体"/>
              <w:lang w:val="en-US" w:eastAsia="zh-CN"/>
            </w:rPr>
            <w:t>数据采集与存储要求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_Toc25281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1D23A77B">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_Toc12641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4.5 </w:t>
          </w:r>
          <w:r>
            <w:rPr>
              <w:rFonts w:hint="eastAsia" w:ascii="宋体" w:hAnsi="宋体" w:eastAsia="宋体" w:cs="宋体"/>
              <w:lang w:val="en-US" w:eastAsia="zh-CN"/>
            </w:rPr>
            <w:t>安装与接口要求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_Toc12641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3E7C2C3F">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_Toc6180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5 </w:t>
          </w:r>
          <w:r>
            <w:rPr>
              <w:rFonts w:hint="eastAsia" w:ascii="宋体" w:hAnsi="宋体" w:eastAsia="宋体" w:cs="宋体"/>
              <w:szCs w:val="21"/>
              <w:lang w:val="en-US" w:eastAsia="zh-CN"/>
            </w:rPr>
            <w:t>智能诊断装置技术要求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_Toc6180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7530F20B">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_Toc11623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5.1 </w:t>
          </w:r>
          <w:r>
            <w:rPr>
              <w:rFonts w:hint="eastAsia" w:ascii="宋体" w:hAnsi="宋体" w:eastAsia="宋体" w:cs="宋体"/>
              <w:lang w:val="en-US" w:eastAsia="zh-CN"/>
            </w:rPr>
            <w:t>数据处理能力要求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_Toc11623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77B34C90">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_Toc3244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5.2 </w:t>
          </w:r>
          <w:r>
            <w:rPr>
              <w:rFonts w:hint="eastAsia" w:ascii="宋体" w:hAnsi="宋体" w:eastAsia="宋体" w:cs="宋体"/>
              <w:lang w:val="en-US" w:eastAsia="zh-CN"/>
            </w:rPr>
            <w:t>诊断模型要求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_Toc3244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4BE5FFCD">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_Toc24225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5.3 </w:t>
          </w:r>
          <w:r>
            <w:rPr>
              <w:rFonts w:hint="eastAsia" w:ascii="宋体" w:hAnsi="宋体" w:eastAsia="宋体" w:cs="宋体"/>
              <w:lang w:val="en-US" w:eastAsia="zh-CN"/>
            </w:rPr>
            <w:t>诊断功能要求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_Toc24225 \h </w:instrText>
          </w:r>
          <w:r>
            <w:rPr>
              <w:rFonts w:hint="eastAsia" w:ascii="宋体" w:hAnsi="宋体" w:eastAsia="宋体" w:cs="宋体"/>
            </w:rPr>
            <w:fldChar w:fldCharType="separate"/>
          </w:r>
          <w:r>
            <w:rPr>
              <w:rFonts w:hint="eastAsia" w:ascii="宋体" w:hAnsi="宋体" w:eastAsia="宋体" w:cs="宋体"/>
            </w:rPr>
            <w:t>3</w:t>
          </w:r>
          <w:r>
            <w:rPr>
              <w:rFonts w:hint="eastAsia" w:ascii="宋体" w:hAnsi="宋体" w:eastAsia="宋体" w:cs="宋体"/>
            </w:rPr>
            <w:fldChar w:fldCharType="end"/>
          </w:r>
          <w:r>
            <w:rPr>
              <w:rFonts w:hint="eastAsia" w:ascii="宋体" w:hAnsi="宋体" w:eastAsia="宋体" w:cs="宋体"/>
              <w:szCs w:val="21"/>
            </w:rPr>
            <w:fldChar w:fldCharType="end"/>
          </w:r>
        </w:p>
        <w:p w14:paraId="1A209063">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_Toc29348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5.4 </w:t>
          </w:r>
          <w:r>
            <w:rPr>
              <w:rFonts w:hint="eastAsia" w:ascii="宋体" w:hAnsi="宋体" w:eastAsia="宋体" w:cs="宋体"/>
              <w:lang w:val="en-US" w:eastAsia="zh-CN"/>
            </w:rPr>
            <w:t>报警与推送要求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_Toc29348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2D6B8842">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_Toc19811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5.5 </w:t>
          </w:r>
          <w:r>
            <w:rPr>
              <w:rFonts w:hint="eastAsia" w:ascii="宋体" w:hAnsi="宋体" w:eastAsia="宋体" w:cs="宋体"/>
              <w:lang w:val="en-US" w:eastAsia="zh-CN"/>
            </w:rPr>
            <w:t>安全与可信要求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_Toc19811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3211419E">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_Toc7036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6 </w:t>
          </w:r>
          <w:r>
            <w:rPr>
              <w:rFonts w:hint="eastAsia" w:ascii="宋体" w:hAnsi="宋体" w:eastAsia="宋体" w:cs="宋体"/>
              <w:szCs w:val="21"/>
              <w:lang w:val="en-US" w:eastAsia="zh-CN"/>
            </w:rPr>
            <w:t>电气安全要求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_Toc7036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63642993">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_Toc28193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6.1 </w:t>
          </w:r>
          <w:r>
            <w:rPr>
              <w:rFonts w:hint="eastAsia" w:ascii="宋体" w:hAnsi="宋体" w:eastAsia="宋体" w:cs="宋体"/>
              <w:lang w:val="en-US" w:eastAsia="zh-CN"/>
            </w:rPr>
            <w:t>绝缘性能要求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_Toc28193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2AB66619">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_Toc30609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6.2 </w:t>
          </w:r>
          <w:r>
            <w:rPr>
              <w:rFonts w:hint="eastAsia" w:ascii="宋体" w:hAnsi="宋体" w:eastAsia="宋体" w:cs="宋体"/>
              <w:lang w:val="en-US" w:eastAsia="zh-CN"/>
            </w:rPr>
            <w:t>接地要求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_Toc30609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1C92FEEF">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_Toc28309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6.3 </w:t>
          </w:r>
          <w:r>
            <w:rPr>
              <w:rFonts w:hint="eastAsia" w:ascii="宋体" w:hAnsi="宋体" w:eastAsia="宋体" w:cs="宋体"/>
              <w:lang w:val="en-US" w:eastAsia="zh-CN"/>
            </w:rPr>
            <w:t>耐压性能要求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_Toc28309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302E5148">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_Toc18752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6.4 </w:t>
          </w:r>
          <w:r>
            <w:rPr>
              <w:rFonts w:hint="eastAsia" w:ascii="宋体" w:hAnsi="宋体" w:eastAsia="宋体" w:cs="宋体"/>
              <w:lang w:val="en-US" w:eastAsia="zh-CN"/>
            </w:rPr>
            <w:t>泄漏电流要求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_Toc18752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602A9150">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_Toc19718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6.5 </w:t>
          </w:r>
          <w:r>
            <w:rPr>
              <w:rFonts w:hint="eastAsia" w:ascii="宋体" w:hAnsi="宋体" w:eastAsia="宋体" w:cs="宋体"/>
              <w:lang w:val="en-US" w:eastAsia="zh-CN"/>
            </w:rPr>
            <w:t>电磁兼容性要求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_Toc19718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3D705557">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_Toc19852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7 </w:t>
          </w:r>
          <w:r>
            <w:rPr>
              <w:rFonts w:hint="eastAsia" w:ascii="宋体" w:hAnsi="宋体" w:eastAsia="宋体" w:cs="宋体"/>
              <w:szCs w:val="21"/>
              <w:lang w:val="en-US" w:eastAsia="zh-CN"/>
            </w:rPr>
            <w:t>环境要求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_Toc19852 \h </w:instrText>
          </w:r>
          <w:r>
            <w:rPr>
              <w:rFonts w:hint="eastAsia" w:ascii="宋体" w:hAnsi="宋体" w:eastAsia="宋体" w:cs="宋体"/>
            </w:rPr>
            <w:fldChar w:fldCharType="separate"/>
          </w:r>
          <w:r>
            <w:rPr>
              <w:rFonts w:hint="eastAsia" w:ascii="宋体" w:hAnsi="宋体" w:eastAsia="宋体" w:cs="宋体"/>
            </w:rPr>
            <w:t>4</w:t>
          </w:r>
          <w:r>
            <w:rPr>
              <w:rFonts w:hint="eastAsia" w:ascii="宋体" w:hAnsi="宋体" w:eastAsia="宋体" w:cs="宋体"/>
            </w:rPr>
            <w:fldChar w:fldCharType="end"/>
          </w:r>
          <w:r>
            <w:rPr>
              <w:rFonts w:hint="eastAsia" w:ascii="宋体" w:hAnsi="宋体" w:eastAsia="宋体" w:cs="宋体"/>
              <w:szCs w:val="21"/>
            </w:rPr>
            <w:fldChar w:fldCharType="end"/>
          </w:r>
        </w:p>
        <w:p w14:paraId="54A505B9">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_Toc4835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7.1 </w:t>
          </w:r>
          <w:r>
            <w:rPr>
              <w:rFonts w:hint="eastAsia" w:ascii="宋体" w:hAnsi="宋体" w:eastAsia="宋体" w:cs="宋体"/>
              <w:lang w:val="en-US" w:eastAsia="zh-CN"/>
            </w:rPr>
            <w:t>温度要求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_Toc4835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0CD1FA6D">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_Toc28374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7.2 </w:t>
          </w:r>
          <w:r>
            <w:rPr>
              <w:rFonts w:hint="eastAsia" w:ascii="宋体" w:hAnsi="宋体" w:eastAsia="宋体" w:cs="宋体"/>
              <w:lang w:val="en-US" w:eastAsia="zh-CN"/>
            </w:rPr>
            <w:t>湿度要求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_Toc28374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55D203EA">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_Toc5386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7.3 </w:t>
          </w:r>
          <w:r>
            <w:rPr>
              <w:rFonts w:hint="eastAsia" w:ascii="宋体" w:hAnsi="宋体" w:eastAsia="宋体" w:cs="宋体"/>
              <w:lang w:val="en-US" w:eastAsia="zh-CN"/>
            </w:rPr>
            <w:t>防护等级要求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_Toc5386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799F9230">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_Toc31354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7.4 </w:t>
          </w:r>
          <w:r>
            <w:rPr>
              <w:rFonts w:hint="eastAsia" w:ascii="宋体" w:hAnsi="宋体" w:eastAsia="宋体" w:cs="宋体"/>
              <w:lang w:val="en-US" w:eastAsia="zh-CN"/>
            </w:rPr>
            <w:t>耐腐蚀性要求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_Toc31354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476BEABA">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_Toc28531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7.5 </w:t>
          </w:r>
          <w:r>
            <w:rPr>
              <w:rFonts w:hint="eastAsia" w:ascii="宋体" w:hAnsi="宋体" w:eastAsia="宋体" w:cs="宋体"/>
              <w:lang w:val="en-US" w:eastAsia="zh-CN"/>
            </w:rPr>
            <w:t>耐振动冲击要求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_Toc28531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04B42217">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_Toc22619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7.6 </w:t>
          </w:r>
          <w:r>
            <w:rPr>
              <w:rFonts w:hint="eastAsia" w:ascii="宋体" w:hAnsi="宋体" w:eastAsia="宋体" w:cs="宋体"/>
              <w:lang w:val="en-US" w:eastAsia="zh-CN"/>
            </w:rPr>
            <w:t>海拔要求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_Toc22619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5E4ADE6C">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_Toc24350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8 </w:t>
          </w:r>
          <w:r>
            <w:rPr>
              <w:rFonts w:hint="eastAsia" w:ascii="宋体" w:hAnsi="宋体" w:eastAsia="宋体" w:cs="宋体"/>
              <w:szCs w:val="21"/>
              <w:lang w:val="en-US" w:eastAsia="zh-CN"/>
            </w:rPr>
            <w:t>可靠性要求</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_Toc24350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5A9819CB">
          <w:pPr>
            <w:pStyle w:val="20"/>
            <w:tabs>
              <w:tab w:val="right" w:leader="dot" w:pos="935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_Toc31634 </w:instrText>
          </w:r>
          <w:r>
            <w:rPr>
              <w:rFonts w:hint="eastAsia" w:ascii="宋体" w:hAnsi="宋体" w:eastAsia="宋体" w:cs="宋体"/>
              <w:szCs w:val="21"/>
            </w:rPr>
            <w:fldChar w:fldCharType="separate"/>
          </w:r>
          <w:r>
            <w:rPr>
              <w:rFonts w:hint="eastAsia" w:ascii="宋体" w:hAnsi="宋体" w:eastAsia="宋体" w:cs="宋体"/>
              <w:i w:val="0"/>
              <w:szCs w:val="21"/>
              <w:lang w:val="en-US" w:eastAsia="zh-CN"/>
            </w:rPr>
            <w:t xml:space="preserve">9 </w:t>
          </w:r>
          <w:r>
            <w:rPr>
              <w:rFonts w:hint="eastAsia" w:ascii="宋体" w:hAnsi="宋体" w:eastAsia="宋体" w:cs="宋体"/>
              <w:szCs w:val="21"/>
              <w:lang w:val="en-US" w:eastAsia="zh-CN"/>
            </w:rPr>
            <w:t>试验方法</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_Toc31634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1B9BE7CA">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_Toc29805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9.1 </w:t>
          </w:r>
          <w:r>
            <w:rPr>
              <w:rFonts w:hint="eastAsia" w:ascii="宋体" w:hAnsi="宋体" w:eastAsia="宋体" w:cs="宋体"/>
              <w:lang w:val="en-US" w:eastAsia="zh-CN"/>
            </w:rPr>
            <w:t>在线监测装置试验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_Toc29805 \h </w:instrText>
          </w:r>
          <w:r>
            <w:rPr>
              <w:rFonts w:hint="eastAsia" w:ascii="宋体" w:hAnsi="宋体" w:eastAsia="宋体" w:cs="宋体"/>
            </w:rPr>
            <w:fldChar w:fldCharType="separate"/>
          </w:r>
          <w:r>
            <w:rPr>
              <w:rFonts w:hint="eastAsia" w:ascii="宋体" w:hAnsi="宋体" w:eastAsia="宋体" w:cs="宋体"/>
            </w:rPr>
            <w:t>5</w:t>
          </w:r>
          <w:r>
            <w:rPr>
              <w:rFonts w:hint="eastAsia" w:ascii="宋体" w:hAnsi="宋体" w:eastAsia="宋体" w:cs="宋体"/>
            </w:rPr>
            <w:fldChar w:fldCharType="end"/>
          </w:r>
          <w:r>
            <w:rPr>
              <w:rFonts w:hint="eastAsia" w:ascii="宋体" w:hAnsi="宋体" w:eastAsia="宋体" w:cs="宋体"/>
              <w:szCs w:val="21"/>
            </w:rPr>
            <w:fldChar w:fldCharType="end"/>
          </w:r>
        </w:p>
        <w:p w14:paraId="0AD65793">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_Toc15845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9.2 </w:t>
          </w:r>
          <w:r>
            <w:rPr>
              <w:rFonts w:hint="eastAsia" w:ascii="宋体" w:hAnsi="宋体" w:eastAsia="宋体" w:cs="宋体"/>
              <w:lang w:val="en-US" w:eastAsia="zh-CN"/>
            </w:rPr>
            <w:t>智能诊断装置试验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_Toc15845 \h </w:instrText>
          </w:r>
          <w:r>
            <w:rPr>
              <w:rFonts w:hint="eastAsia" w:ascii="宋体" w:hAnsi="宋体" w:eastAsia="宋体" w:cs="宋体"/>
            </w:rPr>
            <w:fldChar w:fldCharType="separate"/>
          </w:r>
          <w:r>
            <w:rPr>
              <w:rFonts w:hint="eastAsia" w:ascii="宋体" w:hAnsi="宋体" w:eastAsia="宋体" w:cs="宋体"/>
            </w:rPr>
            <w:t>6</w:t>
          </w:r>
          <w:r>
            <w:rPr>
              <w:rFonts w:hint="eastAsia" w:ascii="宋体" w:hAnsi="宋体" w:eastAsia="宋体" w:cs="宋体"/>
            </w:rPr>
            <w:fldChar w:fldCharType="end"/>
          </w:r>
          <w:r>
            <w:rPr>
              <w:rFonts w:hint="eastAsia" w:ascii="宋体" w:hAnsi="宋体" w:eastAsia="宋体" w:cs="宋体"/>
              <w:szCs w:val="21"/>
            </w:rPr>
            <w:fldChar w:fldCharType="end"/>
          </w:r>
        </w:p>
        <w:p w14:paraId="67270FC3">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_Toc10579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9.3 </w:t>
          </w:r>
          <w:r>
            <w:rPr>
              <w:rFonts w:hint="eastAsia" w:ascii="宋体" w:hAnsi="宋体" w:eastAsia="宋体" w:cs="宋体"/>
              <w:lang w:val="en-US" w:eastAsia="zh-CN"/>
            </w:rPr>
            <w:t>电气安全试验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_Toc10579 \h </w:instrText>
          </w:r>
          <w:r>
            <w:rPr>
              <w:rFonts w:hint="eastAsia" w:ascii="宋体" w:hAnsi="宋体" w:eastAsia="宋体" w:cs="宋体"/>
            </w:rPr>
            <w:fldChar w:fldCharType="separate"/>
          </w:r>
          <w:r>
            <w:rPr>
              <w:rFonts w:hint="eastAsia" w:ascii="宋体" w:hAnsi="宋体" w:eastAsia="宋体" w:cs="宋体"/>
            </w:rPr>
            <w:t>7</w:t>
          </w:r>
          <w:r>
            <w:rPr>
              <w:rFonts w:hint="eastAsia" w:ascii="宋体" w:hAnsi="宋体" w:eastAsia="宋体" w:cs="宋体"/>
            </w:rPr>
            <w:fldChar w:fldCharType="end"/>
          </w:r>
          <w:r>
            <w:rPr>
              <w:rFonts w:hint="eastAsia" w:ascii="宋体" w:hAnsi="宋体" w:eastAsia="宋体" w:cs="宋体"/>
              <w:szCs w:val="21"/>
            </w:rPr>
            <w:fldChar w:fldCharType="end"/>
          </w:r>
        </w:p>
        <w:p w14:paraId="7FCD513B">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_Toc9140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9.4 </w:t>
          </w:r>
          <w:r>
            <w:rPr>
              <w:rFonts w:hint="eastAsia" w:ascii="宋体" w:hAnsi="宋体" w:eastAsia="宋体" w:cs="宋体"/>
              <w:lang w:val="en-US" w:eastAsia="zh-CN"/>
            </w:rPr>
            <w:t>环境试验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_Toc9140 \h </w:instrText>
          </w:r>
          <w:r>
            <w:rPr>
              <w:rFonts w:hint="eastAsia" w:ascii="宋体" w:hAnsi="宋体" w:eastAsia="宋体" w:cs="宋体"/>
            </w:rPr>
            <w:fldChar w:fldCharType="separate"/>
          </w:r>
          <w:r>
            <w:rPr>
              <w:rFonts w:hint="eastAsia" w:ascii="宋体" w:hAnsi="宋体" w:eastAsia="宋体" w:cs="宋体"/>
            </w:rPr>
            <w:t>7</w:t>
          </w:r>
          <w:r>
            <w:rPr>
              <w:rFonts w:hint="eastAsia" w:ascii="宋体" w:hAnsi="宋体" w:eastAsia="宋体" w:cs="宋体"/>
            </w:rPr>
            <w:fldChar w:fldCharType="end"/>
          </w:r>
          <w:r>
            <w:rPr>
              <w:rFonts w:hint="eastAsia" w:ascii="宋体" w:hAnsi="宋体" w:eastAsia="宋体" w:cs="宋体"/>
              <w:szCs w:val="21"/>
            </w:rPr>
            <w:fldChar w:fldCharType="end"/>
          </w:r>
        </w:p>
        <w:p w14:paraId="77838E04">
          <w:pPr>
            <w:pStyle w:val="26"/>
            <w:tabs>
              <w:tab w:val="right" w:leader="dot" w:pos="9354"/>
              <w:tab w:val="clear" w:pos="9344"/>
            </w:tabs>
            <w:rPr>
              <w:rFonts w:hint="eastAsia" w:ascii="宋体" w:hAnsi="宋体" w:eastAsia="宋体" w:cs="宋体"/>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_Toc514 </w:instrText>
          </w:r>
          <w:r>
            <w:rPr>
              <w:rFonts w:hint="eastAsia" w:ascii="宋体" w:hAnsi="宋体" w:eastAsia="宋体" w:cs="宋体"/>
              <w:szCs w:val="21"/>
            </w:rPr>
            <w:fldChar w:fldCharType="separate"/>
          </w:r>
          <w:r>
            <w:rPr>
              <w:rFonts w:hint="eastAsia" w:ascii="宋体" w:hAnsi="宋体" w:eastAsia="宋体" w:cs="宋体"/>
              <w:bCs w:val="0"/>
              <w:i w:val="0"/>
              <w:iCs w:val="0"/>
              <w:caps w:val="0"/>
              <w:smallCaps w:val="0"/>
              <w:strike w:val="0"/>
              <w:dstrike w:val="0"/>
              <w:vanish w:val="0"/>
              <w:spacing w:val="0"/>
              <w:kern w:val="0"/>
              <w:position w:val="0"/>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9.5 </w:t>
          </w:r>
          <w:r>
            <w:rPr>
              <w:rFonts w:hint="eastAsia" w:ascii="宋体" w:hAnsi="宋体" w:eastAsia="宋体" w:cs="宋体"/>
              <w:lang w:val="en-US" w:eastAsia="zh-CN"/>
            </w:rPr>
            <w:t>可靠性试验</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_Toc514 \h </w:instrText>
          </w:r>
          <w:r>
            <w:rPr>
              <w:rFonts w:hint="eastAsia" w:ascii="宋体" w:hAnsi="宋体" w:eastAsia="宋体" w:cs="宋体"/>
            </w:rPr>
            <w:fldChar w:fldCharType="separate"/>
          </w:r>
          <w:r>
            <w:rPr>
              <w:rFonts w:hint="eastAsia" w:ascii="宋体" w:hAnsi="宋体" w:eastAsia="宋体" w:cs="宋体"/>
            </w:rPr>
            <w:t>8</w:t>
          </w:r>
          <w:r>
            <w:rPr>
              <w:rFonts w:hint="eastAsia" w:ascii="宋体" w:hAnsi="宋体" w:eastAsia="宋体" w:cs="宋体"/>
            </w:rPr>
            <w:fldChar w:fldCharType="end"/>
          </w:r>
          <w:r>
            <w:rPr>
              <w:rFonts w:hint="eastAsia" w:ascii="宋体" w:hAnsi="宋体" w:eastAsia="宋体" w:cs="宋体"/>
              <w:szCs w:val="21"/>
            </w:rPr>
            <w:fldChar w:fldCharType="end"/>
          </w:r>
        </w:p>
        <w:p w14:paraId="59BC32F2">
          <w:pPr>
            <w:pStyle w:val="94"/>
            <w:keepNext w:val="0"/>
            <w:keepLines w:val="0"/>
            <w:pageBreakBefore w:val="0"/>
            <w:numPr>
              <w:ilvl w:val="0"/>
              <w:numId w:val="0"/>
            </w:numPr>
            <w:kinsoku/>
            <w:wordWrap/>
            <w:overflowPunct/>
            <w:topLinePunct w:val="0"/>
            <w:autoSpaceDE/>
            <w:autoSpaceDN/>
            <w:bidi w:val="0"/>
            <w:snapToGrid/>
            <w:spacing w:before="0" w:after="0" w:line="400" w:lineRule="exact"/>
            <w:ind w:leftChars="0"/>
            <w:jc w:val="both"/>
            <w:textAlignment w:val="auto"/>
            <w:rPr>
              <w:rFonts w:hint="eastAsia" w:ascii="宋体" w:hAnsi="宋体" w:eastAsia="宋体" w:cs="宋体"/>
              <w:sz w:val="21"/>
              <w:szCs w:val="21"/>
            </w:rPr>
            <w:sectPr>
              <w:headerReference r:id="rId10" w:type="default"/>
              <w:footerReference r:id="rId11" w:type="default"/>
              <w:pgSz w:w="11906" w:h="16838"/>
              <w:pgMar w:top="1928" w:right="1134" w:bottom="1134" w:left="1134" w:header="1418" w:footer="1134" w:gutter="284"/>
              <w:pgNumType w:fmt="upperRoman" w:start="2"/>
              <w:cols w:space="425" w:num="1"/>
              <w:formProt w:val="0"/>
              <w:docGrid w:linePitch="312" w:charSpace="0"/>
            </w:sectPr>
          </w:pPr>
          <w:r>
            <w:rPr>
              <w:rFonts w:hint="eastAsia" w:ascii="宋体" w:hAnsi="宋体" w:eastAsia="宋体" w:cs="宋体"/>
              <w:szCs w:val="21"/>
            </w:rPr>
            <w:fldChar w:fldCharType="end"/>
          </w:r>
        </w:p>
      </w:sdtContent>
    </w:sdt>
    <w:p w14:paraId="55177810">
      <w:pPr>
        <w:pStyle w:val="94"/>
      </w:pPr>
      <w:bookmarkStart w:id="4" w:name="_Toc29793"/>
      <w:bookmarkStart w:id="5" w:name="_Toc16104"/>
      <w:r>
        <w:rPr>
          <w:rFonts w:hint="eastAsia"/>
          <w:spacing w:val="317"/>
        </w:rPr>
        <w:t>前</w:t>
      </w:r>
      <w:r>
        <w:rPr>
          <w:rFonts w:hint="eastAsia"/>
        </w:rPr>
        <w:t>言</w:t>
      </w:r>
      <w:bookmarkEnd w:id="1"/>
      <w:bookmarkEnd w:id="4"/>
      <w:bookmarkEnd w:id="5"/>
    </w:p>
    <w:p w14:paraId="0065D3C2">
      <w:pPr>
        <w:pStyle w:val="61"/>
      </w:pPr>
      <w:r>
        <w:rPr>
          <w:rFonts w:hint="eastAsia"/>
        </w:rPr>
        <w:t>本文件按照GB/T 1.1—2020《标准化工作导则  第1部分：标准化文件的结构和起草规则》的规定起草。</w:t>
      </w:r>
    </w:p>
    <w:p w14:paraId="5D797A10">
      <w:pPr>
        <w:pStyle w:val="61"/>
      </w:pPr>
      <w:r>
        <w:rPr>
          <w:rFonts w:hint="eastAsia"/>
        </w:rPr>
        <w:t>请注意本文件的某些内容可能涉及专利。本文件的发布机构不承担识别专利的责任。</w:t>
      </w:r>
    </w:p>
    <w:p w14:paraId="184CA7AF">
      <w:pPr>
        <w:pStyle w:val="61"/>
      </w:pPr>
      <w:r>
        <w:rPr>
          <w:rFonts w:hint="eastAsia"/>
        </w:rPr>
        <w:t>本文件由</w:t>
      </w:r>
      <w:r>
        <w:rPr>
          <w:rFonts w:hint="eastAsia"/>
          <w:lang w:eastAsia="zh-CN"/>
        </w:rPr>
        <w:t>中国西部开发促进会</w:t>
      </w:r>
      <w:r>
        <w:rPr>
          <w:rFonts w:hint="eastAsia"/>
        </w:rPr>
        <w:t>提出</w:t>
      </w:r>
      <w:r>
        <w:rPr>
          <w:rFonts w:hint="eastAsia"/>
          <w:lang w:val="en-US" w:eastAsia="zh-CN"/>
        </w:rPr>
        <w:t>并归口</w:t>
      </w:r>
      <w:r>
        <w:rPr>
          <w:rFonts w:hint="eastAsia"/>
        </w:rPr>
        <w:t>。</w:t>
      </w:r>
    </w:p>
    <w:p w14:paraId="0719B706">
      <w:pPr>
        <w:pStyle w:val="61"/>
      </w:pPr>
      <w:r>
        <w:rPr>
          <w:rFonts w:hint="eastAsia"/>
        </w:rPr>
        <w:t>本文件起草单位：××××、××××。</w:t>
      </w:r>
    </w:p>
    <w:p w14:paraId="008F127D">
      <w:pPr>
        <w:pStyle w:val="61"/>
      </w:pPr>
      <w:r>
        <w:rPr>
          <w:rFonts w:hint="eastAsia"/>
        </w:rPr>
        <w:t>本文件主要起草人：×××、×××。</w:t>
      </w:r>
    </w:p>
    <w:p w14:paraId="0BC4E675">
      <w:pPr>
        <w:pStyle w:val="61"/>
      </w:pPr>
    </w:p>
    <w:p w14:paraId="1BC9CDF4">
      <w:pPr>
        <w:sectPr>
          <w:pgSz w:w="11906" w:h="16838"/>
          <w:pgMar w:top="1928" w:right="1134" w:bottom="1134" w:left="1134" w:header="1418" w:footer="1134" w:gutter="284"/>
          <w:pgNumType w:fmt="upperRoman" w:start="2"/>
          <w:cols w:space="425" w:num="1"/>
          <w:formProt w:val="0"/>
          <w:docGrid w:linePitch="312" w:charSpace="0"/>
        </w:sectPr>
      </w:pPr>
    </w:p>
    <w:bookmarkEnd w:id="2"/>
    <w:p w14:paraId="27EED881">
      <w:pPr>
        <w:spacing w:line="20" w:lineRule="exact"/>
        <w:jc w:val="center"/>
        <w:rPr>
          <w:rFonts w:ascii="黑体" w:hAnsi="黑体" w:eastAsia="黑体"/>
          <w:sz w:val="32"/>
          <w:szCs w:val="32"/>
        </w:rPr>
      </w:pPr>
    </w:p>
    <w:p w14:paraId="10F49A4E">
      <w:pPr>
        <w:spacing w:line="20" w:lineRule="exact"/>
        <w:jc w:val="center"/>
        <w:rPr>
          <w:rFonts w:ascii="黑体" w:hAnsi="黑体" w:eastAsia="黑体"/>
          <w:sz w:val="32"/>
          <w:szCs w:val="32"/>
        </w:rPr>
      </w:pPr>
    </w:p>
    <w:p w14:paraId="12D05E78">
      <w:pPr>
        <w:pStyle w:val="182"/>
        <w:rPr>
          <w:rFonts w:hint="eastAsia" w:hAnsi="宋体"/>
          <w:lang w:bidi="ar"/>
        </w:rPr>
      </w:pPr>
      <w:bookmarkStart w:id="6" w:name="NEW_STAND_NAME"/>
      <w:sdt>
        <w:sdtPr>
          <w:rPr>
            <w:rFonts w:hAnsi="宋体"/>
            <w:lang w:bidi="ar"/>
          </w:rPr>
          <w:tag w:val="mainTextTitle"/>
          <w:id w:val="147453193"/>
          <w:placeholder>
            <w:docPart w:val="{ee073880-b451-4ff0-9253-5135824a1eff}"/>
          </w:placeholder>
        </w:sdtPr>
        <w:sdtEndPr>
          <w:rPr>
            <w:rFonts w:hint="eastAsia" w:hAnsi="宋体"/>
            <w:lang w:bidi="ar"/>
          </w:rPr>
        </w:sdtEndPr>
        <w:sdtContent>
          <w:bookmarkStart w:id="101" w:name="_GoBack"/>
          <w:bookmarkEnd w:id="6"/>
          <w:r>
            <w:rPr>
              <w:rFonts w:hint="eastAsia" w:hAnsi="宋体"/>
              <w:lang w:bidi="ar"/>
            </w:rPr>
            <w:t>电力设备在线监测与智能诊断装置技术要求</w:t>
          </w:r>
        </w:sdtContent>
      </w:sdt>
      <w:bookmarkEnd w:id="101"/>
    </w:p>
    <w:p w14:paraId="5EC4DF4C">
      <w:pPr>
        <w:pStyle w:val="109"/>
        <w:spacing w:before="240" w:after="240"/>
      </w:pPr>
      <w:bookmarkStart w:id="7" w:name="_Toc24884218"/>
      <w:bookmarkStart w:id="8" w:name="_Toc26986771"/>
      <w:bookmarkStart w:id="9" w:name="_Toc16981"/>
      <w:bookmarkStart w:id="10" w:name="_Toc26648465"/>
      <w:bookmarkStart w:id="11" w:name="_Toc12505"/>
      <w:bookmarkStart w:id="12" w:name="_Toc24884211"/>
      <w:bookmarkStart w:id="13" w:name="_Toc17233333"/>
      <w:bookmarkStart w:id="14" w:name="_Toc26986530"/>
      <w:bookmarkStart w:id="15" w:name="_Toc97195091"/>
      <w:bookmarkStart w:id="16" w:name="_Toc17233325"/>
      <w:bookmarkStart w:id="17" w:name="_Toc12617"/>
      <w:bookmarkStart w:id="18" w:name="_Toc26718930"/>
      <w:r>
        <w:rPr>
          <w:rFonts w:hint="eastAsia"/>
        </w:rPr>
        <w:t>范围</w:t>
      </w:r>
      <w:bookmarkEnd w:id="7"/>
      <w:bookmarkEnd w:id="8"/>
      <w:bookmarkEnd w:id="9"/>
      <w:bookmarkEnd w:id="10"/>
      <w:bookmarkEnd w:id="11"/>
      <w:bookmarkEnd w:id="12"/>
      <w:bookmarkEnd w:id="13"/>
      <w:bookmarkEnd w:id="14"/>
      <w:bookmarkEnd w:id="15"/>
      <w:bookmarkEnd w:id="16"/>
      <w:bookmarkEnd w:id="17"/>
      <w:bookmarkEnd w:id="18"/>
    </w:p>
    <w:p w14:paraId="09723275">
      <w:pPr>
        <w:pStyle w:val="61"/>
        <w:rPr>
          <w:rFonts w:hint="default" w:eastAsia="宋体"/>
          <w:lang w:val="en-US" w:eastAsia="zh-CN"/>
        </w:rPr>
      </w:pPr>
      <w:bookmarkStart w:id="19" w:name="_Toc26648466"/>
      <w:bookmarkStart w:id="20" w:name="_Toc24884212"/>
      <w:bookmarkStart w:id="21" w:name="_Toc17233326"/>
      <w:bookmarkStart w:id="22" w:name="_Toc24884219"/>
      <w:bookmarkStart w:id="23" w:name="_Toc17233334"/>
      <w:r>
        <w:rPr>
          <w:rFonts w:hint="eastAsia"/>
        </w:rPr>
        <w:t>本文件规定了电力设备在线监测</w:t>
      </w:r>
      <w:r>
        <w:rPr>
          <w:rFonts w:hint="eastAsia"/>
          <w:lang w:val="en-US" w:eastAsia="zh-CN"/>
        </w:rPr>
        <w:t>装置与智能诊断装置的在线监测装置技术要求、智能诊断装置技术要求、电气安全要求、环境要求、可靠性要求、试验方法。</w:t>
      </w:r>
    </w:p>
    <w:p w14:paraId="3854AD99">
      <w:pPr>
        <w:pStyle w:val="61"/>
        <w:rPr>
          <w:rFonts w:hint="eastAsia"/>
          <w:lang w:eastAsia="zh-CN"/>
        </w:rPr>
      </w:pPr>
      <w:r>
        <w:rPr>
          <w:rFonts w:hint="eastAsia"/>
          <w:lang w:eastAsia="zh-CN"/>
        </w:rPr>
        <w:t>本文件适用于输变电、配电等电力系统中的电力设备状态实时监测、故障预警与辅助诊断的各类在线监测装置和智能诊断装置。其他类型的电力监测类设备可参照使用。</w:t>
      </w:r>
    </w:p>
    <w:p w14:paraId="6E83A890">
      <w:pPr>
        <w:pStyle w:val="109"/>
        <w:spacing w:before="240" w:after="240"/>
      </w:pPr>
      <w:bookmarkStart w:id="24" w:name="_Toc7490"/>
      <w:bookmarkStart w:id="25" w:name="_Toc26718931"/>
      <w:bookmarkStart w:id="26" w:name="_Toc4722"/>
      <w:bookmarkStart w:id="27" w:name="_Toc97195092"/>
      <w:bookmarkStart w:id="28" w:name="_Toc26986531"/>
      <w:bookmarkStart w:id="29" w:name="_Toc26986772"/>
      <w:bookmarkStart w:id="30" w:name="_Toc8381"/>
      <w:r>
        <w:rPr>
          <w:rFonts w:hint="eastAsia"/>
        </w:rPr>
        <w:t>规范性引用文件</w:t>
      </w:r>
      <w:bookmarkEnd w:id="19"/>
      <w:bookmarkEnd w:id="20"/>
      <w:bookmarkEnd w:id="21"/>
      <w:bookmarkEnd w:id="22"/>
      <w:bookmarkEnd w:id="23"/>
      <w:bookmarkEnd w:id="24"/>
      <w:bookmarkEnd w:id="25"/>
      <w:bookmarkEnd w:id="26"/>
      <w:bookmarkEnd w:id="27"/>
      <w:bookmarkEnd w:id="28"/>
      <w:bookmarkEnd w:id="29"/>
      <w:bookmarkEnd w:id="30"/>
    </w:p>
    <w:sdt>
      <w:sdtPr>
        <w:id w:val="147479123"/>
        <w:placeholder>
          <w:docPart w:val="{7be65522-be42-417e-a61a-794d4bc9e243}"/>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Content>
        <w:p w14:paraId="4BE68B35">
          <w:pPr>
            <w:pStyle w:val="61"/>
          </w:pPr>
          <w: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0173312">
      <w:pPr>
        <w:pStyle w:val="61"/>
        <w:rPr>
          <w:rFonts w:hint="default"/>
          <w:color w:val="auto"/>
          <w:lang w:val="en-US" w:eastAsia="zh-CN"/>
        </w:rPr>
      </w:pPr>
      <w:r>
        <w:rPr>
          <w:rFonts w:hint="eastAsia"/>
          <w:color w:val="auto"/>
          <w:lang w:val="en-US" w:eastAsia="zh-CN"/>
        </w:rPr>
        <w:t>GB/T 2423.10  环境试验 第2部分：试验方法 试验Fc: 振动（正弦）</w:t>
      </w:r>
    </w:p>
    <w:p w14:paraId="67155B51">
      <w:pPr>
        <w:pStyle w:val="61"/>
        <w:rPr>
          <w:rFonts w:hint="default"/>
          <w:color w:val="auto"/>
          <w:lang w:val="en-US" w:eastAsia="zh-CN"/>
        </w:rPr>
      </w:pPr>
      <w:r>
        <w:rPr>
          <w:rFonts w:hint="eastAsia"/>
          <w:color w:val="auto"/>
          <w:lang w:val="en-US" w:eastAsia="zh-CN"/>
        </w:rPr>
        <w:t>GB/T 2423.57  电工电子产品环境试验 第2-81部分: 试验方法 试验Ei: 冲击 冲击响应谱合成</w:t>
      </w:r>
    </w:p>
    <w:p w14:paraId="6BDE5BD0">
      <w:pPr>
        <w:pStyle w:val="61"/>
        <w:rPr>
          <w:rFonts w:hint="eastAsia"/>
          <w:color w:val="auto"/>
          <w:lang w:val="en-US" w:eastAsia="zh-CN"/>
        </w:rPr>
      </w:pPr>
      <w:r>
        <w:rPr>
          <w:rFonts w:hint="eastAsia"/>
          <w:color w:val="auto"/>
          <w:lang w:val="en-US" w:eastAsia="zh-CN"/>
        </w:rPr>
        <w:t xml:space="preserve">GB/T </w:t>
      </w:r>
      <w:r>
        <w:rPr>
          <w:rFonts w:hint="eastAsia"/>
          <w:color w:val="auto"/>
        </w:rPr>
        <w:t>4208</w:t>
      </w:r>
      <w:r>
        <w:rPr>
          <w:rFonts w:hint="eastAsia"/>
          <w:color w:val="auto"/>
          <w:lang w:val="en-US" w:eastAsia="zh-CN"/>
        </w:rPr>
        <w:t xml:space="preserve">  外壳防护等级(IP代码)</w:t>
      </w:r>
    </w:p>
    <w:p w14:paraId="746B2606">
      <w:pPr>
        <w:pStyle w:val="61"/>
        <w:rPr>
          <w:rFonts w:hint="default"/>
          <w:color w:val="auto"/>
          <w:lang w:val="en-US" w:eastAsia="zh-CN"/>
        </w:rPr>
      </w:pPr>
      <w:r>
        <w:rPr>
          <w:rFonts w:hint="default"/>
          <w:color w:val="auto"/>
          <w:lang w:val="en-US" w:eastAsia="zh-CN"/>
        </w:rPr>
        <w:t>GB/T 5080.7  设备可靠性试验 恒定失效率假设下的失效率与平均无故障时间的验证试验方案</w:t>
      </w:r>
    </w:p>
    <w:p w14:paraId="0826A58E">
      <w:pPr>
        <w:pStyle w:val="61"/>
        <w:rPr>
          <w:rFonts w:hint="default"/>
          <w:color w:val="auto"/>
          <w:lang w:val="en-US" w:eastAsia="zh-CN"/>
        </w:rPr>
      </w:pPr>
      <w:r>
        <w:rPr>
          <w:rFonts w:hint="default"/>
          <w:color w:val="auto"/>
          <w:lang w:val="en-US" w:eastAsia="zh-CN"/>
        </w:rPr>
        <w:t>GB/T 10125  人造气氛腐蚀试验 盐雾试验</w:t>
      </w:r>
    </w:p>
    <w:p w14:paraId="43673118">
      <w:pPr>
        <w:pStyle w:val="61"/>
        <w:rPr>
          <w:rFonts w:hint="default"/>
          <w:color w:val="auto"/>
          <w:lang w:val="en-US" w:eastAsia="zh-CN"/>
        </w:rPr>
      </w:pPr>
      <w:r>
        <w:rPr>
          <w:rFonts w:hint="default"/>
          <w:color w:val="auto"/>
          <w:lang w:val="en-US" w:eastAsia="zh-CN"/>
        </w:rPr>
        <w:t>GB/T 17626.2  电磁兼容 试验和测量技术 静电放电抗扰度试验</w:t>
      </w:r>
    </w:p>
    <w:p w14:paraId="6591C50F">
      <w:pPr>
        <w:pStyle w:val="61"/>
        <w:rPr>
          <w:rFonts w:hint="default"/>
          <w:color w:val="auto"/>
          <w:lang w:val="en-US" w:eastAsia="zh-CN"/>
        </w:rPr>
      </w:pPr>
      <w:r>
        <w:rPr>
          <w:rFonts w:hint="default"/>
          <w:color w:val="auto"/>
          <w:lang w:val="en-US" w:eastAsia="zh-CN"/>
        </w:rPr>
        <w:t>GB/T 17626.3</w:t>
      </w:r>
      <w:r>
        <w:rPr>
          <w:rFonts w:hint="eastAsia"/>
          <w:color w:val="auto"/>
          <w:lang w:val="en-US" w:eastAsia="zh-CN"/>
        </w:rPr>
        <w:t xml:space="preserve">  电磁兼容 试验和测量技术 第3部分：射频电磁场辐射抗扰度试验</w:t>
      </w:r>
    </w:p>
    <w:p w14:paraId="42941A03">
      <w:pPr>
        <w:pStyle w:val="61"/>
        <w:rPr>
          <w:rFonts w:hint="default"/>
          <w:color w:val="auto"/>
          <w:lang w:val="en-US" w:eastAsia="zh-CN"/>
        </w:rPr>
      </w:pPr>
      <w:r>
        <w:rPr>
          <w:rFonts w:hint="default"/>
          <w:color w:val="auto"/>
          <w:lang w:val="en-US" w:eastAsia="zh-CN"/>
        </w:rPr>
        <w:t>GB/T 17626.4  电磁兼容 试验和测量技术 电快速瞬变脉冲群抗扰度试验</w:t>
      </w:r>
    </w:p>
    <w:p w14:paraId="7F79A767">
      <w:pPr>
        <w:pStyle w:val="61"/>
        <w:rPr>
          <w:rFonts w:hint="default"/>
          <w:color w:val="auto"/>
          <w:lang w:val="en-US" w:eastAsia="zh-CN"/>
        </w:rPr>
      </w:pPr>
      <w:r>
        <w:rPr>
          <w:rFonts w:hint="default"/>
          <w:color w:val="auto"/>
          <w:lang w:val="en-US" w:eastAsia="zh-CN"/>
        </w:rPr>
        <w:t>GB/T 17626.5  电磁兼容 试验和测量技术 浪涌(冲击)抗扰度试验</w:t>
      </w:r>
    </w:p>
    <w:p w14:paraId="22E75EDA">
      <w:pPr>
        <w:pStyle w:val="61"/>
        <w:rPr>
          <w:rFonts w:hint="default"/>
          <w:color w:val="auto"/>
          <w:lang w:val="en-US" w:eastAsia="zh-CN"/>
        </w:rPr>
      </w:pPr>
      <w:r>
        <w:rPr>
          <w:rFonts w:hint="default"/>
          <w:color w:val="auto"/>
          <w:lang w:val="en-US" w:eastAsia="zh-CN"/>
        </w:rPr>
        <w:t>GB/T 18216.4  交流1000V和直流1500V及以下低压配电系统电气安全 防护措施的试验、测量或监控设备 第4部分：接地电阻和等电位接地电阻</w:t>
      </w:r>
    </w:p>
    <w:p w14:paraId="438AEA3B">
      <w:pPr>
        <w:pStyle w:val="61"/>
        <w:rPr>
          <w:rFonts w:hint="default"/>
          <w:color w:val="auto"/>
          <w:lang w:val="en-US" w:eastAsia="zh-CN"/>
        </w:rPr>
      </w:pPr>
      <w:r>
        <w:rPr>
          <w:rFonts w:hint="default"/>
          <w:color w:val="auto"/>
          <w:lang w:val="en-US" w:eastAsia="zh-CN"/>
        </w:rPr>
        <w:t>GB/T 24343  工业机械电气设备 绝缘电阻试验规范</w:t>
      </w:r>
    </w:p>
    <w:p w14:paraId="0AB676F6">
      <w:pPr>
        <w:pStyle w:val="61"/>
        <w:rPr>
          <w:rFonts w:hint="default"/>
          <w:color w:val="auto"/>
          <w:lang w:val="en-US" w:eastAsia="zh-CN"/>
        </w:rPr>
      </w:pPr>
      <w:r>
        <w:rPr>
          <w:rFonts w:hint="default"/>
          <w:color w:val="auto"/>
          <w:lang w:val="en-US" w:eastAsia="zh-CN"/>
        </w:rPr>
        <w:t>GB/T 24344  工业机械电气设备 耐压试验规范</w:t>
      </w:r>
    </w:p>
    <w:p w14:paraId="145A1DC6">
      <w:pPr>
        <w:pStyle w:val="61"/>
        <w:rPr>
          <w:rFonts w:hint="eastAsia"/>
          <w:color w:val="auto"/>
          <w:lang w:val="en-US" w:eastAsia="zh-CN"/>
        </w:rPr>
      </w:pPr>
      <w:r>
        <w:rPr>
          <w:rFonts w:hint="default"/>
          <w:color w:val="auto"/>
          <w:lang w:val="en-US" w:eastAsia="zh-CN"/>
        </w:rPr>
        <w:t>GB/T 44380</w:t>
      </w:r>
      <w:r>
        <w:rPr>
          <w:rFonts w:hint="eastAsia"/>
          <w:color w:val="auto"/>
          <w:lang w:val="en-US" w:eastAsia="zh-CN"/>
        </w:rPr>
        <w:t xml:space="preserve">  电力设备状态检修通用术语</w:t>
      </w:r>
    </w:p>
    <w:p w14:paraId="3FFA4485">
      <w:pPr>
        <w:pStyle w:val="61"/>
        <w:rPr>
          <w:rFonts w:hint="default"/>
          <w:color w:val="auto"/>
          <w:lang w:val="en-US" w:eastAsia="zh-CN"/>
        </w:rPr>
      </w:pPr>
      <w:r>
        <w:rPr>
          <w:rFonts w:hint="eastAsia"/>
          <w:color w:val="auto"/>
          <w:lang w:val="en-US" w:eastAsia="zh-CN"/>
        </w:rPr>
        <w:t>GB/T 45577  数据安全技术 数据安全风险评估方法</w:t>
      </w:r>
    </w:p>
    <w:p w14:paraId="5E4500EE">
      <w:pPr>
        <w:pStyle w:val="61"/>
        <w:rPr>
          <w:rFonts w:hint="default"/>
          <w:color w:val="auto"/>
          <w:lang w:val="en-US" w:eastAsia="zh-CN"/>
        </w:rPr>
      </w:pPr>
      <w:r>
        <w:rPr>
          <w:rFonts w:hint="default"/>
          <w:color w:val="auto"/>
          <w:lang w:val="en-US" w:eastAsia="zh-CN"/>
        </w:rPr>
        <w:t>DL/T 417</w:t>
      </w:r>
      <w:r>
        <w:rPr>
          <w:rFonts w:hint="eastAsia"/>
          <w:color w:val="auto"/>
          <w:lang w:val="en-US" w:eastAsia="zh-CN"/>
        </w:rPr>
        <w:t xml:space="preserve">  电力设备局部放电现场测量导则</w:t>
      </w:r>
    </w:p>
    <w:p w14:paraId="41EE0C8D">
      <w:pPr>
        <w:pStyle w:val="61"/>
        <w:rPr>
          <w:rFonts w:hint="default"/>
          <w:color w:val="auto"/>
          <w:lang w:val="en-US" w:eastAsia="zh-CN"/>
        </w:rPr>
      </w:pPr>
      <w:r>
        <w:rPr>
          <w:rFonts w:hint="default"/>
          <w:color w:val="auto"/>
          <w:lang w:val="en-US" w:eastAsia="zh-CN"/>
        </w:rPr>
        <w:t>IEC 61000-4-7</w:t>
      </w:r>
      <w:r>
        <w:rPr>
          <w:rFonts w:hint="eastAsia"/>
          <w:color w:val="auto"/>
          <w:lang w:val="en-US" w:eastAsia="zh-CN"/>
        </w:rPr>
        <w:t xml:space="preserve">  电磁兼容性（EMC）—第4-7部分：测试与测量技术—供电系统及其连接设备的谐波与间谐波测量与仪器通用指南（Electromagnetic compatibility (EMC) - Part 4-7: Testing and measurement techniques - General guide on harmonics and interharmonics measurements and instrumentation, for power supply systems and equipment connected thereto）</w:t>
      </w:r>
    </w:p>
    <w:p w14:paraId="7E0F02AA">
      <w:pPr>
        <w:pStyle w:val="109"/>
        <w:spacing w:before="240" w:after="240"/>
      </w:pPr>
      <w:bookmarkStart w:id="31" w:name="_Toc21736"/>
      <w:bookmarkStart w:id="32" w:name="_Toc11143"/>
      <w:bookmarkStart w:id="33" w:name="_Toc24292"/>
      <w:bookmarkStart w:id="34" w:name="_Toc97195093"/>
      <w:r>
        <w:rPr>
          <w:rFonts w:hint="eastAsia"/>
          <w:szCs w:val="21"/>
        </w:rPr>
        <w:t>术语和定义</w:t>
      </w:r>
      <w:bookmarkEnd w:id="31"/>
      <w:bookmarkEnd w:id="32"/>
      <w:bookmarkEnd w:id="33"/>
      <w:bookmarkEnd w:id="34"/>
    </w:p>
    <w:bookmarkEnd w:id="3"/>
    <w:p w14:paraId="3A3BF7ED">
      <w:pPr>
        <w:pStyle w:val="61"/>
      </w:pPr>
      <w:bookmarkStart w:id="35" w:name="_Toc26986532"/>
      <w:bookmarkEnd w:id="35"/>
      <w:sdt>
        <w:sdtPr>
          <w:rPr>
            <w:rFonts w:hint="eastAsia"/>
          </w:rPr>
          <w:id w:val="-1909835108"/>
          <w:placeholder>
            <w:docPart w:val="8B8623DBB2C24B3899CB0B000E5C5DBB"/>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r>
            <w:rPr>
              <w:rFonts w:hint="eastAsia"/>
            </w:rPr>
            <w:t>GB/T 44380</w:t>
          </w:r>
          <w:r>
            <w:rPr>
              <w:rFonts w:hint="eastAsia"/>
              <w:lang w:val="en-US" w:eastAsia="zh-CN"/>
            </w:rPr>
            <w:t>界定的以及</w:t>
          </w:r>
          <w:r>
            <w:t>下列术语和定义适用于本文件。</w:t>
          </w:r>
        </w:sdtContent>
      </w:sdt>
    </w:p>
    <w:p w14:paraId="4B6D3D92">
      <w:pPr>
        <w:pStyle w:val="110"/>
        <w:spacing w:before="120" w:after="120"/>
      </w:pPr>
      <w:bookmarkStart w:id="36" w:name="_Toc9949"/>
      <w:bookmarkEnd w:id="36"/>
      <w:bookmarkStart w:id="37" w:name="_Toc25027"/>
      <w:bookmarkEnd w:id="37"/>
      <w:bookmarkStart w:id="38" w:name="_Toc31639"/>
      <w:bookmarkEnd w:id="38"/>
      <w:bookmarkStart w:id="39" w:name="_Toc11047"/>
      <w:bookmarkEnd w:id="39"/>
      <w:bookmarkStart w:id="40" w:name="_Toc13410"/>
      <w:bookmarkEnd w:id="40"/>
      <w:bookmarkStart w:id="41" w:name="_Toc1908"/>
      <w:bookmarkEnd w:id="41"/>
      <w:bookmarkStart w:id="42" w:name="_Toc28913"/>
      <w:bookmarkEnd w:id="42"/>
      <w:bookmarkStart w:id="43" w:name="_Toc18481"/>
      <w:bookmarkEnd w:id="43"/>
      <w:bookmarkStart w:id="44" w:name="_Toc28781"/>
      <w:bookmarkEnd w:id="44"/>
      <w:bookmarkStart w:id="45" w:name="_Toc8034"/>
      <w:bookmarkEnd w:id="45"/>
      <w:bookmarkStart w:id="46" w:name="_Toc5316"/>
      <w:bookmarkEnd w:id="46"/>
      <w:bookmarkStart w:id="47" w:name="_Toc10610"/>
      <w:bookmarkEnd w:id="47"/>
    </w:p>
    <w:p w14:paraId="38DFE66D">
      <w:pPr>
        <w:pStyle w:val="228"/>
        <w:keepNext w:val="0"/>
        <w:keepLines w:val="0"/>
        <w:pageBreakBefore w:val="0"/>
        <w:widowControl/>
        <w:numPr>
          <w:ilvl w:val="2"/>
          <w:numId w:val="0"/>
        </w:numPr>
        <w:kinsoku/>
        <w:wordWrap/>
        <w:overflowPunct/>
        <w:topLinePunct w:val="0"/>
        <w:autoSpaceDE/>
        <w:autoSpaceDN/>
        <w:bidi w:val="0"/>
        <w:adjustRightInd/>
        <w:snapToGrid/>
        <w:ind w:firstLine="420" w:firstLineChars="200"/>
        <w:textAlignment w:val="auto"/>
        <w:rPr>
          <w:rFonts w:hint="eastAsia" w:ascii="Times New Roman" w:hAnsi="Times New Roman" w:cs="Times New Roman"/>
          <w:lang w:val="en-US" w:eastAsia="zh-CN"/>
        </w:rPr>
      </w:pPr>
      <w:r>
        <w:rPr>
          <w:rFonts w:hint="eastAsia"/>
          <w:lang w:eastAsia="zh-CN"/>
        </w:rPr>
        <w:t>在线监测装置</w:t>
      </w:r>
      <w:r>
        <w:rPr>
          <w:rFonts w:hint="eastAsia"/>
        </w:rPr>
        <w:t xml:space="preserve"> </w:t>
      </w:r>
      <w:r>
        <w:rPr>
          <w:rFonts w:hint="eastAsia" w:ascii="Times New Roman" w:hAnsi="Times New Roman" w:cs="Times New Roman"/>
          <w:lang w:val="en-US" w:eastAsia="zh-CN"/>
        </w:rPr>
        <w:t>online monitoring device</w:t>
      </w:r>
    </w:p>
    <w:p w14:paraId="52A035E5">
      <w:pPr>
        <w:pStyle w:val="61"/>
        <w:rPr>
          <w:rFonts w:hint="default"/>
        </w:rPr>
      </w:pPr>
      <w:r>
        <w:rPr>
          <w:rFonts w:hint="default"/>
        </w:rPr>
        <w:t>用于对电力设备运行参数、状态信息等进行实时采集、传输和记录的设备。</w:t>
      </w:r>
    </w:p>
    <w:p w14:paraId="644CB88E">
      <w:pPr>
        <w:pStyle w:val="110"/>
        <w:spacing w:before="120" w:after="120"/>
        <w:rPr>
          <w:rFonts w:hint="default"/>
        </w:rPr>
      </w:pPr>
      <w:bookmarkStart w:id="48" w:name="_Toc2881"/>
      <w:bookmarkEnd w:id="48"/>
      <w:bookmarkStart w:id="49" w:name="_Toc16996"/>
      <w:bookmarkEnd w:id="49"/>
      <w:bookmarkStart w:id="50" w:name="_Toc26782"/>
      <w:bookmarkEnd w:id="50"/>
      <w:bookmarkStart w:id="51" w:name="_Toc6106"/>
      <w:bookmarkEnd w:id="51"/>
    </w:p>
    <w:p w14:paraId="50030648">
      <w:pPr>
        <w:pStyle w:val="228"/>
        <w:keepNext w:val="0"/>
        <w:keepLines w:val="0"/>
        <w:pageBreakBefore w:val="0"/>
        <w:widowControl/>
        <w:numPr>
          <w:ilvl w:val="2"/>
          <w:numId w:val="0"/>
        </w:numPr>
        <w:kinsoku/>
        <w:wordWrap/>
        <w:overflowPunct/>
        <w:topLinePunct w:val="0"/>
        <w:autoSpaceDE/>
        <w:autoSpaceDN/>
        <w:bidi w:val="0"/>
        <w:adjustRightInd/>
        <w:snapToGrid/>
        <w:ind w:firstLine="420" w:firstLineChars="200"/>
        <w:textAlignment w:val="auto"/>
        <w:rPr>
          <w:rFonts w:hint="default" w:ascii="Times New Roman" w:hAnsi="Times New Roman" w:cs="Times New Roman"/>
          <w:lang w:val="en-US" w:eastAsia="zh-CN"/>
        </w:rPr>
      </w:pPr>
      <w:r>
        <w:rPr>
          <w:rFonts w:hint="default" w:ascii="Times New Roman" w:hAnsi="Times New Roman" w:cs="Times New Roman"/>
          <w:lang w:eastAsia="zh-CN"/>
        </w:rPr>
        <w:t>智能诊断装置</w:t>
      </w:r>
      <w:r>
        <w:rPr>
          <w:rFonts w:hint="default" w:ascii="Times New Roman" w:hAnsi="Times New Roman" w:cs="Times New Roman"/>
          <w:lang w:val="en-US" w:eastAsia="zh-CN"/>
        </w:rPr>
        <w:t xml:space="preserve"> intelligent diagnostic device</w:t>
      </w:r>
    </w:p>
    <w:p w14:paraId="70FE26FA">
      <w:pPr>
        <w:pStyle w:val="61"/>
        <w:rPr>
          <w:szCs w:val="21"/>
        </w:rPr>
      </w:pPr>
      <w:r>
        <w:rPr>
          <w:rFonts w:hint="default"/>
          <w:lang w:val="en-US" w:eastAsia="zh-CN"/>
        </w:rPr>
        <w:t>基于监测数据、模型算法和知识库实现故障识别、趋势分析、状态评估和智能预警的装置。</w:t>
      </w:r>
      <w:bookmarkStart w:id="52" w:name="_Toc15067"/>
      <w:bookmarkEnd w:id="52"/>
      <w:bookmarkStart w:id="53" w:name="_Toc1854"/>
      <w:bookmarkEnd w:id="53"/>
      <w:bookmarkStart w:id="54" w:name="_Toc18321"/>
      <w:bookmarkEnd w:id="54"/>
      <w:bookmarkStart w:id="55" w:name="_Toc30783"/>
      <w:bookmarkEnd w:id="55"/>
      <w:bookmarkStart w:id="56" w:name="_Toc11308"/>
      <w:bookmarkEnd w:id="56"/>
      <w:bookmarkStart w:id="57" w:name="_Toc15835"/>
      <w:bookmarkEnd w:id="57"/>
      <w:bookmarkStart w:id="58" w:name="_Toc23660"/>
      <w:bookmarkEnd w:id="58"/>
      <w:bookmarkStart w:id="59" w:name="_Toc19552"/>
      <w:bookmarkEnd w:id="59"/>
      <w:bookmarkStart w:id="60" w:name="_Toc10025"/>
      <w:bookmarkEnd w:id="60"/>
      <w:bookmarkStart w:id="61" w:name="_Toc15874"/>
      <w:bookmarkEnd w:id="61"/>
      <w:bookmarkStart w:id="62" w:name="_Toc18262"/>
      <w:bookmarkEnd w:id="62"/>
      <w:bookmarkStart w:id="63" w:name="_Toc14826"/>
      <w:bookmarkEnd w:id="63"/>
      <w:bookmarkStart w:id="64" w:name="_Toc16545"/>
      <w:bookmarkEnd w:id="64"/>
    </w:p>
    <w:p w14:paraId="4600F7CE">
      <w:pPr>
        <w:pStyle w:val="109"/>
        <w:spacing w:before="240" w:after="240"/>
        <w:rPr>
          <w:rFonts w:hint="eastAsia"/>
          <w:szCs w:val="21"/>
          <w:lang w:val="en-US" w:eastAsia="zh-CN"/>
        </w:rPr>
      </w:pPr>
      <w:bookmarkStart w:id="65" w:name="_Toc15944"/>
      <w:r>
        <w:rPr>
          <w:rFonts w:hint="eastAsia"/>
          <w:szCs w:val="21"/>
          <w:lang w:val="en-US" w:eastAsia="zh-CN"/>
        </w:rPr>
        <w:t>在线监测装置技术要求</w:t>
      </w:r>
      <w:bookmarkEnd w:id="65"/>
    </w:p>
    <w:p w14:paraId="58E74375">
      <w:pPr>
        <w:pStyle w:val="110"/>
        <w:spacing w:before="120" w:after="120"/>
        <w:ind w:left="0" w:firstLine="0"/>
        <w:rPr>
          <w:rFonts w:hint="eastAsia"/>
          <w:lang w:val="en-US" w:eastAsia="zh-CN"/>
        </w:rPr>
      </w:pPr>
      <w:bookmarkStart w:id="66" w:name="_Toc8815"/>
      <w:r>
        <w:rPr>
          <w:rFonts w:hint="eastAsia"/>
          <w:lang w:val="en-US" w:eastAsia="zh-CN"/>
        </w:rPr>
        <w:t>一般要求</w:t>
      </w:r>
      <w:bookmarkEnd w:id="66"/>
    </w:p>
    <w:p w14:paraId="799DB13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eastAsia="宋体"/>
          <w:lang w:val="en-US" w:eastAsia="zh-CN"/>
        </w:rPr>
      </w:pPr>
      <w:r>
        <w:rPr>
          <w:rFonts w:hint="eastAsia"/>
        </w:rPr>
        <w:t>在线监测装置</w:t>
      </w:r>
      <w:r>
        <w:rPr>
          <w:rFonts w:hint="eastAsia"/>
          <w:lang w:val="en-US" w:eastAsia="zh-CN"/>
        </w:rPr>
        <w:t>应满足以下要求：</w:t>
      </w:r>
    </w:p>
    <w:p w14:paraId="19E6011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eastAsia="zh-CN"/>
        </w:rPr>
      </w:pPr>
      <w:r>
        <w:rPr>
          <w:rFonts w:hint="eastAsia"/>
          <w:lang w:val="en-US" w:eastAsia="zh-CN"/>
        </w:rPr>
        <w:t>a</w:t>
      </w:r>
      <w:r>
        <w:rPr>
          <w:rFonts w:hint="eastAsia"/>
        </w:rPr>
        <w:t>）</w:t>
      </w:r>
      <w:r>
        <w:rPr>
          <w:rFonts w:hint="eastAsia"/>
          <w:lang w:eastAsia="zh-CN"/>
        </w:rPr>
        <w:t>结构应满足现场安装、安全接线和便于维护的要求；</w:t>
      </w:r>
    </w:p>
    <w:p w14:paraId="6FCEC95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eastAsia="zh-CN"/>
        </w:rPr>
      </w:pPr>
      <w:r>
        <w:rPr>
          <w:rFonts w:hint="eastAsia"/>
          <w:lang w:val="en-US" w:eastAsia="zh-CN"/>
        </w:rPr>
        <w:t>b</w:t>
      </w:r>
      <w:r>
        <w:rPr>
          <w:rFonts w:hint="eastAsia"/>
        </w:rPr>
        <w:t>）</w:t>
      </w:r>
      <w:r>
        <w:rPr>
          <w:rFonts w:hint="eastAsia"/>
          <w:lang w:eastAsia="zh-CN"/>
        </w:rPr>
        <w:t>应具备自检功能，并能实时上报故障告警。</w:t>
      </w:r>
    </w:p>
    <w:p w14:paraId="67D232C2">
      <w:pPr>
        <w:pStyle w:val="110"/>
        <w:spacing w:before="120" w:after="120"/>
        <w:ind w:left="0" w:firstLine="0"/>
        <w:rPr>
          <w:rFonts w:hint="eastAsia"/>
          <w:lang w:val="en-US" w:eastAsia="zh-CN"/>
        </w:rPr>
      </w:pPr>
      <w:bookmarkStart w:id="67" w:name="_Toc6872"/>
      <w:r>
        <w:rPr>
          <w:rFonts w:hint="eastAsia"/>
          <w:lang w:val="en-US" w:eastAsia="zh-CN"/>
        </w:rPr>
        <w:t>监测功能要求</w:t>
      </w:r>
      <w:bookmarkEnd w:id="67"/>
    </w:p>
    <w:p w14:paraId="6424E5D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在线监测装置应具备以下一项或多项监测功能：</w:t>
      </w:r>
    </w:p>
    <w:p w14:paraId="4408774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a）温度监测；</w:t>
      </w:r>
    </w:p>
    <w:p w14:paraId="035D77D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b）局部放电监测；</w:t>
      </w:r>
    </w:p>
    <w:p w14:paraId="59DE7D0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c）电气参数监测；</w:t>
      </w:r>
    </w:p>
    <w:p w14:paraId="6A42DA1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d）机械参数监测；</w:t>
      </w:r>
    </w:p>
    <w:p w14:paraId="6491ACE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e）气体及介质监测；</w:t>
      </w:r>
    </w:p>
    <w:p w14:paraId="7F710E6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f）环境监测。</w:t>
      </w:r>
    </w:p>
    <w:p w14:paraId="3B13666F">
      <w:pPr>
        <w:pStyle w:val="110"/>
        <w:spacing w:before="120" w:after="120"/>
        <w:ind w:left="0" w:firstLine="0"/>
        <w:rPr>
          <w:rFonts w:hint="default"/>
          <w:lang w:val="en-US" w:eastAsia="zh-CN"/>
        </w:rPr>
      </w:pPr>
      <w:bookmarkStart w:id="68" w:name="_Toc373"/>
      <w:r>
        <w:rPr>
          <w:rFonts w:hint="eastAsia"/>
          <w:lang w:val="en-US" w:eastAsia="zh-CN"/>
        </w:rPr>
        <w:t>监测性能要求</w:t>
      </w:r>
      <w:bookmarkEnd w:id="68"/>
    </w:p>
    <w:p w14:paraId="07F421D0">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4.3.1 温度监测性能</w:t>
      </w:r>
    </w:p>
    <w:p w14:paraId="08AB472E">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ascii="Times New Roman"/>
          <w:lang w:val="en-US" w:eastAsia="zh-CN"/>
        </w:rPr>
        <w:t>应满足以下要求：</w:t>
      </w:r>
    </w:p>
    <w:p w14:paraId="57F8BE8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a）温度测量范围：-40℃～+180℃；</w:t>
      </w:r>
    </w:p>
    <w:p w14:paraId="78723E9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b）测量误差不应大于±1.0℃；</w:t>
      </w:r>
    </w:p>
    <w:p w14:paraId="68092C0F">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c）采样周期不应大于1s。</w:t>
      </w:r>
    </w:p>
    <w:p w14:paraId="7301536C">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4.3.2 局部放电监测性能</w:t>
      </w:r>
    </w:p>
    <w:p w14:paraId="011FACE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ascii="Times New Roman"/>
          <w:lang w:val="en-US" w:eastAsia="zh-CN"/>
        </w:rPr>
        <w:t>应满足以下要求：</w:t>
      </w:r>
    </w:p>
    <w:p w14:paraId="53E4A55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a）最小可检测局放量不应大于3pC；</w:t>
      </w:r>
    </w:p>
    <w:p w14:paraId="6D6BE9F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b）定位误差不应大于±5m；</w:t>
      </w:r>
    </w:p>
    <w:p w14:paraId="7817F8E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c）信噪比应不小于10dB；</w:t>
      </w:r>
    </w:p>
    <w:p w14:paraId="4776E8B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d）采样频率不应低于100MS/s。</w:t>
      </w:r>
    </w:p>
    <w:p w14:paraId="5A5C0AFD">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4.3.3 电气参数监测性能</w:t>
      </w:r>
    </w:p>
    <w:p w14:paraId="1B400BA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ascii="Times New Roman"/>
          <w:lang w:val="en-US" w:eastAsia="zh-CN"/>
        </w:rPr>
        <w:t>应满足以下要求：</w:t>
      </w:r>
    </w:p>
    <w:p w14:paraId="766E983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a）电压测量误差不应大于±0.5%FS；</w:t>
      </w:r>
    </w:p>
    <w:p w14:paraId="0CF0604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b）电流测量误差不应大于±1%FS；</w:t>
      </w:r>
    </w:p>
    <w:p w14:paraId="12C0C03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c）谐波测量等级应满足IEC 61000-4-7要求；</w:t>
      </w:r>
    </w:p>
    <w:p w14:paraId="533C225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d）采样率不应低于10kS/s。</w:t>
      </w:r>
    </w:p>
    <w:p w14:paraId="03AF508F">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4.3.4 振动监测性能</w:t>
      </w:r>
    </w:p>
    <w:p w14:paraId="2BE03DF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ascii="Times New Roman"/>
          <w:lang w:val="en-US" w:eastAsia="zh-CN"/>
        </w:rPr>
        <w:t>应满足以下要求：</w:t>
      </w:r>
    </w:p>
    <w:p w14:paraId="0DFF9BE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a）频率范围应覆盖5Hz～1kHz；</w:t>
      </w:r>
    </w:p>
    <w:p w14:paraId="169174D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b）振动加速度测量误差不大于±5%；</w:t>
      </w:r>
    </w:p>
    <w:p w14:paraId="03717F5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c）采样频率不应低于5kHz。</w:t>
      </w:r>
    </w:p>
    <w:p w14:paraId="3E4F5B77">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4.3.5 SF</w:t>
      </w:r>
      <w:r>
        <w:rPr>
          <w:rFonts w:hint="eastAsia"/>
          <w:vertAlign w:val="subscript"/>
          <w:lang w:val="en-US" w:eastAsia="zh-CN"/>
        </w:rPr>
        <w:t>6</w:t>
      </w:r>
      <w:r>
        <w:rPr>
          <w:rFonts w:hint="eastAsia"/>
          <w:lang w:val="en-US" w:eastAsia="zh-CN"/>
        </w:rPr>
        <w:t>气体监测性能</w:t>
      </w:r>
    </w:p>
    <w:p w14:paraId="2535F95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ascii="Times New Roman"/>
          <w:lang w:val="en-US" w:eastAsia="zh-CN"/>
        </w:rPr>
        <w:t>应满足以下要求：</w:t>
      </w:r>
    </w:p>
    <w:p w14:paraId="7AFE679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a）气体压力或密度测量误差不应大于±1%FS；</w:t>
      </w:r>
    </w:p>
    <w:p w14:paraId="5A6343E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b）泄漏报警设定应不大于相对密度变化-0.5MPa/年。</w:t>
      </w:r>
    </w:p>
    <w:p w14:paraId="57297C5B">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eastAsia"/>
          <w:lang w:val="en-US" w:eastAsia="zh-CN"/>
        </w:rPr>
      </w:pPr>
      <w:r>
        <w:rPr>
          <w:rFonts w:hint="eastAsia"/>
          <w:lang w:val="en-US" w:eastAsia="zh-CN"/>
        </w:rPr>
        <w:t>4.3.6 湿度监测性能</w:t>
      </w:r>
    </w:p>
    <w:p w14:paraId="50069B8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ascii="Times New Roman"/>
          <w:lang w:val="en-US" w:eastAsia="zh-CN"/>
        </w:rPr>
        <w:t>应满足以下要求：</w:t>
      </w:r>
    </w:p>
    <w:p w14:paraId="6380FDD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a）相对湿度测量范围：0%RH～100%RH；</w:t>
      </w:r>
    </w:p>
    <w:p w14:paraId="1F870EDE">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b）测量误差不应大于±3%RH。</w:t>
      </w:r>
    </w:p>
    <w:p w14:paraId="608D3DC4">
      <w:pPr>
        <w:pStyle w:val="110"/>
        <w:spacing w:before="120" w:after="120"/>
        <w:ind w:left="0" w:firstLine="0"/>
        <w:rPr>
          <w:rFonts w:hint="eastAsia"/>
          <w:lang w:val="en-US" w:eastAsia="zh-CN"/>
        </w:rPr>
      </w:pPr>
      <w:bookmarkStart w:id="69" w:name="_Toc25281"/>
      <w:r>
        <w:rPr>
          <w:rFonts w:hint="eastAsia"/>
          <w:lang w:val="en-US" w:eastAsia="zh-CN"/>
        </w:rPr>
        <w:t>数据采集与存储要求</w:t>
      </w:r>
      <w:bookmarkEnd w:id="69"/>
    </w:p>
    <w:p w14:paraId="7261C59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数据采集与存储要求如下：</w:t>
      </w:r>
    </w:p>
    <w:p w14:paraId="757AEC5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a）数据采集模块应支持多通道独立采样，采样精度不应低于16bit；</w:t>
      </w:r>
    </w:p>
    <w:p w14:paraId="7FBA514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b）实时监测参数记录间隔不应大于1s；</w:t>
      </w:r>
    </w:p>
    <w:p w14:paraId="4007C00F">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c）装置应具备本地存储功能，存储容量不应小于32GB，数据保存不少于1年；</w:t>
      </w:r>
    </w:p>
    <w:p w14:paraId="35541DD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d）数据存储格式应支持二进制或标准化JSON格式，并应具有可解析性和跨平台使用能力。</w:t>
      </w:r>
    </w:p>
    <w:p w14:paraId="1B4D0EA4">
      <w:pPr>
        <w:pStyle w:val="110"/>
        <w:spacing w:before="120" w:after="120"/>
        <w:ind w:left="0" w:firstLine="0"/>
        <w:rPr>
          <w:rFonts w:hint="eastAsia"/>
          <w:lang w:val="en-US" w:eastAsia="zh-CN"/>
        </w:rPr>
      </w:pPr>
      <w:bookmarkStart w:id="70" w:name="_Toc12641"/>
      <w:r>
        <w:rPr>
          <w:rFonts w:hint="eastAsia"/>
          <w:lang w:val="en-US" w:eastAsia="zh-CN"/>
        </w:rPr>
        <w:t>安装与接口要求</w:t>
      </w:r>
      <w:bookmarkEnd w:id="70"/>
    </w:p>
    <w:p w14:paraId="38450F1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安装与接口要求如下：</w:t>
      </w:r>
    </w:p>
    <w:p w14:paraId="38F93E4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a）传感器安装方式应符合设备结构特点，不应影响被监测设备的安全运行；</w:t>
      </w:r>
    </w:p>
    <w:p w14:paraId="28D5558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b）外部接口应采用工业级连接器，具备反插保护和环境密封性能；</w:t>
      </w:r>
    </w:p>
    <w:p w14:paraId="68A9629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c）装置应提供标准接线端子或防护型通信接口。</w:t>
      </w:r>
    </w:p>
    <w:p w14:paraId="0DAF75A2">
      <w:pPr>
        <w:pStyle w:val="109"/>
        <w:spacing w:before="240" w:after="240"/>
        <w:rPr>
          <w:rFonts w:hint="default"/>
          <w:szCs w:val="21"/>
          <w:lang w:val="en-US" w:eastAsia="zh-CN"/>
        </w:rPr>
      </w:pPr>
      <w:bookmarkStart w:id="71" w:name="_Toc6180"/>
      <w:r>
        <w:rPr>
          <w:rFonts w:hint="eastAsia"/>
          <w:szCs w:val="21"/>
          <w:lang w:val="en-US" w:eastAsia="zh-CN"/>
        </w:rPr>
        <w:t>智能诊断装置技术要求</w:t>
      </w:r>
      <w:bookmarkEnd w:id="71"/>
    </w:p>
    <w:p w14:paraId="292F0D60">
      <w:pPr>
        <w:pStyle w:val="110"/>
        <w:spacing w:before="120" w:after="120"/>
        <w:ind w:left="0" w:firstLine="0"/>
        <w:rPr>
          <w:rFonts w:hint="default"/>
          <w:lang w:val="en-US" w:eastAsia="zh-CN"/>
        </w:rPr>
      </w:pPr>
      <w:bookmarkStart w:id="72" w:name="_Toc11623"/>
      <w:r>
        <w:rPr>
          <w:rFonts w:hint="default"/>
          <w:lang w:val="en-US" w:eastAsia="zh-CN"/>
        </w:rPr>
        <w:t>数据处理能力要求</w:t>
      </w:r>
      <w:bookmarkEnd w:id="72"/>
    </w:p>
    <w:p w14:paraId="6D80D1AA">
      <w:pPr>
        <w:pStyle w:val="61"/>
        <w:rPr>
          <w:rFonts w:hint="default"/>
          <w:lang w:val="en-US" w:eastAsia="zh-CN"/>
        </w:rPr>
      </w:pPr>
      <w:r>
        <w:rPr>
          <w:rFonts w:hint="default"/>
          <w:lang w:val="en-US" w:eastAsia="zh-CN"/>
        </w:rPr>
        <w:t>数据处理能力要求</w:t>
      </w:r>
      <w:r>
        <w:rPr>
          <w:rFonts w:hint="eastAsia"/>
          <w:lang w:val="en-US" w:eastAsia="zh-CN"/>
        </w:rPr>
        <w:t>如下：</w:t>
      </w:r>
    </w:p>
    <w:p w14:paraId="18FDCC8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a）</w:t>
      </w:r>
      <w:r>
        <w:rPr>
          <w:rFonts w:hint="default"/>
          <w:lang w:val="en-US" w:eastAsia="zh-CN"/>
        </w:rPr>
        <w:t>装置应能对不少于10万条/日的监测数据进行实时处理</w:t>
      </w:r>
      <w:r>
        <w:rPr>
          <w:rFonts w:hint="eastAsia"/>
          <w:lang w:val="en-US" w:eastAsia="zh-CN"/>
        </w:rPr>
        <w:t>；</w:t>
      </w:r>
    </w:p>
    <w:p w14:paraId="5664CF7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b）</w:t>
      </w:r>
      <w:r>
        <w:rPr>
          <w:rFonts w:hint="default"/>
          <w:lang w:val="en-US" w:eastAsia="zh-CN"/>
        </w:rPr>
        <w:t>数据处理延迟不应大于2s，批量分析处理时间不应大于10s/万条数据</w:t>
      </w:r>
      <w:r>
        <w:rPr>
          <w:rFonts w:hint="eastAsia"/>
          <w:lang w:val="en-US" w:eastAsia="zh-CN"/>
        </w:rPr>
        <w:t>；</w:t>
      </w:r>
    </w:p>
    <w:p w14:paraId="11E8AB3E">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c）</w:t>
      </w:r>
      <w:r>
        <w:rPr>
          <w:rFonts w:hint="default"/>
          <w:lang w:val="en-US" w:eastAsia="zh-CN"/>
        </w:rPr>
        <w:t>装置应支持不低于32GB的内置数据缓存能力，与服务器交互的数据存储格式应兼容JSON、CSV或二进制格式</w:t>
      </w:r>
      <w:r>
        <w:rPr>
          <w:rFonts w:hint="eastAsia"/>
          <w:lang w:val="en-US" w:eastAsia="zh-CN"/>
        </w:rPr>
        <w:t>；</w:t>
      </w:r>
    </w:p>
    <w:p w14:paraId="10A05FC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d）</w:t>
      </w:r>
      <w:r>
        <w:rPr>
          <w:rFonts w:hint="default"/>
          <w:lang w:val="en-US" w:eastAsia="zh-CN"/>
        </w:rPr>
        <w:t>对于局部放电、振动等高频数据，应支持不少于1GB/min的数据流处理能力。</w:t>
      </w:r>
    </w:p>
    <w:p w14:paraId="0C0F61EB">
      <w:pPr>
        <w:pStyle w:val="110"/>
        <w:spacing w:before="120" w:after="120"/>
        <w:ind w:left="0" w:firstLine="0"/>
        <w:rPr>
          <w:rFonts w:hint="default"/>
          <w:lang w:val="en-US" w:eastAsia="zh-CN"/>
        </w:rPr>
      </w:pPr>
      <w:bookmarkStart w:id="73" w:name="_Toc3244"/>
      <w:r>
        <w:rPr>
          <w:rFonts w:hint="default"/>
          <w:lang w:val="en-US" w:eastAsia="zh-CN"/>
        </w:rPr>
        <w:t>诊断模型要求</w:t>
      </w:r>
      <w:bookmarkEnd w:id="73"/>
    </w:p>
    <w:p w14:paraId="2B71F8F5">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w:t>
      </w:r>
      <w:r>
        <w:rPr>
          <w:rFonts w:hint="default"/>
          <w:lang w:val="en-US" w:eastAsia="zh-CN"/>
        </w:rPr>
        <w:t>.</w:t>
      </w:r>
      <w:r>
        <w:rPr>
          <w:rFonts w:hint="eastAsia"/>
          <w:lang w:val="en-US" w:eastAsia="zh-CN"/>
        </w:rPr>
        <w:t>2</w:t>
      </w:r>
      <w:r>
        <w:rPr>
          <w:rFonts w:hint="default"/>
          <w:lang w:val="en-US" w:eastAsia="zh-CN"/>
        </w:rPr>
        <w:t>.1 模型类型要求</w:t>
      </w:r>
    </w:p>
    <w:p w14:paraId="25C88E8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智能诊断装置可采用以下一种或多种模型组合：</w:t>
      </w:r>
    </w:p>
    <w:p w14:paraId="1B1446C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a）基于经验规则的专家系统模型；</w:t>
      </w:r>
    </w:p>
    <w:p w14:paraId="7D25569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b）基于特征提取的统计模型；</w:t>
      </w:r>
    </w:p>
    <w:p w14:paraId="617F679F">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c）基于机器学习的分类与回归模型；</w:t>
      </w:r>
    </w:p>
    <w:p w14:paraId="282E6E0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d）基于深度学习的时序分析模型；</w:t>
      </w:r>
    </w:p>
    <w:p w14:paraId="6BFA315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e）基于电力设备物理机理的数字孪生模型</w:t>
      </w:r>
      <w:r>
        <w:rPr>
          <w:rFonts w:hint="eastAsia"/>
          <w:lang w:val="en-US" w:eastAsia="zh-CN"/>
        </w:rPr>
        <w:t>；</w:t>
      </w:r>
    </w:p>
    <w:p w14:paraId="70E7B801">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w:t>
      </w:r>
      <w:r>
        <w:rPr>
          <w:rFonts w:hint="default"/>
          <w:lang w:val="en-US" w:eastAsia="zh-CN"/>
        </w:rPr>
        <w:t>.</w:t>
      </w:r>
      <w:r>
        <w:rPr>
          <w:rFonts w:hint="eastAsia"/>
          <w:lang w:val="en-US" w:eastAsia="zh-CN"/>
        </w:rPr>
        <w:t>2</w:t>
      </w:r>
      <w:r>
        <w:rPr>
          <w:rFonts w:hint="default"/>
          <w:lang w:val="en-US" w:eastAsia="zh-CN"/>
        </w:rPr>
        <w:t>.2 模型准确性要求</w:t>
      </w:r>
    </w:p>
    <w:p w14:paraId="1E30923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模型准确性要求</w:t>
      </w:r>
      <w:r>
        <w:rPr>
          <w:rFonts w:hint="eastAsia"/>
          <w:lang w:val="en-US" w:eastAsia="zh-CN"/>
        </w:rPr>
        <w:t>如下：</w:t>
      </w:r>
    </w:p>
    <w:p w14:paraId="2D8B63C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a）故障识别准确率不应低于90</w:t>
      </w:r>
      <w:r>
        <w:rPr>
          <w:rFonts w:hint="eastAsia"/>
          <w:lang w:val="en-US" w:eastAsia="zh-CN"/>
        </w:rPr>
        <w:t>%</w:t>
      </w:r>
      <w:r>
        <w:rPr>
          <w:rFonts w:hint="default"/>
          <w:lang w:val="en-US" w:eastAsia="zh-CN"/>
        </w:rPr>
        <w:t>；</w:t>
      </w:r>
    </w:p>
    <w:p w14:paraId="50472C9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b）缺陷等级判断一致性不应低于85%；</w:t>
      </w:r>
    </w:p>
    <w:p w14:paraId="33B5904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c）趋势预测平均误差不应大于±5%；</w:t>
      </w:r>
    </w:p>
    <w:p w14:paraId="72EC652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d）寿命预测偏差不应大于±10%。</w:t>
      </w:r>
    </w:p>
    <w:p w14:paraId="7A48B49E">
      <w:pPr>
        <w:pStyle w:val="110"/>
        <w:spacing w:before="120" w:after="120"/>
        <w:ind w:left="0" w:firstLine="0"/>
        <w:rPr>
          <w:rFonts w:hint="default"/>
          <w:lang w:val="en-US" w:eastAsia="zh-CN"/>
        </w:rPr>
      </w:pPr>
      <w:bookmarkStart w:id="74" w:name="_Toc24225"/>
      <w:r>
        <w:rPr>
          <w:rFonts w:hint="default"/>
          <w:lang w:val="en-US" w:eastAsia="zh-CN"/>
        </w:rPr>
        <w:t>诊断功能要求</w:t>
      </w:r>
      <w:bookmarkEnd w:id="74"/>
    </w:p>
    <w:p w14:paraId="18ABBF77">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w:t>
      </w:r>
      <w:r>
        <w:rPr>
          <w:rFonts w:hint="default"/>
          <w:lang w:val="en-US" w:eastAsia="zh-CN"/>
        </w:rPr>
        <w:t>.</w:t>
      </w:r>
      <w:r>
        <w:rPr>
          <w:rFonts w:hint="eastAsia"/>
          <w:lang w:val="en-US" w:eastAsia="zh-CN"/>
        </w:rPr>
        <w:t>3</w:t>
      </w:r>
      <w:r>
        <w:rPr>
          <w:rFonts w:hint="default"/>
          <w:lang w:val="en-US" w:eastAsia="zh-CN"/>
        </w:rPr>
        <w:t>.1 故障识别功能</w:t>
      </w:r>
    </w:p>
    <w:p w14:paraId="657EE44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装置应具备对以下常见故障的识别能力：</w:t>
      </w:r>
    </w:p>
    <w:p w14:paraId="1E0DD8D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a）变压器：绕组过热、铁芯松动、局部放电、套管击穿、油中气体异常；</w:t>
      </w:r>
    </w:p>
    <w:p w14:paraId="471B9BC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b）GIS：绝缘缺陷、金属颗粒、SF</w:t>
      </w:r>
      <w:r>
        <w:rPr>
          <w:rFonts w:hint="eastAsia"/>
          <w:vertAlign w:val="subscript"/>
          <w:lang w:val="en-US" w:eastAsia="zh-CN"/>
        </w:rPr>
        <w:t>6</w:t>
      </w:r>
      <w:r>
        <w:rPr>
          <w:rFonts w:hint="default"/>
          <w:lang w:val="en-US" w:eastAsia="zh-CN"/>
        </w:rPr>
        <w:t>泄漏、机械卡涩；</w:t>
      </w:r>
    </w:p>
    <w:p w14:paraId="26C17C7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c）断路器：分合闸不同步、机构磨损、弹簧疲劳、触头异常发热；</w:t>
      </w:r>
    </w:p>
    <w:p w14:paraId="1B1C637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d）电缆：局放缺陷、绝缘老化、护层水树、电缆接头过热；</w:t>
      </w:r>
    </w:p>
    <w:p w14:paraId="5080125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e）电容器：介质击穿、内部故障、发热异常。</w:t>
      </w:r>
    </w:p>
    <w:p w14:paraId="19887C72">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w:t>
      </w:r>
      <w:r>
        <w:rPr>
          <w:rFonts w:hint="default"/>
          <w:lang w:val="en-US" w:eastAsia="zh-CN"/>
        </w:rPr>
        <w:t>.</w:t>
      </w:r>
      <w:r>
        <w:rPr>
          <w:rFonts w:hint="eastAsia"/>
          <w:lang w:val="en-US" w:eastAsia="zh-CN"/>
        </w:rPr>
        <w:t>3</w:t>
      </w:r>
      <w:r>
        <w:rPr>
          <w:rFonts w:hint="default"/>
          <w:lang w:val="en-US" w:eastAsia="zh-CN"/>
        </w:rPr>
        <w:t>.2 趋势分析功能</w:t>
      </w:r>
    </w:p>
    <w:p w14:paraId="67A7718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装置应能够根据监测参数变化趋势自动生成趋势曲线，对以下指标进行趋势分析：</w:t>
      </w:r>
    </w:p>
    <w:p w14:paraId="43A91C0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a）局部放电强度变化；</w:t>
      </w:r>
    </w:p>
    <w:p w14:paraId="57A7C6D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b）温度上升速率、负荷变化与设备热容量；</w:t>
      </w:r>
    </w:p>
    <w:p w14:paraId="240B9B2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c）振动频谱特征变化；</w:t>
      </w:r>
    </w:p>
    <w:p w14:paraId="3AC2563D">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d）油中气体（DGA）中H₂、C₂H₂、C₂H₄等关键气体变化；</w:t>
      </w:r>
    </w:p>
    <w:p w14:paraId="1C1CAAE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e）SF</w:t>
      </w:r>
      <w:r>
        <w:rPr>
          <w:rFonts w:hint="eastAsia"/>
          <w:vertAlign w:val="subscript"/>
          <w:lang w:val="en-US" w:eastAsia="zh-CN"/>
        </w:rPr>
        <w:t>6</w:t>
      </w:r>
      <w:r>
        <w:rPr>
          <w:rFonts w:hint="default"/>
          <w:lang w:val="en-US" w:eastAsia="zh-CN"/>
        </w:rPr>
        <w:t>密度变化趋势。</w:t>
      </w:r>
    </w:p>
    <w:p w14:paraId="392A0BE6">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5.3</w:t>
      </w:r>
      <w:r>
        <w:rPr>
          <w:rFonts w:hint="default"/>
          <w:lang w:val="en-US" w:eastAsia="zh-CN"/>
        </w:rPr>
        <w:t>.3 健康状态评估功能</w:t>
      </w:r>
    </w:p>
    <w:p w14:paraId="48D2D4FE">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装置应对电力设备进行健康指数（HI）评估，HI评分等级可划分为：</w:t>
      </w:r>
    </w:p>
    <w:p w14:paraId="6AAB0D3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default"/>
          <w:lang w:val="en-US" w:eastAsia="zh-CN"/>
        </w:rPr>
        <w:t>a）</w:t>
      </w:r>
      <w:r>
        <w:rPr>
          <w:rFonts w:hint="eastAsia" w:ascii="宋体" w:hAnsi="宋体" w:eastAsia="宋体" w:cs="宋体"/>
          <w:lang w:val="en-US" w:eastAsia="zh-CN"/>
        </w:rPr>
        <w:t>HI≥80：健康；</w:t>
      </w:r>
    </w:p>
    <w:p w14:paraId="44FD611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lang w:val="en-US" w:eastAsia="zh-CN"/>
        </w:rPr>
        <w:t>b</w:t>
      </w:r>
      <w:r>
        <w:rPr>
          <w:rFonts w:hint="default"/>
          <w:lang w:val="en-US" w:eastAsia="zh-CN"/>
        </w:rPr>
        <w:t>）</w:t>
      </w:r>
      <w:r>
        <w:rPr>
          <w:rFonts w:hint="eastAsia" w:ascii="宋体" w:hAnsi="宋体" w:eastAsia="宋体" w:cs="宋体"/>
          <w:lang w:val="en-US" w:eastAsia="zh-CN"/>
        </w:rPr>
        <w:t>60≤HI＜80：亚健康；</w:t>
      </w:r>
    </w:p>
    <w:p w14:paraId="5F629C5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lang w:val="en-US" w:eastAsia="zh-CN"/>
        </w:rPr>
        <w:t>c</w:t>
      </w:r>
      <w:r>
        <w:rPr>
          <w:rFonts w:hint="default"/>
          <w:lang w:val="en-US" w:eastAsia="zh-CN"/>
        </w:rPr>
        <w:t>）</w:t>
      </w:r>
      <w:r>
        <w:rPr>
          <w:rFonts w:hint="eastAsia" w:ascii="宋体" w:hAnsi="宋体" w:eastAsia="宋体" w:cs="宋体"/>
          <w:lang w:val="en-US" w:eastAsia="zh-CN"/>
        </w:rPr>
        <w:t>40≤HI＜60：需检修；</w:t>
      </w:r>
    </w:p>
    <w:p w14:paraId="3DCCE9F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d</w:t>
      </w:r>
      <w:r>
        <w:rPr>
          <w:rFonts w:hint="default"/>
          <w:lang w:val="en-US" w:eastAsia="zh-CN"/>
        </w:rPr>
        <w:t>）</w:t>
      </w:r>
      <w:r>
        <w:rPr>
          <w:rFonts w:hint="eastAsia" w:ascii="宋体" w:hAnsi="宋体" w:eastAsia="宋体" w:cs="宋体"/>
          <w:lang w:val="en-US" w:eastAsia="zh-CN"/>
        </w:rPr>
        <w:t>HI＜40：高风险。</w:t>
      </w:r>
    </w:p>
    <w:p w14:paraId="5D886062">
      <w:pPr>
        <w:pStyle w:val="61"/>
        <w:keepNext w:val="0"/>
        <w:keepLines w:val="0"/>
        <w:pageBreakBefore w:val="0"/>
        <w:widowControl/>
        <w:kinsoku/>
        <w:wordWrap/>
        <w:overflowPunct/>
        <w:topLinePunct w:val="0"/>
        <w:autoSpaceDE w:val="0"/>
        <w:autoSpaceDN w:val="0"/>
        <w:bidi w:val="0"/>
        <w:adjustRightInd/>
        <w:snapToGrid/>
        <w:ind w:left="0" w:leftChars="0" w:firstLine="0" w:firstLineChars="0"/>
        <w:textAlignment w:val="auto"/>
        <w:rPr>
          <w:rFonts w:hint="default"/>
          <w:lang w:val="en-US" w:eastAsia="zh-CN"/>
        </w:rPr>
      </w:pPr>
      <w:r>
        <w:rPr>
          <w:rFonts w:hint="eastAsia"/>
          <w:lang w:val="en-US" w:eastAsia="zh-CN"/>
        </w:rPr>
        <w:t>5</w:t>
      </w:r>
      <w:r>
        <w:rPr>
          <w:rFonts w:hint="default"/>
          <w:lang w:val="en-US" w:eastAsia="zh-CN"/>
        </w:rPr>
        <w:t>.</w:t>
      </w:r>
      <w:r>
        <w:rPr>
          <w:rFonts w:hint="eastAsia"/>
          <w:lang w:val="en-US" w:eastAsia="zh-CN"/>
        </w:rPr>
        <w:t>3</w:t>
      </w:r>
      <w:r>
        <w:rPr>
          <w:rFonts w:hint="default"/>
          <w:lang w:val="en-US" w:eastAsia="zh-CN"/>
        </w:rPr>
        <w:t>.4 寿命预测功能</w:t>
      </w:r>
    </w:p>
    <w:p w14:paraId="000AAC8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装置应支持对关键设备的剩余寿命预测：</w:t>
      </w:r>
    </w:p>
    <w:p w14:paraId="7F89E61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a）预测时间跨度不应小于6个月；</w:t>
      </w:r>
    </w:p>
    <w:p w14:paraId="3E5662C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b）滚动预测更新周期不大于24h；</w:t>
      </w:r>
    </w:p>
    <w:p w14:paraId="7A3FB74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c）预测误差不应大于设备寿命周期的±10%。</w:t>
      </w:r>
    </w:p>
    <w:p w14:paraId="39405F93">
      <w:pPr>
        <w:pStyle w:val="110"/>
        <w:spacing w:before="120" w:after="120"/>
        <w:ind w:left="0" w:firstLine="0"/>
        <w:rPr>
          <w:rFonts w:hint="default"/>
          <w:lang w:val="en-US" w:eastAsia="zh-CN"/>
        </w:rPr>
      </w:pPr>
      <w:bookmarkStart w:id="75" w:name="_Toc29348"/>
      <w:r>
        <w:rPr>
          <w:rFonts w:hint="default"/>
          <w:lang w:val="en-US" w:eastAsia="zh-CN"/>
        </w:rPr>
        <w:t>报警与推送要求</w:t>
      </w:r>
      <w:bookmarkEnd w:id="75"/>
    </w:p>
    <w:p w14:paraId="2F95952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报警与推送要求</w:t>
      </w:r>
      <w:r>
        <w:rPr>
          <w:rFonts w:hint="eastAsia"/>
          <w:lang w:val="en-US" w:eastAsia="zh-CN"/>
        </w:rPr>
        <w:t>如下：</w:t>
      </w:r>
    </w:p>
    <w:p w14:paraId="558329EE">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a）应支持异常事件多级报警，包括预警、告警、严重告警三级</w:t>
      </w:r>
      <w:r>
        <w:rPr>
          <w:rFonts w:hint="eastAsia"/>
          <w:lang w:val="en-US" w:eastAsia="zh-CN"/>
        </w:rPr>
        <w:t>；</w:t>
      </w:r>
    </w:p>
    <w:p w14:paraId="65AC846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b</w:t>
      </w:r>
      <w:r>
        <w:rPr>
          <w:rFonts w:hint="default"/>
          <w:lang w:val="en-US" w:eastAsia="zh-CN"/>
        </w:rPr>
        <w:t>）报警响应时间不应大于2s</w:t>
      </w:r>
      <w:r>
        <w:rPr>
          <w:rFonts w:hint="eastAsia"/>
          <w:lang w:val="en-US" w:eastAsia="zh-CN"/>
        </w:rPr>
        <w:t>；</w:t>
      </w:r>
    </w:p>
    <w:p w14:paraId="61525A0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c</w:t>
      </w:r>
      <w:r>
        <w:rPr>
          <w:rFonts w:hint="default"/>
          <w:lang w:val="en-US" w:eastAsia="zh-CN"/>
        </w:rPr>
        <w:t>）报警内容应包括：事件类型</w:t>
      </w:r>
      <w:r>
        <w:rPr>
          <w:rFonts w:hint="eastAsia"/>
          <w:lang w:val="en-US" w:eastAsia="zh-CN"/>
        </w:rPr>
        <w:t>、</w:t>
      </w:r>
      <w:r>
        <w:rPr>
          <w:rFonts w:hint="default"/>
          <w:lang w:val="en-US" w:eastAsia="zh-CN"/>
        </w:rPr>
        <w:t>事件级别</w:t>
      </w:r>
      <w:r>
        <w:rPr>
          <w:rFonts w:hint="eastAsia"/>
          <w:lang w:val="en-US" w:eastAsia="zh-CN"/>
        </w:rPr>
        <w:t>、</w:t>
      </w:r>
      <w:r>
        <w:rPr>
          <w:rFonts w:hint="default"/>
          <w:lang w:val="en-US" w:eastAsia="zh-CN"/>
        </w:rPr>
        <w:t>时间戳</w:t>
      </w:r>
      <w:r>
        <w:rPr>
          <w:rFonts w:hint="eastAsia"/>
          <w:lang w:val="en-US" w:eastAsia="zh-CN"/>
        </w:rPr>
        <w:t>、</w:t>
      </w:r>
      <w:r>
        <w:rPr>
          <w:rFonts w:hint="default"/>
          <w:lang w:val="en-US" w:eastAsia="zh-CN"/>
        </w:rPr>
        <w:t>数据快照</w:t>
      </w:r>
      <w:r>
        <w:rPr>
          <w:rFonts w:hint="eastAsia"/>
          <w:lang w:val="en-US" w:eastAsia="zh-CN"/>
        </w:rPr>
        <w:t>、</w:t>
      </w:r>
      <w:r>
        <w:rPr>
          <w:rFonts w:hint="default"/>
          <w:lang w:val="en-US" w:eastAsia="zh-CN"/>
        </w:rPr>
        <w:t>推荐处理措施</w:t>
      </w:r>
      <w:r>
        <w:rPr>
          <w:rFonts w:hint="eastAsia"/>
          <w:lang w:val="en-US" w:eastAsia="zh-CN"/>
        </w:rPr>
        <w:t>；</w:t>
      </w:r>
    </w:p>
    <w:p w14:paraId="3488916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d</w:t>
      </w:r>
      <w:r>
        <w:rPr>
          <w:rFonts w:hint="default"/>
          <w:lang w:val="en-US" w:eastAsia="zh-CN"/>
        </w:rPr>
        <w:t>）应支持向调度系统、主站系统、移动终端等平台推送报警数据。</w:t>
      </w:r>
    </w:p>
    <w:p w14:paraId="706BD0AD">
      <w:pPr>
        <w:pStyle w:val="110"/>
        <w:spacing w:before="120" w:after="120"/>
        <w:ind w:left="0" w:firstLine="0"/>
        <w:rPr>
          <w:rFonts w:hint="default"/>
          <w:lang w:val="en-US" w:eastAsia="zh-CN"/>
        </w:rPr>
      </w:pPr>
      <w:bookmarkStart w:id="76" w:name="_Toc19811"/>
      <w:r>
        <w:rPr>
          <w:rFonts w:hint="default"/>
          <w:lang w:val="en-US" w:eastAsia="zh-CN"/>
        </w:rPr>
        <w:t>安全与可信要求</w:t>
      </w:r>
      <w:bookmarkEnd w:id="76"/>
    </w:p>
    <w:p w14:paraId="707C0E1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安全与可信要求</w:t>
      </w:r>
      <w:r>
        <w:rPr>
          <w:rFonts w:hint="eastAsia"/>
          <w:lang w:val="en-US" w:eastAsia="zh-CN"/>
        </w:rPr>
        <w:t>如下：</w:t>
      </w:r>
    </w:p>
    <w:p w14:paraId="3D2343C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a）装置应支持数据加密、身份认证、权限分级管理功能，通信加密应不低于TLS 1.2</w:t>
      </w:r>
      <w:r>
        <w:rPr>
          <w:rFonts w:hint="eastAsia"/>
          <w:lang w:val="en-US" w:eastAsia="zh-CN"/>
        </w:rPr>
        <w:t>；</w:t>
      </w:r>
    </w:p>
    <w:p w14:paraId="0046A474">
      <w:pPr>
        <w:pStyle w:val="61"/>
        <w:keepNext w:val="0"/>
        <w:keepLines w:val="0"/>
        <w:pageBreakBefore w:val="0"/>
        <w:widowControl/>
        <w:tabs>
          <w:tab w:val="left" w:pos="8099"/>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b</w:t>
      </w:r>
      <w:r>
        <w:rPr>
          <w:rFonts w:hint="default"/>
          <w:lang w:val="en-US" w:eastAsia="zh-CN"/>
        </w:rPr>
        <w:t>）模型运行日志、数据处理日志应可审计，日志保存时间不应少于180天</w:t>
      </w:r>
      <w:r>
        <w:rPr>
          <w:rFonts w:hint="eastAsia"/>
          <w:lang w:val="en-US" w:eastAsia="zh-CN"/>
        </w:rPr>
        <w:t>；</w:t>
      </w:r>
    </w:p>
    <w:p w14:paraId="40C9FDB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c</w:t>
      </w:r>
      <w:r>
        <w:rPr>
          <w:rFonts w:hint="default"/>
          <w:lang w:val="en-US" w:eastAsia="zh-CN"/>
        </w:rPr>
        <w:t>）装置应防止恶意模型注入攻击和数据篡改，具备模型一致性校验功能</w:t>
      </w:r>
      <w:r>
        <w:rPr>
          <w:rFonts w:hint="eastAsia"/>
          <w:lang w:val="en-US" w:eastAsia="zh-CN"/>
        </w:rPr>
        <w:t>。</w:t>
      </w:r>
    </w:p>
    <w:p w14:paraId="5E09F794">
      <w:pPr>
        <w:pStyle w:val="109"/>
        <w:spacing w:before="240" w:after="240"/>
        <w:rPr>
          <w:rFonts w:hint="default"/>
          <w:szCs w:val="21"/>
          <w:lang w:val="en-US" w:eastAsia="zh-CN"/>
        </w:rPr>
      </w:pPr>
      <w:bookmarkStart w:id="77" w:name="_Toc7036"/>
      <w:r>
        <w:rPr>
          <w:rFonts w:hint="eastAsia"/>
          <w:szCs w:val="21"/>
          <w:lang w:val="en-US" w:eastAsia="zh-CN"/>
        </w:rPr>
        <w:t>电气安全要求</w:t>
      </w:r>
      <w:bookmarkEnd w:id="77"/>
    </w:p>
    <w:p w14:paraId="61D3D225">
      <w:pPr>
        <w:pStyle w:val="110"/>
        <w:spacing w:before="120" w:after="120"/>
        <w:ind w:left="0" w:firstLine="0"/>
        <w:rPr>
          <w:rFonts w:hint="eastAsia"/>
          <w:lang w:val="en-US" w:eastAsia="zh-CN"/>
        </w:rPr>
      </w:pPr>
      <w:bookmarkStart w:id="78" w:name="_Toc28193"/>
      <w:r>
        <w:rPr>
          <w:rFonts w:hint="eastAsia"/>
          <w:lang w:val="en-US" w:eastAsia="zh-CN"/>
        </w:rPr>
        <w:t>绝缘性能要求</w:t>
      </w:r>
      <w:bookmarkEnd w:id="78"/>
    </w:p>
    <w:p w14:paraId="6165E1D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ascii="宋体" w:hAnsi="宋体" w:eastAsia="宋体" w:cs="宋体"/>
          <w:lang w:val="en-US" w:eastAsia="zh-CN"/>
        </w:rPr>
      </w:pPr>
      <w:r>
        <w:rPr>
          <w:rFonts w:hint="eastAsia" w:ascii="宋体" w:hAnsi="宋体" w:eastAsia="宋体" w:cs="宋体"/>
          <w:lang w:val="en-US" w:eastAsia="zh-CN"/>
        </w:rPr>
        <w:t>装置与地之间的绝缘电阻应不低于1MΩ。</w:t>
      </w:r>
    </w:p>
    <w:p w14:paraId="47276626">
      <w:pPr>
        <w:pStyle w:val="110"/>
        <w:spacing w:before="120" w:after="120"/>
        <w:ind w:left="0" w:firstLine="0"/>
        <w:rPr>
          <w:rFonts w:hint="eastAsia"/>
          <w:lang w:val="en-US" w:eastAsia="zh-CN"/>
        </w:rPr>
      </w:pPr>
      <w:bookmarkStart w:id="79" w:name="_Toc30609"/>
      <w:r>
        <w:rPr>
          <w:rFonts w:hint="eastAsia"/>
          <w:lang w:val="en-US" w:eastAsia="zh-CN"/>
        </w:rPr>
        <w:t>接地要求</w:t>
      </w:r>
      <w:bookmarkEnd w:id="79"/>
    </w:p>
    <w:p w14:paraId="7E4DC55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在线监测与智能诊断装置的金属外壳应可靠接地，接地电阻应不大于4Ω。</w:t>
      </w:r>
    </w:p>
    <w:p w14:paraId="7A8F7A72">
      <w:pPr>
        <w:pStyle w:val="110"/>
        <w:spacing w:before="120" w:after="120"/>
        <w:ind w:left="0" w:firstLine="0"/>
        <w:rPr>
          <w:rFonts w:hint="eastAsia"/>
          <w:lang w:val="en-US" w:eastAsia="zh-CN"/>
        </w:rPr>
      </w:pPr>
      <w:bookmarkStart w:id="80" w:name="_Toc28309"/>
      <w:r>
        <w:rPr>
          <w:rFonts w:hint="eastAsia"/>
          <w:lang w:val="en-US" w:eastAsia="zh-CN"/>
        </w:rPr>
        <w:t>耐压性能要求</w:t>
      </w:r>
      <w:bookmarkEnd w:id="80"/>
    </w:p>
    <w:p w14:paraId="5246CF3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装置应具备过电压保护功能，其工作电压范围应满足AC 220V±10%或DC 110V/220V±20%的要求</w:t>
      </w:r>
      <w:r>
        <w:rPr>
          <w:rFonts w:hint="eastAsia"/>
          <w:lang w:val="en-US" w:eastAsia="zh-CN"/>
        </w:rPr>
        <w:t>。</w:t>
      </w:r>
    </w:p>
    <w:p w14:paraId="2A2F5405">
      <w:pPr>
        <w:pStyle w:val="110"/>
        <w:spacing w:before="120" w:after="120"/>
        <w:ind w:left="0" w:firstLine="0"/>
        <w:rPr>
          <w:rFonts w:hint="eastAsia"/>
          <w:lang w:val="en-US" w:eastAsia="zh-CN"/>
        </w:rPr>
      </w:pPr>
      <w:bookmarkStart w:id="81" w:name="_Toc18752"/>
      <w:r>
        <w:rPr>
          <w:rFonts w:hint="eastAsia"/>
          <w:lang w:val="en-US" w:eastAsia="zh-CN"/>
        </w:rPr>
        <w:t>泄漏电流要求</w:t>
      </w:r>
      <w:bookmarkEnd w:id="81"/>
    </w:p>
    <w:p w14:paraId="529EC1E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泄漏电流不应超过0.5mA。</w:t>
      </w:r>
    </w:p>
    <w:p w14:paraId="00CE1779">
      <w:pPr>
        <w:pStyle w:val="110"/>
        <w:spacing w:before="120" w:after="120"/>
        <w:ind w:left="0" w:firstLine="0"/>
        <w:rPr>
          <w:rFonts w:hint="eastAsia"/>
          <w:lang w:val="en-US" w:eastAsia="zh-CN"/>
        </w:rPr>
      </w:pPr>
      <w:bookmarkStart w:id="82" w:name="_Toc19718"/>
      <w:r>
        <w:rPr>
          <w:rFonts w:hint="eastAsia"/>
          <w:lang w:val="en-US" w:eastAsia="zh-CN"/>
        </w:rPr>
        <w:t>电磁兼容性要求</w:t>
      </w:r>
      <w:bookmarkEnd w:id="82"/>
    </w:p>
    <w:p w14:paraId="3CCC5F6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应具备对静电放电、射频电磁场辐射</w:t>
      </w:r>
      <w:r>
        <w:rPr>
          <w:rFonts w:hint="eastAsia"/>
          <w:lang w:val="en-US" w:eastAsia="zh-CN"/>
        </w:rPr>
        <w:t>、</w:t>
      </w:r>
      <w:r>
        <w:rPr>
          <w:rFonts w:hint="default"/>
          <w:lang w:val="en-US" w:eastAsia="zh-CN"/>
        </w:rPr>
        <w:t>电快速瞬变脉冲、浪涌干扰的抗扰能力</w:t>
      </w:r>
      <w:r>
        <w:rPr>
          <w:rFonts w:hint="eastAsia"/>
          <w:lang w:val="en-US" w:eastAsia="zh-CN"/>
        </w:rPr>
        <w:t>。</w:t>
      </w:r>
    </w:p>
    <w:p w14:paraId="0FD3731E">
      <w:pPr>
        <w:pStyle w:val="109"/>
        <w:spacing w:before="240" w:after="240"/>
        <w:rPr>
          <w:rFonts w:hint="default"/>
          <w:szCs w:val="21"/>
          <w:lang w:val="en-US" w:eastAsia="zh-CN"/>
        </w:rPr>
      </w:pPr>
      <w:bookmarkStart w:id="83" w:name="_Toc19852"/>
      <w:r>
        <w:rPr>
          <w:rFonts w:hint="eastAsia"/>
          <w:szCs w:val="21"/>
          <w:lang w:val="en-US" w:eastAsia="zh-CN"/>
        </w:rPr>
        <w:t>环境要求</w:t>
      </w:r>
      <w:bookmarkEnd w:id="83"/>
    </w:p>
    <w:p w14:paraId="6EFCB23D">
      <w:pPr>
        <w:pStyle w:val="110"/>
        <w:spacing w:before="120" w:after="120"/>
        <w:ind w:left="0" w:firstLine="0"/>
        <w:rPr>
          <w:rFonts w:hint="eastAsia"/>
          <w:lang w:val="en-US" w:eastAsia="zh-CN"/>
        </w:rPr>
      </w:pPr>
      <w:bookmarkStart w:id="84" w:name="_Toc4835"/>
      <w:r>
        <w:rPr>
          <w:rFonts w:hint="eastAsia"/>
          <w:lang w:val="en-US" w:eastAsia="zh-CN"/>
        </w:rPr>
        <w:t>温度要求</w:t>
      </w:r>
      <w:bookmarkEnd w:id="84"/>
    </w:p>
    <w:p w14:paraId="1DD688E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装置应能在-40℃～+70℃环境温度下正常工作。</w:t>
      </w:r>
    </w:p>
    <w:p w14:paraId="56351CF5">
      <w:pPr>
        <w:pStyle w:val="110"/>
        <w:spacing w:before="120" w:after="120"/>
        <w:ind w:left="0" w:firstLine="0"/>
        <w:rPr>
          <w:rFonts w:hint="eastAsia"/>
          <w:lang w:val="en-US" w:eastAsia="zh-CN"/>
        </w:rPr>
      </w:pPr>
      <w:bookmarkStart w:id="85" w:name="_Toc28374"/>
      <w:r>
        <w:rPr>
          <w:rFonts w:hint="eastAsia"/>
          <w:lang w:val="en-US" w:eastAsia="zh-CN"/>
        </w:rPr>
        <w:t>湿度要求</w:t>
      </w:r>
      <w:bookmarkEnd w:id="85"/>
    </w:p>
    <w:p w14:paraId="43BBDB4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装置应能在5%RH～95%RH环境湿度下正常工作。</w:t>
      </w:r>
    </w:p>
    <w:p w14:paraId="184112E6">
      <w:pPr>
        <w:pStyle w:val="110"/>
        <w:spacing w:before="120" w:after="120"/>
        <w:ind w:left="0" w:firstLine="0"/>
        <w:rPr>
          <w:rFonts w:hint="eastAsia"/>
          <w:lang w:val="en-US" w:eastAsia="zh-CN"/>
        </w:rPr>
      </w:pPr>
      <w:bookmarkStart w:id="86" w:name="_Toc5386"/>
      <w:r>
        <w:rPr>
          <w:rFonts w:hint="eastAsia"/>
          <w:lang w:val="en-US" w:eastAsia="zh-CN"/>
        </w:rPr>
        <w:t>防护等级要求</w:t>
      </w:r>
      <w:bookmarkEnd w:id="86"/>
    </w:p>
    <w:p w14:paraId="722B95E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装置的防护等级应不低于GB/T 4208中规定的IP54的要求。</w:t>
      </w:r>
    </w:p>
    <w:p w14:paraId="5A41068C">
      <w:pPr>
        <w:pStyle w:val="110"/>
        <w:spacing w:before="120" w:after="120"/>
        <w:ind w:left="0" w:firstLine="0"/>
        <w:rPr>
          <w:rFonts w:hint="eastAsia"/>
          <w:lang w:val="en-US" w:eastAsia="zh-CN"/>
        </w:rPr>
      </w:pPr>
      <w:bookmarkStart w:id="87" w:name="_Toc31354"/>
      <w:r>
        <w:rPr>
          <w:rFonts w:hint="eastAsia"/>
          <w:lang w:val="en-US" w:eastAsia="zh-CN"/>
        </w:rPr>
        <w:t>耐腐蚀性要求</w:t>
      </w:r>
      <w:bookmarkEnd w:id="87"/>
    </w:p>
    <w:p w14:paraId="2AFA069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装置</w:t>
      </w:r>
      <w:r>
        <w:rPr>
          <w:rFonts w:hint="default"/>
          <w:lang w:val="en-US" w:eastAsia="zh-CN"/>
        </w:rPr>
        <w:t>应能耐受中性盐雾试验96 h，不出现明显锈蚀</w:t>
      </w:r>
      <w:r>
        <w:rPr>
          <w:rFonts w:hint="eastAsia"/>
          <w:lang w:val="en-US" w:eastAsia="zh-CN"/>
        </w:rPr>
        <w:t>。</w:t>
      </w:r>
    </w:p>
    <w:p w14:paraId="339AB7AB">
      <w:pPr>
        <w:pStyle w:val="110"/>
        <w:spacing w:before="120" w:after="120"/>
        <w:ind w:left="0" w:firstLine="0"/>
        <w:rPr>
          <w:rFonts w:hint="eastAsia"/>
          <w:lang w:val="en-US" w:eastAsia="zh-CN"/>
        </w:rPr>
      </w:pPr>
      <w:bookmarkStart w:id="88" w:name="_Toc28531"/>
      <w:r>
        <w:rPr>
          <w:rFonts w:hint="eastAsia"/>
          <w:lang w:val="en-US" w:eastAsia="zh-CN"/>
        </w:rPr>
        <w:t>耐振动冲击要求</w:t>
      </w:r>
      <w:bookmarkEnd w:id="88"/>
    </w:p>
    <w:p w14:paraId="25BD7AF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装置应能够承受工作频率为2Hz～500Hz、振动加速度不超过10m/s²的振动环境；应能承受峰值加速度为1000m/s²的机械冲击而不发生损坏。</w:t>
      </w:r>
    </w:p>
    <w:p w14:paraId="34D5F781">
      <w:pPr>
        <w:pStyle w:val="110"/>
        <w:spacing w:before="120" w:after="120"/>
        <w:ind w:left="0" w:firstLine="0"/>
        <w:rPr>
          <w:rFonts w:hint="eastAsia"/>
          <w:lang w:val="en-US" w:eastAsia="zh-CN"/>
        </w:rPr>
      </w:pPr>
      <w:bookmarkStart w:id="89" w:name="_Toc22619"/>
      <w:r>
        <w:rPr>
          <w:rFonts w:hint="eastAsia"/>
          <w:lang w:val="en-US" w:eastAsia="zh-CN"/>
        </w:rPr>
        <w:t>海拔要求</w:t>
      </w:r>
      <w:bookmarkEnd w:id="89"/>
    </w:p>
    <w:p w14:paraId="36C00D1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default"/>
          <w:lang w:val="en-US" w:eastAsia="zh-CN"/>
        </w:rPr>
        <w:t>装置应能够在高海拔环境下正常工作，最高工作海拔应不低于3000m</w:t>
      </w:r>
      <w:r>
        <w:rPr>
          <w:rFonts w:hint="eastAsia"/>
          <w:lang w:val="en-US" w:eastAsia="zh-CN"/>
        </w:rPr>
        <w:t>。</w:t>
      </w:r>
    </w:p>
    <w:p w14:paraId="555B4B95">
      <w:pPr>
        <w:pStyle w:val="109"/>
        <w:spacing w:before="240" w:after="240"/>
        <w:rPr>
          <w:rFonts w:hint="default"/>
          <w:szCs w:val="21"/>
          <w:lang w:val="en-US" w:eastAsia="zh-CN"/>
        </w:rPr>
      </w:pPr>
      <w:bookmarkStart w:id="90" w:name="_Toc24350"/>
      <w:r>
        <w:rPr>
          <w:rFonts w:hint="eastAsia"/>
          <w:szCs w:val="21"/>
          <w:lang w:val="en-US" w:eastAsia="zh-CN"/>
        </w:rPr>
        <w:t>可靠性要求</w:t>
      </w:r>
      <w:bookmarkEnd w:id="90"/>
    </w:p>
    <w:p w14:paraId="198F004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装置应通过72h以上连续运行试验，平均无故障时间应不小于50000h</w:t>
      </w:r>
      <w:r>
        <w:rPr>
          <w:rFonts w:hint="eastAsia"/>
          <w:lang w:val="en-US" w:eastAsia="zh-CN"/>
        </w:rPr>
        <w:t>。</w:t>
      </w:r>
    </w:p>
    <w:p w14:paraId="589AC037">
      <w:pPr>
        <w:pStyle w:val="109"/>
        <w:spacing w:before="240" w:after="240"/>
        <w:rPr>
          <w:rFonts w:hint="default"/>
          <w:szCs w:val="21"/>
          <w:lang w:val="en-US" w:eastAsia="zh-CN"/>
        </w:rPr>
      </w:pPr>
      <w:bookmarkStart w:id="91" w:name="_Toc31634"/>
      <w:r>
        <w:rPr>
          <w:rFonts w:hint="eastAsia"/>
          <w:szCs w:val="21"/>
          <w:lang w:val="en-US" w:eastAsia="zh-CN"/>
        </w:rPr>
        <w:t>试验方法</w:t>
      </w:r>
      <w:bookmarkEnd w:id="91"/>
    </w:p>
    <w:p w14:paraId="3458C2D8">
      <w:pPr>
        <w:pStyle w:val="110"/>
        <w:spacing w:before="120" w:after="120"/>
        <w:rPr>
          <w:rFonts w:hint="default"/>
          <w:lang w:val="en-US" w:eastAsia="zh-CN"/>
        </w:rPr>
      </w:pPr>
      <w:bookmarkStart w:id="92" w:name="_Toc29805"/>
      <w:r>
        <w:rPr>
          <w:rFonts w:hint="eastAsia"/>
          <w:lang w:val="en-US" w:eastAsia="zh-CN"/>
        </w:rPr>
        <w:t>在线监测装置试验</w:t>
      </w:r>
      <w:bookmarkEnd w:id="92"/>
    </w:p>
    <w:p w14:paraId="3447AD80">
      <w:pPr>
        <w:pStyle w:val="61"/>
        <w:ind w:left="0" w:leftChars="0" w:firstLine="0" w:firstLineChars="0"/>
        <w:rPr>
          <w:rFonts w:hint="eastAsia"/>
          <w:lang w:val="en-US" w:eastAsia="zh-CN"/>
        </w:rPr>
      </w:pPr>
      <w:r>
        <w:rPr>
          <w:rFonts w:hint="eastAsia"/>
          <w:lang w:val="en-US" w:eastAsia="zh-CN"/>
        </w:rPr>
        <w:t>9.1.1 一般要求试验</w:t>
      </w:r>
    </w:p>
    <w:p w14:paraId="126BCBEF">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上电后，触发装置自检程序或通过内置自检命令，观察并记录自检结果，确认有无异常报警。</w:t>
      </w:r>
    </w:p>
    <w:p w14:paraId="3A972F0C">
      <w:pPr>
        <w:pStyle w:val="61"/>
        <w:ind w:left="0" w:leftChars="0" w:firstLine="0" w:firstLineChars="0"/>
        <w:rPr>
          <w:rFonts w:hint="eastAsia"/>
          <w:lang w:val="en-US" w:eastAsia="zh-CN"/>
        </w:rPr>
      </w:pPr>
      <w:r>
        <w:rPr>
          <w:rFonts w:hint="eastAsia"/>
          <w:lang w:val="en-US" w:eastAsia="zh-CN"/>
        </w:rPr>
        <w:t>9.1.2 监测功能试验</w:t>
      </w:r>
    </w:p>
    <w:p w14:paraId="1CC439B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按产品技术文件列明的各监测功能枚举所有传感器和通道，逐项接入校准设备或模拟信号源，按下列测值点输入标准信号（见各项性能试验），观察并记录装置是否能识别并正确显示/记录相应测量量。</w:t>
      </w:r>
    </w:p>
    <w:p w14:paraId="26345192">
      <w:pPr>
        <w:pStyle w:val="61"/>
        <w:ind w:left="0" w:leftChars="0" w:firstLine="0" w:firstLineChars="0"/>
        <w:rPr>
          <w:rFonts w:hint="eastAsia"/>
          <w:lang w:val="en-US" w:eastAsia="zh-CN"/>
        </w:rPr>
      </w:pPr>
      <w:r>
        <w:rPr>
          <w:rFonts w:hint="eastAsia"/>
          <w:lang w:val="en-US" w:eastAsia="zh-CN"/>
        </w:rPr>
        <w:t>9.1.3 测量性能试验</w:t>
      </w:r>
    </w:p>
    <w:p w14:paraId="72CB50CA">
      <w:pPr>
        <w:pStyle w:val="61"/>
        <w:ind w:left="0" w:leftChars="0" w:firstLine="0" w:firstLineChars="0"/>
        <w:rPr>
          <w:rFonts w:hint="eastAsia"/>
          <w:lang w:val="en-US" w:eastAsia="zh-CN"/>
        </w:rPr>
      </w:pPr>
      <w:r>
        <w:rPr>
          <w:rFonts w:hint="eastAsia"/>
          <w:lang w:val="en-US" w:eastAsia="zh-CN"/>
        </w:rPr>
        <w:t>9.1.3.1 温度测量性能试验</w:t>
      </w:r>
    </w:p>
    <w:p w14:paraId="26E8D6E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1F9DFB7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a）将被测温度传感器置于温度校准炉中，按下列温度点依次稳定并记录（典型点：-40℃、0℃、25℃、70℃、120℃、180℃）；</w:t>
      </w:r>
    </w:p>
    <w:p w14:paraId="2205B42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b）每一稳态点稳定后记录装置显示值与标准传感器读数，重复测量3次取平均；</w:t>
      </w:r>
    </w:p>
    <w:p w14:paraId="5FFCBC02">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c）检查装置采样周期设置，记录实时记录间隔时间。</w:t>
      </w:r>
    </w:p>
    <w:p w14:paraId="5FB5549C">
      <w:pPr>
        <w:pStyle w:val="61"/>
        <w:ind w:left="0" w:leftChars="0" w:firstLine="0" w:firstLineChars="0"/>
        <w:rPr>
          <w:rFonts w:hint="eastAsia"/>
          <w:lang w:val="en-US" w:eastAsia="zh-CN"/>
        </w:rPr>
      </w:pPr>
      <w:r>
        <w:rPr>
          <w:rFonts w:hint="eastAsia"/>
          <w:lang w:val="en-US" w:eastAsia="zh-CN"/>
        </w:rPr>
        <w:t>9.1.3.2 局部放电测量性能试验</w:t>
      </w:r>
    </w:p>
    <w:p w14:paraId="74803F8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应按照DL/T 417的规定执行。</w:t>
      </w:r>
    </w:p>
    <w:p w14:paraId="67DBF39F">
      <w:pPr>
        <w:pStyle w:val="61"/>
        <w:ind w:left="0" w:leftChars="0" w:firstLine="0" w:firstLineChars="0"/>
        <w:rPr>
          <w:rFonts w:hint="eastAsia"/>
          <w:lang w:val="en-US" w:eastAsia="zh-CN"/>
        </w:rPr>
      </w:pPr>
      <w:r>
        <w:rPr>
          <w:rFonts w:hint="eastAsia"/>
          <w:lang w:val="en-US" w:eastAsia="zh-CN"/>
        </w:rPr>
        <w:t>9.1.3.3 电气参数测量性能试验</w:t>
      </w:r>
    </w:p>
    <w:p w14:paraId="1869CB7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6E6F71D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a）电压误差测试：在额定量程内选择10%、50%、100%（及过载点）等测量点输入标准电压，记录装置测量值与标准仪器读数，重复3次；</w:t>
      </w:r>
    </w:p>
    <w:p w14:paraId="0091FF8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b）电流误差测试：参照电压测试，按多个点输入并记录；</w:t>
      </w:r>
    </w:p>
    <w:p w14:paraId="0D466CC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c）谐波测试：使用谐波发生器产生2～25次谐波，测试装置对各次谐波的测量能力与总体谐波含量（THD）计算。</w:t>
      </w:r>
    </w:p>
    <w:p w14:paraId="41C4E77D">
      <w:pPr>
        <w:pStyle w:val="61"/>
        <w:ind w:left="0" w:leftChars="0" w:firstLine="0" w:firstLineChars="0"/>
        <w:rPr>
          <w:rFonts w:hint="eastAsia"/>
          <w:lang w:val="en-US" w:eastAsia="zh-CN"/>
        </w:rPr>
      </w:pPr>
      <w:r>
        <w:rPr>
          <w:rFonts w:hint="eastAsia"/>
          <w:lang w:val="en-US" w:eastAsia="zh-CN"/>
        </w:rPr>
        <w:t>9.1.3.4 振动监测性能试验</w:t>
      </w:r>
    </w:p>
    <w:p w14:paraId="1603CCD4">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52F46806">
      <w:pPr>
        <w:pStyle w:val="61"/>
        <w:keepNext w:val="0"/>
        <w:keepLines w:val="0"/>
        <w:pageBreakBefore w:val="0"/>
        <w:widowControl/>
        <w:numPr>
          <w:ilvl w:val="0"/>
          <w:numId w:val="32"/>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将振动传感器安装在振动台上；</w:t>
      </w:r>
    </w:p>
    <w:p w14:paraId="5E6E61BA">
      <w:pPr>
        <w:pStyle w:val="61"/>
        <w:keepNext w:val="0"/>
        <w:keepLines w:val="0"/>
        <w:pageBreakBefore w:val="0"/>
        <w:widowControl/>
        <w:numPr>
          <w:ilvl w:val="0"/>
          <w:numId w:val="32"/>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在5Hz、10Hz、50Hz、100Hz、500Hz、1kHz施加已知幅值振动，记录被测装置输出值与标准加速度计读数；</w:t>
      </w:r>
    </w:p>
    <w:p w14:paraId="6A46360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c）对高频信号进行采样并FFT分析，验证采样频率和频带覆盖。</w:t>
      </w:r>
    </w:p>
    <w:p w14:paraId="2E1E026E">
      <w:pPr>
        <w:pStyle w:val="61"/>
        <w:ind w:left="0" w:leftChars="0" w:firstLine="0" w:firstLineChars="0"/>
        <w:rPr>
          <w:rFonts w:hint="eastAsia"/>
          <w:lang w:val="en-US" w:eastAsia="zh-CN"/>
        </w:rPr>
      </w:pPr>
      <w:r>
        <w:rPr>
          <w:rFonts w:hint="eastAsia"/>
          <w:lang w:val="en-US" w:eastAsia="zh-CN"/>
        </w:rPr>
        <w:t>9.1.3.5 SF</w:t>
      </w:r>
      <w:r>
        <w:rPr>
          <w:rFonts w:hint="eastAsia"/>
          <w:vertAlign w:val="subscript"/>
          <w:lang w:val="en-US" w:eastAsia="zh-CN"/>
        </w:rPr>
        <w:t>6</w:t>
      </w:r>
      <w:r>
        <w:rPr>
          <w:rFonts w:hint="eastAsia"/>
          <w:lang w:val="en-US" w:eastAsia="zh-CN"/>
        </w:rPr>
        <w:t>气体监测性能试验</w:t>
      </w:r>
    </w:p>
    <w:p w14:paraId="0CF6F28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26BD262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a）按照校准装置将SF</w:t>
      </w:r>
      <w:r>
        <w:rPr>
          <w:rFonts w:hint="eastAsia"/>
          <w:vertAlign w:val="subscript"/>
          <w:lang w:val="en-US" w:eastAsia="zh-CN"/>
        </w:rPr>
        <w:t>6</w:t>
      </w:r>
      <w:r>
        <w:rPr>
          <w:rFonts w:hint="eastAsia"/>
          <w:lang w:val="en-US" w:eastAsia="zh-CN"/>
        </w:rPr>
        <w:t>气体或模拟气体调至标准点（如25%、50%、75%、100%FS或对应压力点）；</w:t>
      </w:r>
    </w:p>
    <w:p w14:paraId="6C2384F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b）在每一校准点记录监测装置读数并与标准仪器比较，重复3次取平均；</w:t>
      </w:r>
    </w:p>
    <w:p w14:paraId="5F3BF883">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c）检验泄漏报警：逐步降低气体密度并记录装置在何种年化相对密度变化率下触发泄漏报警。</w:t>
      </w:r>
    </w:p>
    <w:p w14:paraId="5D87BCC4">
      <w:pPr>
        <w:pStyle w:val="61"/>
        <w:ind w:left="0" w:leftChars="0" w:firstLine="0" w:firstLineChars="0"/>
        <w:rPr>
          <w:rFonts w:hint="eastAsia"/>
          <w:lang w:val="en-US" w:eastAsia="zh-CN"/>
        </w:rPr>
      </w:pPr>
      <w:r>
        <w:rPr>
          <w:rFonts w:hint="eastAsia"/>
          <w:lang w:val="en-US" w:eastAsia="zh-CN"/>
        </w:rPr>
        <w:t>9.1.3.6 湿度监测性能试验</w:t>
      </w:r>
    </w:p>
    <w:p w14:paraId="232F09C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0E2C5D7F">
      <w:pPr>
        <w:pStyle w:val="61"/>
        <w:keepNext w:val="0"/>
        <w:keepLines w:val="0"/>
        <w:pageBreakBefore w:val="0"/>
        <w:widowControl/>
        <w:numPr>
          <w:ilvl w:val="0"/>
          <w:numId w:val="33"/>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将湿度传感器置于恒温恒湿箱中，按10%、30%、50%、75%、95%RH等点稳定并记录装置读数与标准传感器读数；</w:t>
      </w:r>
    </w:p>
    <w:p w14:paraId="12664BAA">
      <w:pPr>
        <w:pStyle w:val="61"/>
        <w:keepNext w:val="0"/>
        <w:keepLines w:val="0"/>
        <w:pageBreakBefore w:val="0"/>
        <w:widowControl/>
        <w:numPr>
          <w:ilvl w:val="0"/>
          <w:numId w:val="33"/>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每点稳定后重复采样并计算平均值。</w:t>
      </w:r>
    </w:p>
    <w:p w14:paraId="4D28D25B">
      <w:pPr>
        <w:pStyle w:val="61"/>
        <w:ind w:left="0" w:leftChars="0" w:firstLine="0" w:firstLineChars="0"/>
        <w:rPr>
          <w:rFonts w:hint="eastAsia"/>
          <w:lang w:val="en-US" w:eastAsia="zh-CN"/>
        </w:rPr>
      </w:pPr>
      <w:r>
        <w:rPr>
          <w:rFonts w:hint="eastAsia"/>
          <w:lang w:val="en-US" w:eastAsia="zh-CN"/>
        </w:rPr>
        <w:t>9.1.4 数据采集与存储试验</w:t>
      </w:r>
    </w:p>
    <w:p w14:paraId="4F019D3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5863066F">
      <w:pPr>
        <w:pStyle w:val="61"/>
        <w:keepNext w:val="0"/>
        <w:keepLines w:val="0"/>
        <w:pageBreakBefore w:val="0"/>
        <w:widowControl/>
        <w:numPr>
          <w:ilvl w:val="0"/>
          <w:numId w:val="34"/>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分别在多个通道注入不同模拟信号，验证采样精度；</w:t>
      </w:r>
    </w:p>
    <w:p w14:paraId="273465DB">
      <w:pPr>
        <w:pStyle w:val="61"/>
        <w:keepNext w:val="0"/>
        <w:keepLines w:val="0"/>
        <w:pageBreakBefore w:val="0"/>
        <w:widowControl/>
        <w:numPr>
          <w:ilvl w:val="0"/>
          <w:numId w:val="34"/>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设置记录间隔为1s或更短，运行24h，检查记录完整性与时间戳精确性；</w:t>
      </w:r>
    </w:p>
    <w:p w14:paraId="2C20D542">
      <w:pPr>
        <w:pStyle w:val="61"/>
        <w:keepNext w:val="0"/>
        <w:keepLines w:val="0"/>
        <w:pageBreakBefore w:val="0"/>
        <w:widowControl/>
        <w:numPr>
          <w:ilvl w:val="0"/>
          <w:numId w:val="34"/>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将数据导出为二进制或JSON格式，使用解析工具读取并验证字段一致性与可解析性；</w:t>
      </w:r>
    </w:p>
    <w:p w14:paraId="5E9173BC">
      <w:pPr>
        <w:pStyle w:val="61"/>
        <w:keepNext w:val="0"/>
        <w:keepLines w:val="0"/>
        <w:pageBreakBefore w:val="0"/>
        <w:widowControl/>
        <w:numPr>
          <w:ilvl w:val="0"/>
          <w:numId w:val="34"/>
        </w:numPr>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检验本地存储容量：写满32GB数据或模拟1年典型数据量，确认数据保存与循环覆盖策略。</w:t>
      </w:r>
    </w:p>
    <w:p w14:paraId="19657654">
      <w:pPr>
        <w:pStyle w:val="110"/>
        <w:spacing w:before="120" w:after="120"/>
        <w:rPr>
          <w:rFonts w:hint="eastAsia"/>
          <w:lang w:val="en-US" w:eastAsia="zh-CN"/>
        </w:rPr>
      </w:pPr>
      <w:bookmarkStart w:id="93" w:name="_Toc15845"/>
      <w:r>
        <w:rPr>
          <w:rFonts w:hint="eastAsia"/>
          <w:lang w:val="en-US" w:eastAsia="zh-CN"/>
        </w:rPr>
        <w:t>智能诊断装置试验</w:t>
      </w:r>
      <w:bookmarkEnd w:id="93"/>
    </w:p>
    <w:p w14:paraId="67CEC4DF">
      <w:pPr>
        <w:pStyle w:val="61"/>
        <w:ind w:left="0" w:leftChars="0" w:firstLine="0" w:firstLineChars="0"/>
        <w:rPr>
          <w:rFonts w:hint="eastAsia"/>
          <w:lang w:val="en-US" w:eastAsia="zh-CN"/>
        </w:rPr>
      </w:pPr>
      <w:r>
        <w:rPr>
          <w:rFonts w:hint="eastAsia"/>
          <w:lang w:val="en-US" w:eastAsia="zh-CN"/>
        </w:rPr>
        <w:t>9.2.1 数据处理能力试验</w:t>
      </w:r>
    </w:p>
    <w:p w14:paraId="00F8A29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应按照以下方法进行：</w:t>
      </w:r>
    </w:p>
    <w:p w14:paraId="20032418">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a）吞吐量与延迟测试：用数据流发生器按以下负载等级逐级发送模拟监测数据：1×（10万条/日等效峰值）、5×、10×（峰值放大）。记录系统接收并完成一条记录从入队到诊断输出的端到端处理延迟；</w:t>
      </w:r>
    </w:p>
    <w:p w14:paraId="475E9019">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b）测试持续时间不少于30min，每个负载点记录延迟分布；</w:t>
      </w:r>
    </w:p>
    <w:p w14:paraId="3293BED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c）批量分析测试：准备1万条/10万条/20万条历史记录的批量数据，触发批量分析任务并记录总处理时间；</w:t>
      </w:r>
    </w:p>
    <w:p w14:paraId="089C310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d）缓存与存储测试：向装置持续写入模拟监测数据，直至装置内置缓存写满，检测写入性能与环回覆盖策略，验证与服务器之间的数据交互功能是否正常；</w:t>
      </w:r>
    </w:p>
    <w:p w14:paraId="73FA054F">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e）高频数据流测试：模拟局放或振动类高频数据，产生速率≥1GB/min的数据流，持续至少10min，观察是否发生丢包、延迟骤变或处理阻塞。</w:t>
      </w:r>
    </w:p>
    <w:p w14:paraId="1E66EF99">
      <w:pPr>
        <w:pStyle w:val="61"/>
        <w:ind w:left="0" w:leftChars="0" w:firstLine="0" w:firstLineChars="0"/>
        <w:rPr>
          <w:rFonts w:hint="eastAsia"/>
          <w:lang w:val="en-US" w:eastAsia="zh-CN"/>
        </w:rPr>
      </w:pPr>
      <w:r>
        <w:rPr>
          <w:rFonts w:hint="eastAsia"/>
          <w:lang w:val="en-US" w:eastAsia="zh-CN"/>
        </w:rPr>
        <w:t>9.2.2 诊断模型验证试验</w:t>
      </w:r>
    </w:p>
    <w:p w14:paraId="197A5CC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589C56A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a）数据准备：准备≥100组经人工/专家标注的验证样本，并保证样本覆盖率与设备实际故障分布相近；</w:t>
      </w:r>
    </w:p>
    <w:p w14:paraId="66D8988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b）模型部署：将待测模型在目标诊断装置上部署为生产运行态。记录模型版本号、训练数据描述、训练/验证精度等元数据；</w:t>
      </w:r>
    </w:p>
    <w:p w14:paraId="50EF8BD5">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c）离线验证：将验证集输入装置的离线诊断接口或将模型导出至评测平台，运行整套诊断流程并记录每个样本的预测结果及置信度；</w:t>
      </w:r>
    </w:p>
    <w:p w14:paraId="18C0AF4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d）指标计算：计算故障识别准确率、缺陷等级判断一致性、趋势预测误差与寿命预测偏差。</w:t>
      </w:r>
    </w:p>
    <w:p w14:paraId="5A4DC131">
      <w:pPr>
        <w:pStyle w:val="61"/>
        <w:ind w:left="0" w:leftChars="0" w:firstLine="0" w:firstLineChars="0"/>
        <w:rPr>
          <w:rFonts w:hint="eastAsia"/>
          <w:lang w:val="en-US" w:eastAsia="zh-CN"/>
        </w:rPr>
      </w:pPr>
      <w:r>
        <w:rPr>
          <w:rFonts w:hint="eastAsia"/>
          <w:lang w:val="en-US" w:eastAsia="zh-CN"/>
        </w:rPr>
        <w:t>9.2.3 诊断功能试验</w:t>
      </w:r>
    </w:p>
    <w:p w14:paraId="38FADE21">
      <w:pPr>
        <w:pStyle w:val="61"/>
        <w:ind w:left="0" w:leftChars="0" w:firstLine="0" w:firstLineChars="0"/>
        <w:rPr>
          <w:rFonts w:hint="eastAsia"/>
          <w:lang w:val="en-US" w:eastAsia="zh-CN"/>
        </w:rPr>
      </w:pPr>
      <w:r>
        <w:rPr>
          <w:rFonts w:hint="eastAsia"/>
          <w:lang w:val="en-US" w:eastAsia="zh-CN"/>
        </w:rPr>
        <w:t>9.2.3.1 故障识别能力试验</w:t>
      </w:r>
    </w:p>
    <w:p w14:paraId="62D406FA">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采用仿真或注入手段对装置进行测试，至少覆盖5类常见故障</w:t>
      </w:r>
      <w:r>
        <w:rPr>
          <w:rFonts w:hint="eastAsia"/>
          <w:lang w:val="en-US" w:eastAsia="zh-CN"/>
        </w:rPr>
        <w:t>，</w:t>
      </w:r>
      <w:r>
        <w:rPr>
          <w:rFonts w:hint="default"/>
          <w:lang w:val="en-US" w:eastAsia="zh-CN"/>
        </w:rPr>
        <w:t>对每种故障运行10次，记录识别结果、故障等级和置信度。</w:t>
      </w:r>
    </w:p>
    <w:p w14:paraId="3717713B">
      <w:pPr>
        <w:pStyle w:val="61"/>
        <w:ind w:left="0" w:leftChars="0" w:firstLine="0" w:firstLineChars="0"/>
        <w:rPr>
          <w:rFonts w:hint="eastAsia"/>
          <w:lang w:val="en-US" w:eastAsia="zh-CN"/>
        </w:rPr>
      </w:pPr>
      <w:r>
        <w:rPr>
          <w:rFonts w:hint="eastAsia"/>
          <w:lang w:val="en-US" w:eastAsia="zh-CN"/>
        </w:rPr>
        <w:t>9.2.3.2 趋势分析试验</w:t>
      </w:r>
    </w:p>
    <w:p w14:paraId="7D374586">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使用历史数据或合成数据模拟逐步演变的趋势，验证装置能否正确绘制趋势曲线并在规定周期更新一次。</w:t>
      </w:r>
    </w:p>
    <w:p w14:paraId="05B80011">
      <w:pPr>
        <w:pStyle w:val="61"/>
        <w:ind w:left="0" w:leftChars="0" w:firstLine="0" w:firstLineChars="0"/>
        <w:rPr>
          <w:rFonts w:hint="eastAsia"/>
          <w:lang w:val="en-US" w:eastAsia="zh-CN"/>
        </w:rPr>
      </w:pPr>
      <w:r>
        <w:rPr>
          <w:rFonts w:hint="eastAsia"/>
          <w:lang w:val="en-US" w:eastAsia="zh-CN"/>
        </w:rPr>
        <w:t>9.2.3.3 健康指数评估验证</w:t>
      </w:r>
    </w:p>
    <w:p w14:paraId="0230B5A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输入不同故障/正常场景数据，核算装置给出的HI值与人工/专家评估结果的一致性，至少准备30组场景进行对比验证。</w:t>
      </w:r>
    </w:p>
    <w:p w14:paraId="29F66983">
      <w:pPr>
        <w:pStyle w:val="61"/>
        <w:ind w:left="0" w:leftChars="0" w:firstLine="0" w:firstLineChars="0"/>
        <w:rPr>
          <w:rFonts w:hint="eastAsia"/>
          <w:lang w:val="en-US" w:eastAsia="zh-CN"/>
        </w:rPr>
      </w:pPr>
      <w:r>
        <w:rPr>
          <w:rFonts w:hint="eastAsia"/>
          <w:lang w:val="en-US" w:eastAsia="zh-CN"/>
        </w:rPr>
        <w:t>9.2.3.4 寿命预测试验</w:t>
      </w:r>
    </w:p>
    <w:p w14:paraId="41708F3C">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对于支持RUL的模型，使用历史退化数据进行回放，比较装置输出的剩余寿命预测与已知退役时间或专家估计值的误差。</w:t>
      </w:r>
    </w:p>
    <w:p w14:paraId="4F8B68AF">
      <w:pPr>
        <w:pStyle w:val="61"/>
        <w:ind w:left="0" w:leftChars="0" w:firstLine="0" w:firstLineChars="0"/>
        <w:rPr>
          <w:rFonts w:hint="eastAsia"/>
          <w:lang w:val="en-US" w:eastAsia="zh-CN"/>
        </w:rPr>
      </w:pPr>
      <w:r>
        <w:rPr>
          <w:rFonts w:hint="eastAsia"/>
          <w:lang w:val="en-US" w:eastAsia="zh-CN"/>
        </w:rPr>
        <w:t>9.2.4 报警与推送功能试验</w:t>
      </w:r>
    </w:p>
    <w:p w14:paraId="1508DF20">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应按照以下步骤进行：</w:t>
      </w:r>
    </w:p>
    <w:p w14:paraId="78B7FEEE">
      <w:pPr>
        <w:pStyle w:val="61"/>
        <w:keepNext w:val="0"/>
        <w:keepLines w:val="0"/>
        <w:pageBreakBefore w:val="0"/>
        <w:widowControl/>
        <w:numPr>
          <w:ilvl w:val="0"/>
          <w:numId w:val="35"/>
        </w:numPr>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报警触发测试：人为或模拟触发预警、告警、严重告警三级事件，记录装置从触发到报警输出的时间戳；</w:t>
      </w:r>
    </w:p>
    <w:p w14:paraId="7DD9BB4A">
      <w:pPr>
        <w:pStyle w:val="61"/>
        <w:keepNext w:val="0"/>
        <w:keepLines w:val="0"/>
        <w:pageBreakBefore w:val="0"/>
        <w:widowControl/>
        <w:numPr>
          <w:ilvl w:val="0"/>
          <w:numId w:val="0"/>
        </w:numPr>
        <w:kinsoku/>
        <w:wordWrap/>
        <w:overflowPunct/>
        <w:topLinePunct w:val="0"/>
        <w:autoSpaceDE w:val="0"/>
        <w:autoSpaceDN w:val="0"/>
        <w:bidi w:val="0"/>
        <w:adjustRightInd/>
        <w:snapToGrid/>
        <w:ind w:leftChars="0" w:firstLine="420" w:firstLineChars="200"/>
        <w:textAlignment w:val="auto"/>
        <w:rPr>
          <w:rFonts w:hint="eastAsia"/>
          <w:lang w:val="en-US" w:eastAsia="zh-CN"/>
        </w:rPr>
      </w:pPr>
      <w:r>
        <w:rPr>
          <w:rFonts w:hint="eastAsia"/>
          <w:lang w:val="en-US" w:eastAsia="zh-CN"/>
        </w:rPr>
        <w:t>b）报警内容核验：核验报警消息包含事件类型、级别、时间戳、数据快照及推荐处理措施，确保字段完整且可解析；</w:t>
      </w:r>
    </w:p>
    <w:p w14:paraId="3ED3F8D1">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c）推送测试：将报警推送到模拟的调度系统、主站系统与移动终端，确认推送成功率与接收端的响应；</w:t>
      </w:r>
    </w:p>
    <w:p w14:paraId="4B728C9B">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d）并发报警测试：在短时间内触发大量报警，验证系统的吞吐能力与报警不丢失性。</w:t>
      </w:r>
    </w:p>
    <w:p w14:paraId="6462B8BA">
      <w:pPr>
        <w:pStyle w:val="61"/>
        <w:ind w:left="0" w:leftChars="0" w:firstLine="0" w:firstLineChars="0"/>
        <w:rPr>
          <w:rFonts w:hint="eastAsia"/>
          <w:lang w:val="en-US" w:eastAsia="zh-CN"/>
        </w:rPr>
      </w:pPr>
      <w:r>
        <w:rPr>
          <w:rFonts w:hint="eastAsia"/>
          <w:lang w:val="en-US" w:eastAsia="zh-CN"/>
        </w:rPr>
        <w:t>9.2.5 安全与可信性试验</w:t>
      </w:r>
    </w:p>
    <w:p w14:paraId="7CC762C7">
      <w:pPr>
        <w:pStyle w:val="61"/>
        <w:keepNext w:val="0"/>
        <w:keepLines w:val="0"/>
        <w:pageBreakBefore w:val="0"/>
        <w:widowControl/>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应按照GB/T 45577的规定执行。</w:t>
      </w:r>
    </w:p>
    <w:p w14:paraId="1EC7A48C">
      <w:pPr>
        <w:pStyle w:val="110"/>
        <w:spacing w:before="120" w:after="120"/>
        <w:rPr>
          <w:rFonts w:hint="default"/>
          <w:lang w:val="en-US" w:eastAsia="zh-CN"/>
        </w:rPr>
      </w:pPr>
      <w:bookmarkStart w:id="94" w:name="_Toc10579"/>
      <w:r>
        <w:rPr>
          <w:rFonts w:hint="default"/>
          <w:lang w:val="en-US" w:eastAsia="zh-CN"/>
        </w:rPr>
        <w:t>电气安全试验</w:t>
      </w:r>
      <w:bookmarkEnd w:id="94"/>
    </w:p>
    <w:p w14:paraId="353814D3">
      <w:pPr>
        <w:pStyle w:val="61"/>
        <w:ind w:left="0" w:leftChars="0" w:firstLine="0" w:firstLineChars="0"/>
        <w:rPr>
          <w:rFonts w:hint="eastAsia"/>
          <w:lang w:val="en-US" w:eastAsia="zh-CN"/>
        </w:rPr>
      </w:pPr>
      <w:r>
        <w:rPr>
          <w:rFonts w:hint="eastAsia"/>
          <w:lang w:val="en-US" w:eastAsia="zh-CN"/>
        </w:rPr>
        <w:t>9.3.1 绝缘性能试验</w:t>
      </w:r>
    </w:p>
    <w:p w14:paraId="449AD5EF">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应按照GB/T 24343</w:t>
      </w:r>
      <w:r>
        <w:rPr>
          <w:rFonts w:hint="eastAsia"/>
          <w:lang w:val="en-US" w:eastAsia="zh-CN"/>
        </w:rPr>
        <w:t>的规定进行。</w:t>
      </w:r>
    </w:p>
    <w:p w14:paraId="323207B1">
      <w:pPr>
        <w:pStyle w:val="61"/>
        <w:ind w:left="0" w:leftChars="0" w:firstLine="0" w:firstLineChars="0"/>
        <w:rPr>
          <w:rFonts w:hint="eastAsia"/>
          <w:lang w:val="en-US" w:eastAsia="zh-CN"/>
        </w:rPr>
      </w:pPr>
      <w:r>
        <w:rPr>
          <w:rFonts w:hint="eastAsia"/>
          <w:lang w:val="en-US" w:eastAsia="zh-CN"/>
        </w:rPr>
        <w:t>9.3.2 接地试验</w:t>
      </w:r>
    </w:p>
    <w:p w14:paraId="13FF7945">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应按照GB/T 18216.4的规定进行。</w:t>
      </w:r>
    </w:p>
    <w:p w14:paraId="3FF841FF">
      <w:pPr>
        <w:pStyle w:val="61"/>
        <w:ind w:left="0" w:leftChars="0" w:firstLine="0" w:firstLineChars="0"/>
        <w:rPr>
          <w:rFonts w:hint="eastAsia"/>
          <w:lang w:val="en-US" w:eastAsia="zh-CN"/>
        </w:rPr>
      </w:pPr>
      <w:r>
        <w:rPr>
          <w:rFonts w:hint="eastAsia"/>
          <w:lang w:val="en-US" w:eastAsia="zh-CN"/>
        </w:rPr>
        <w:t>9.3.3 耐压试验</w:t>
      </w:r>
    </w:p>
    <w:p w14:paraId="56B50075">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应按照GB/T 24344</w:t>
      </w:r>
      <w:r>
        <w:rPr>
          <w:rFonts w:hint="eastAsia"/>
          <w:lang w:val="en-US" w:eastAsia="zh-CN"/>
        </w:rPr>
        <w:t>的规定进行。</w:t>
      </w:r>
    </w:p>
    <w:p w14:paraId="4B4417A4">
      <w:pPr>
        <w:pStyle w:val="61"/>
        <w:ind w:left="0" w:leftChars="0" w:firstLine="0" w:firstLineChars="0"/>
        <w:rPr>
          <w:rFonts w:hint="eastAsia"/>
          <w:lang w:val="en-US" w:eastAsia="zh-CN"/>
        </w:rPr>
      </w:pPr>
      <w:r>
        <w:rPr>
          <w:rFonts w:hint="eastAsia"/>
          <w:lang w:val="en-US" w:eastAsia="zh-CN"/>
        </w:rPr>
        <w:t>9.3.4 泄漏电流试验</w:t>
      </w:r>
    </w:p>
    <w:p w14:paraId="4A2A757F">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将装置接入额定电压，在接地回路串入泄漏电流测试仪，在正常和最大负载条件下分别测量泄漏电流。</w:t>
      </w:r>
    </w:p>
    <w:p w14:paraId="5245EC55">
      <w:pPr>
        <w:pStyle w:val="61"/>
        <w:ind w:left="0" w:leftChars="0" w:firstLine="0" w:firstLineChars="0"/>
        <w:rPr>
          <w:rFonts w:hint="eastAsia"/>
          <w:lang w:val="en-US" w:eastAsia="zh-CN"/>
        </w:rPr>
      </w:pPr>
      <w:r>
        <w:rPr>
          <w:rFonts w:hint="eastAsia"/>
          <w:lang w:val="en-US" w:eastAsia="zh-CN"/>
        </w:rPr>
        <w:t>9.3.5 电磁兼容性试验</w:t>
      </w:r>
    </w:p>
    <w:p w14:paraId="41B76365">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应按照以下方法进行：</w:t>
      </w:r>
    </w:p>
    <w:p w14:paraId="0A7A8387">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a）静电放电抗扰度试验按照GB/T 17626.2</w:t>
      </w:r>
      <w:r>
        <w:rPr>
          <w:rFonts w:hint="eastAsia"/>
          <w:lang w:val="en-US" w:eastAsia="zh-CN"/>
        </w:rPr>
        <w:t>的</w:t>
      </w:r>
      <w:r>
        <w:rPr>
          <w:rFonts w:hint="default"/>
          <w:lang w:val="en-US" w:eastAsia="zh-CN"/>
        </w:rPr>
        <w:t>规定执行；</w:t>
      </w:r>
    </w:p>
    <w:p w14:paraId="478760DF">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b）射频电磁场辐射抗扰度试验按照GB/T 17626.3</w:t>
      </w:r>
      <w:r>
        <w:rPr>
          <w:rFonts w:hint="eastAsia"/>
          <w:lang w:val="en-US" w:eastAsia="zh-CN"/>
        </w:rPr>
        <w:t>的</w:t>
      </w:r>
      <w:r>
        <w:rPr>
          <w:rFonts w:hint="default"/>
          <w:lang w:val="en-US" w:eastAsia="zh-CN"/>
        </w:rPr>
        <w:t>规定执行；</w:t>
      </w:r>
    </w:p>
    <w:p w14:paraId="18346769">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c）电快速瞬变脉冲群抗扰度试验按照GB/T 17626.4</w:t>
      </w:r>
      <w:r>
        <w:rPr>
          <w:rFonts w:hint="eastAsia"/>
          <w:lang w:val="en-US" w:eastAsia="zh-CN"/>
        </w:rPr>
        <w:t>的</w:t>
      </w:r>
      <w:r>
        <w:rPr>
          <w:rFonts w:hint="default"/>
          <w:lang w:val="en-US" w:eastAsia="zh-CN"/>
        </w:rPr>
        <w:t>规定执行；</w:t>
      </w:r>
    </w:p>
    <w:p w14:paraId="6CD8EFBE">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d）浪涌抗扰度试验按照GB/T 17626.5</w:t>
      </w:r>
      <w:r>
        <w:rPr>
          <w:rFonts w:hint="eastAsia"/>
          <w:lang w:val="en-US" w:eastAsia="zh-CN"/>
        </w:rPr>
        <w:t>的</w:t>
      </w:r>
      <w:r>
        <w:rPr>
          <w:rFonts w:hint="default"/>
          <w:lang w:val="en-US" w:eastAsia="zh-CN"/>
        </w:rPr>
        <w:t>规定执行。</w:t>
      </w:r>
    </w:p>
    <w:p w14:paraId="0C9FE150">
      <w:pPr>
        <w:pStyle w:val="110"/>
        <w:spacing w:before="120" w:after="120"/>
        <w:rPr>
          <w:rFonts w:hint="default"/>
          <w:lang w:val="en-US" w:eastAsia="zh-CN"/>
        </w:rPr>
      </w:pPr>
      <w:bookmarkStart w:id="95" w:name="_Toc9140"/>
      <w:r>
        <w:rPr>
          <w:rFonts w:hint="eastAsia"/>
          <w:lang w:val="en-US" w:eastAsia="zh-CN"/>
        </w:rPr>
        <w:t>环境试验</w:t>
      </w:r>
      <w:bookmarkEnd w:id="95"/>
    </w:p>
    <w:p w14:paraId="426C9421">
      <w:pPr>
        <w:pStyle w:val="61"/>
        <w:ind w:left="0" w:leftChars="0" w:firstLine="0" w:firstLineChars="0"/>
        <w:rPr>
          <w:rFonts w:hint="default"/>
          <w:lang w:val="en-US" w:eastAsia="zh-CN"/>
        </w:rPr>
      </w:pPr>
      <w:r>
        <w:rPr>
          <w:rFonts w:hint="eastAsia"/>
          <w:lang w:val="en-US" w:eastAsia="zh-CN"/>
        </w:rPr>
        <w:t>9.4.1 温度试验</w:t>
      </w:r>
    </w:p>
    <w:p w14:paraId="6D24E5B3">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default"/>
          <w:lang w:val="en-US" w:eastAsia="zh-CN"/>
        </w:rPr>
        <w:t>应按照</w:t>
      </w:r>
      <w:r>
        <w:rPr>
          <w:rFonts w:hint="eastAsia"/>
          <w:lang w:val="en-US" w:eastAsia="zh-CN"/>
        </w:rPr>
        <w:t>GB/T 2423.27的规定进行。</w:t>
      </w:r>
    </w:p>
    <w:p w14:paraId="6D951EA0">
      <w:pPr>
        <w:pStyle w:val="61"/>
        <w:ind w:left="0" w:leftChars="0" w:firstLine="0" w:firstLineChars="0"/>
        <w:rPr>
          <w:rFonts w:hint="default"/>
          <w:lang w:val="en-US" w:eastAsia="zh-CN"/>
        </w:rPr>
      </w:pPr>
      <w:r>
        <w:rPr>
          <w:rFonts w:hint="eastAsia"/>
          <w:lang w:val="en-US" w:eastAsia="zh-CN"/>
        </w:rPr>
        <w:t>9.4.2 湿度试验</w:t>
      </w:r>
    </w:p>
    <w:p w14:paraId="28157DCF">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应按照GB/T 2423.27的规定进行。</w:t>
      </w:r>
    </w:p>
    <w:p w14:paraId="0E182420">
      <w:pPr>
        <w:pStyle w:val="61"/>
        <w:ind w:left="0" w:leftChars="0" w:firstLine="0" w:firstLineChars="0"/>
        <w:rPr>
          <w:rFonts w:hint="default"/>
          <w:lang w:val="en-US" w:eastAsia="zh-CN"/>
        </w:rPr>
      </w:pPr>
      <w:r>
        <w:rPr>
          <w:rFonts w:hint="eastAsia"/>
          <w:lang w:val="en-US" w:eastAsia="zh-CN"/>
        </w:rPr>
        <w:t>9.4.3 防护等级试验</w:t>
      </w:r>
    </w:p>
    <w:p w14:paraId="4F8136E7">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应按照GB/T 4208的规定进行。</w:t>
      </w:r>
    </w:p>
    <w:p w14:paraId="5C72E195">
      <w:pPr>
        <w:pStyle w:val="61"/>
        <w:ind w:left="0" w:leftChars="0" w:firstLine="0" w:firstLineChars="0"/>
        <w:rPr>
          <w:rFonts w:hint="eastAsia"/>
          <w:lang w:val="en-US" w:eastAsia="zh-CN"/>
        </w:rPr>
      </w:pPr>
      <w:r>
        <w:rPr>
          <w:rFonts w:hint="eastAsia"/>
          <w:lang w:val="en-US" w:eastAsia="zh-CN"/>
        </w:rPr>
        <w:t>9.4.4 耐腐蚀性试验</w:t>
      </w:r>
    </w:p>
    <w:p w14:paraId="0AAF13F6">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应按照GB/T 10125的规定进行。</w:t>
      </w:r>
    </w:p>
    <w:p w14:paraId="4EA66932">
      <w:pPr>
        <w:pStyle w:val="61"/>
        <w:ind w:left="0" w:leftChars="0" w:firstLine="0" w:firstLineChars="0"/>
        <w:rPr>
          <w:rFonts w:hint="eastAsia"/>
          <w:lang w:val="en-US" w:eastAsia="zh-CN"/>
        </w:rPr>
      </w:pPr>
      <w:r>
        <w:rPr>
          <w:rFonts w:hint="eastAsia"/>
          <w:lang w:val="en-US" w:eastAsia="zh-CN"/>
        </w:rPr>
        <w:t>9.4.5 耐振动冲击试验</w:t>
      </w:r>
    </w:p>
    <w:p w14:paraId="2A6CCB31">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eastAsia"/>
          <w:lang w:val="en-US" w:eastAsia="zh-CN"/>
        </w:rPr>
      </w:pPr>
      <w:r>
        <w:rPr>
          <w:rFonts w:hint="eastAsia"/>
          <w:lang w:val="en-US" w:eastAsia="zh-CN"/>
        </w:rPr>
        <w:t>振动试验应按照GB/T 2423.10的规定进行，冲击试验应按照GB/T 2423.57的规定进行。</w:t>
      </w:r>
    </w:p>
    <w:p w14:paraId="645D72A9">
      <w:pPr>
        <w:pStyle w:val="61"/>
        <w:ind w:left="0" w:leftChars="0" w:firstLine="0" w:firstLineChars="0"/>
        <w:rPr>
          <w:rFonts w:hint="eastAsia"/>
          <w:lang w:val="en-US" w:eastAsia="zh-CN"/>
        </w:rPr>
      </w:pPr>
      <w:r>
        <w:rPr>
          <w:rFonts w:hint="eastAsia"/>
          <w:lang w:val="en-US" w:eastAsia="zh-CN"/>
        </w:rPr>
        <w:t>9.4.6 海拔试验</w:t>
      </w:r>
    </w:p>
    <w:p w14:paraId="31143578">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default"/>
          <w:lang w:val="en-US" w:eastAsia="zh-CN"/>
        </w:rPr>
        <w:t>在高海拔模拟舱或低气压环境下，将舱压调至相当于海拔3000m的气压</w:t>
      </w:r>
      <w:r>
        <w:rPr>
          <w:rFonts w:hint="eastAsia"/>
          <w:lang w:val="en-US" w:eastAsia="zh-CN"/>
        </w:rPr>
        <w:t>，</w:t>
      </w:r>
      <w:r>
        <w:rPr>
          <w:rFonts w:hint="default"/>
          <w:lang w:val="en-US" w:eastAsia="zh-CN"/>
        </w:rPr>
        <w:t>保持装置运行至少2小时</w:t>
      </w:r>
      <w:r>
        <w:rPr>
          <w:rFonts w:hint="eastAsia"/>
          <w:lang w:val="en-US" w:eastAsia="zh-CN"/>
        </w:rPr>
        <w:t>，</w:t>
      </w:r>
      <w:r>
        <w:rPr>
          <w:rFonts w:hint="default"/>
          <w:lang w:val="en-US" w:eastAsia="zh-CN"/>
        </w:rPr>
        <w:t>检查装置功能、温升及绝缘状况。</w:t>
      </w:r>
    </w:p>
    <w:p w14:paraId="78F5E84B">
      <w:pPr>
        <w:pStyle w:val="110"/>
        <w:spacing w:before="120" w:after="120"/>
        <w:ind w:left="0" w:firstLine="0"/>
        <w:rPr>
          <w:rFonts w:hint="default"/>
          <w:lang w:val="en-US" w:eastAsia="zh-CN"/>
        </w:rPr>
      </w:pPr>
      <w:bookmarkStart w:id="96" w:name="_Toc514"/>
      <w:r>
        <w:rPr>
          <w:rFonts w:hint="eastAsia"/>
          <w:lang w:val="en-US" w:eastAsia="zh-CN"/>
        </w:rPr>
        <w:t>可靠性试验</w:t>
      </w:r>
      <w:bookmarkEnd w:id="96"/>
    </w:p>
    <w:p w14:paraId="2D5A5729">
      <w:pPr>
        <w:pStyle w:val="61"/>
        <w:keepNext w:val="0"/>
        <w:keepLines w:val="0"/>
        <w:pageBreakBefore w:val="0"/>
        <w:widowControl/>
        <w:tabs>
          <w:tab w:val="left" w:pos="1323"/>
        </w:tabs>
        <w:kinsoku/>
        <w:wordWrap/>
        <w:overflowPunct/>
        <w:topLinePunct w:val="0"/>
        <w:autoSpaceDE w:val="0"/>
        <w:autoSpaceDN w:val="0"/>
        <w:bidi w:val="0"/>
        <w:adjustRightInd/>
        <w:snapToGrid/>
        <w:ind w:left="0" w:leftChars="0" w:firstLine="420" w:firstLineChars="200"/>
        <w:textAlignment w:val="auto"/>
        <w:rPr>
          <w:rFonts w:hint="default"/>
          <w:lang w:val="en-US" w:eastAsia="zh-CN"/>
        </w:rPr>
      </w:pPr>
      <w:r>
        <w:rPr>
          <w:rFonts w:hint="eastAsia"/>
          <w:lang w:val="en-US" w:eastAsia="zh-CN"/>
        </w:rPr>
        <w:t>应按照GB/T 5080.7的规定进行。</w:t>
      </w:r>
    </w:p>
    <w:p w14:paraId="510EB057">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eastAsia"/>
          <w:lang w:val="en-US" w:eastAsia="zh-CN"/>
        </w:rPr>
      </w:pPr>
    </w:p>
    <w:p w14:paraId="1D63E384">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eastAsia"/>
          <w:lang w:val="en-US" w:eastAsia="zh-CN"/>
        </w:rPr>
      </w:pPr>
    </w:p>
    <w:p w14:paraId="044A308C">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eastAsia"/>
          <w:lang w:val="en-US" w:eastAsia="zh-CN"/>
        </w:rPr>
      </w:pPr>
    </w:p>
    <w:p w14:paraId="0CC8D763">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eastAsia"/>
          <w:lang w:val="en-US" w:eastAsia="zh-CN"/>
        </w:rPr>
      </w:pPr>
    </w:p>
    <w:p w14:paraId="041ABEBC">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eastAsia"/>
          <w:lang w:val="en-US" w:eastAsia="zh-CN"/>
        </w:rPr>
      </w:pPr>
    </w:p>
    <w:p w14:paraId="68175F5B">
      <w:pPr>
        <w:pStyle w:val="61"/>
        <w:keepNext w:val="0"/>
        <w:keepLines w:val="0"/>
        <w:pageBreakBefore w:val="0"/>
        <w:widowControl/>
        <w:kinsoku/>
        <w:wordWrap/>
        <w:overflowPunct/>
        <w:topLinePunct w:val="0"/>
        <w:autoSpaceDE w:val="0"/>
        <w:autoSpaceDN w:val="0"/>
        <w:bidi w:val="0"/>
        <w:adjustRightInd/>
        <w:snapToGrid/>
        <w:ind w:firstLine="0" w:firstLineChars="0"/>
        <w:jc w:val="both"/>
        <w:textAlignment w:val="auto"/>
        <w:rPr>
          <w:rFonts w:hint="default"/>
          <w:lang w:val="en-US" w:eastAsia="zh-CN"/>
        </w:rPr>
      </w:pPr>
    </w:p>
    <w:p w14:paraId="5EFE3FE7">
      <w:pPr>
        <w:keepNext w:val="0"/>
        <w:keepLines w:val="0"/>
        <w:pageBreakBefore w:val="0"/>
        <w:kinsoku/>
        <w:wordWrap/>
        <w:overflowPunct/>
        <w:topLinePunct w:val="0"/>
        <w:bidi w:val="0"/>
        <w:snapToGrid/>
        <w:spacing w:before="58" w:line="45" w:lineRule="exact"/>
        <w:ind w:left="3165"/>
        <w:textAlignment w:val="auto"/>
        <w:outlineLvl w:val="9"/>
        <w:rPr>
          <w:rFonts w:hint="default" w:ascii="Times New Roman" w:hAnsi="Times New Roman" w:eastAsia="Times New Roman"/>
          <w:sz w:val="20"/>
          <w:szCs w:val="20"/>
          <w:lang w:val="en-US" w:eastAsia="zh-CN"/>
        </w:rPr>
      </w:pPr>
      <w:bookmarkStart w:id="97" w:name="_Toc10181"/>
      <w:bookmarkStart w:id="98" w:name="_Toc25614"/>
      <w:bookmarkStart w:id="99" w:name="_Toc215"/>
      <w:bookmarkStart w:id="100" w:name="_Toc16819"/>
      <w:r>
        <w:rPr>
          <w:rFonts w:ascii="Times New Roman" w:hAnsi="Times New Roman" w:eastAsia="Times New Roman"/>
          <w:b/>
          <w:bCs/>
          <w:spacing w:val="9"/>
          <w:position w:val="5"/>
          <w:sz w:val="20"/>
          <w:szCs w:val="20"/>
        </w:rPr>
        <w:t>_</w:t>
      </w:r>
      <w:r>
        <w:rPr>
          <w:rFonts w:ascii="Times New Roman" w:hAnsi="Times New Roman" w:eastAsia="Times New Roman"/>
          <w:b/>
          <w:bCs/>
          <w:spacing w:val="5"/>
          <w:position w:val="5"/>
          <w:sz w:val="20"/>
          <w:szCs w:val="20"/>
        </w:rPr>
        <w:t>______________________________</w:t>
      </w:r>
      <w:bookmarkEnd w:id="97"/>
      <w:bookmarkEnd w:id="98"/>
      <w:bookmarkEnd w:id="99"/>
      <w:bookmarkEnd w:id="100"/>
    </w:p>
    <w:sectPr>
      <w:footerReference r:id="rId12" w:type="default"/>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33845737-2EEA-4AE3-94C7-D48588B4DD86}"/>
  </w:font>
  <w:font w:name="Arial">
    <w:panose1 w:val="020B0604020202020204"/>
    <w:charset w:val="01"/>
    <w:family w:val="swiss"/>
    <w:pitch w:val="default"/>
    <w:sig w:usb0="E0002EFF" w:usb1="C000785B" w:usb2="00000009" w:usb3="00000000" w:csb0="400001FF" w:csb1="FFFF0000"/>
    <w:embedRegular r:id="rId2" w:fontKey="{A44068E5-F2AE-470E-9359-3B98AF6218D2}"/>
  </w:font>
  <w:font w:name="黑体">
    <w:panose1 w:val="02010609060101010101"/>
    <w:charset w:val="86"/>
    <w:family w:val="auto"/>
    <w:pitch w:val="default"/>
    <w:sig w:usb0="800002BF" w:usb1="38CF7CFA" w:usb2="00000016" w:usb3="00000000" w:csb0="00040001" w:csb1="00000000"/>
    <w:embedRegular r:id="rId3" w:fontKey="{56C83E03-4560-40DE-9CC3-B99E4375E9B1}"/>
  </w:font>
  <w:font w:name="Courier New">
    <w:panose1 w:val="02070309020205020404"/>
    <w:charset w:val="01"/>
    <w:family w:val="modern"/>
    <w:pitch w:val="default"/>
    <w:sig w:usb0="E0002EFF" w:usb1="C0007843" w:usb2="00000009" w:usb3="00000000" w:csb0="400001FF" w:csb1="FFFF0000"/>
    <w:embedRegular r:id="rId4" w:fontKey="{A8E58C91-07B8-42B2-A936-A88EDDE6D18D}"/>
  </w:font>
  <w:font w:name="Symbol">
    <w:panose1 w:val="05050102010706020507"/>
    <w:charset w:val="02"/>
    <w:family w:val="roman"/>
    <w:pitch w:val="default"/>
    <w:sig w:usb0="00000000" w:usb1="00000000" w:usb2="00000000" w:usb3="00000000" w:csb0="80000000" w:csb1="00000000"/>
    <w:embedRegular r:id="rId5" w:fontKey="{0A855FD4-243C-41E1-A0CE-69C08B52A338}"/>
  </w:font>
  <w:font w:name="Calibri">
    <w:panose1 w:val="020F0502020204030204"/>
    <w:charset w:val="00"/>
    <w:family w:val="swiss"/>
    <w:pitch w:val="default"/>
    <w:sig w:usb0="E4002EFF" w:usb1="C000247B" w:usb2="00000009" w:usb3="00000000" w:csb0="200001FF" w:csb1="00000000"/>
    <w:embedRegular r:id="rId6" w:fontKey="{DE7F4B7F-C17D-4FC9-9321-08B4533843CA}"/>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embedRegular r:id="rId7" w:fontKey="{D21A4CD7-72A0-4342-8F54-4EF029F5FD8A}"/>
  </w:font>
  <w:font w:name="隶属">
    <w:altName w:val="宋体"/>
    <w:panose1 w:val="00000000000000000000"/>
    <w:charset w:val="00"/>
    <w:family w:val="auto"/>
    <w:pitch w:val="default"/>
    <w:sig w:usb0="00000000" w:usb1="00000000" w:usb2="00000000" w:usb3="00000000" w:csb0="00040001" w:csb1="00000000"/>
    <w:embedRegular r:id="rId8" w:fontKey="{70369484-3F3C-4A12-B13A-D4FE0BC4A08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34B0A">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2413F">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429A7B">
    <w:pPr>
      <w:pStyle w:val="57"/>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64030C">
                          <w:pPr>
                            <w:pStyle w:val="57"/>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864030C">
                    <w:pPr>
                      <w:pStyle w:val="57"/>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F0D0C">
    <w:pPr>
      <w:pStyle w:val="57"/>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38BCAF">
                          <w:pPr>
                            <w:pStyle w:val="57"/>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338BCAF">
                    <w:pPr>
                      <w:pStyle w:val="57"/>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B66CE">
    <w:pPr>
      <w:pStyle w:val="19"/>
      <w:wordWrap w:val="0"/>
      <w:jc w:val="right"/>
      <w:rPr>
        <w:rFonts w:ascii="黑体" w:hAnsi="黑体" w:eastAsia="黑体"/>
      </w:rPr>
    </w:pPr>
    <w:r>
      <w:rPr>
        <w:rFonts w:hint="eastAsia" w:ascii="黑体" w:hAnsi="黑体" w:eastAsia="黑体"/>
      </w:rPr>
      <w:t>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0A715">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45520">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B8EF4">
    <w:pPr>
      <w:pStyle w:val="66"/>
    </w:pPr>
    <w:r>
      <w:rPr>
        <w:rFonts w:hint="eastAsia"/>
      </w:rPr>
      <w:t>T XXXXX—XXXX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653FBA"/>
    <w:multiLevelType w:val="multilevel"/>
    <w:tmpl w:val="AE653FBA"/>
    <w:lvl w:ilvl="0" w:tentative="0">
      <w:start w:val="1"/>
      <w:numFmt w:val="upperLetter"/>
      <w:pStyle w:val="203"/>
      <w:lvlText w:val="%1"/>
      <w:lvlJc w:val="left"/>
      <w:pPr>
        <w:ind w:left="420" w:hanging="420"/>
      </w:pPr>
      <w:rPr>
        <w:rFonts w:hint="eastAsia"/>
      </w:rPr>
    </w:lvl>
    <w:lvl w:ilvl="1" w:tentative="0">
      <w:start w:val="1"/>
      <w:numFmt w:val="decimal"/>
      <w:pStyle w:val="88"/>
      <w:suff w:val="space"/>
      <w:lvlText w:val="图%1.%2　"/>
      <w:lvlJc w:val="center"/>
      <w:pPr>
        <w:tabs>
          <w:tab w:val="left" w:pos="0"/>
        </w:tabs>
        <w:ind w:left="0" w:firstLine="0"/>
      </w:pPr>
      <w:rPr>
        <w:rFonts w:hint="default"/>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D5E352B6"/>
    <w:multiLevelType w:val="singleLevel"/>
    <w:tmpl w:val="D5E352B6"/>
    <w:lvl w:ilvl="0" w:tentative="0">
      <w:start w:val="1"/>
      <w:numFmt w:val="lowerLetter"/>
      <w:suff w:val="nothing"/>
      <w:lvlText w:val="%1）"/>
      <w:lvlJc w:val="left"/>
    </w:lvl>
  </w:abstractNum>
  <w:abstractNum w:abstractNumId="2">
    <w:nsid w:val="02837933"/>
    <w:multiLevelType w:val="multilevel"/>
    <w:tmpl w:val="02837933"/>
    <w:lvl w:ilvl="0" w:tentative="0">
      <w:start w:val="1"/>
      <w:numFmt w:val="decimal"/>
      <w:pStyle w:val="69"/>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3">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4"/>
      <w:suff w:val="nothing"/>
      <w:lvlText w:val="%1%2.%3　"/>
      <w:lvlJc w:val="left"/>
      <w:pPr>
        <w:ind w:left="0" w:firstLine="0"/>
      </w:pPr>
    </w:lvl>
    <w:lvl w:ilvl="3" w:tentative="0">
      <w:start w:val="1"/>
      <w:numFmt w:val="decimal"/>
      <w:pStyle w:val="123"/>
      <w:suff w:val="nothing"/>
      <w:lvlText w:val="%1%2.%3.%4　"/>
      <w:lvlJc w:val="left"/>
      <w:pPr>
        <w:ind w:left="0" w:firstLine="0"/>
      </w:pPr>
    </w:lvl>
    <w:lvl w:ilvl="4" w:tentative="0">
      <w:start w:val="1"/>
      <w:numFmt w:val="decimal"/>
      <w:pStyle w:val="158"/>
      <w:suff w:val="nothing"/>
      <w:lvlText w:val="%1%2.%3.%4.%5　"/>
      <w:lvlJc w:val="left"/>
      <w:pPr>
        <w:ind w:left="0" w:firstLine="0"/>
      </w:pPr>
    </w:lvl>
    <w:lvl w:ilvl="5" w:tentative="0">
      <w:start w:val="1"/>
      <w:numFmt w:val="decimal"/>
      <w:pStyle w:val="160"/>
      <w:suff w:val="nothing"/>
      <w:lvlText w:val="%1%2.%3.%4.%5.%6　"/>
      <w:lvlJc w:val="left"/>
      <w:pPr>
        <w:ind w:left="0" w:firstLine="0"/>
      </w:pPr>
    </w:lvl>
    <w:lvl w:ilvl="6" w:tentative="0">
      <w:start w:val="1"/>
      <w:numFmt w:val="decimal"/>
      <w:pStyle w:val="163"/>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4">
    <w:nsid w:val="079102AD"/>
    <w:multiLevelType w:val="multilevel"/>
    <w:tmpl w:val="079102AD"/>
    <w:lvl w:ilvl="0" w:tentative="0">
      <w:start w:val="1"/>
      <w:numFmt w:val="decimal"/>
      <w:pStyle w:val="185"/>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5">
    <w:nsid w:val="07ED3FEA"/>
    <w:multiLevelType w:val="multilevel"/>
    <w:tmpl w:val="07ED3FEA"/>
    <w:lvl w:ilvl="0" w:tentative="0">
      <w:start w:val="1"/>
      <w:numFmt w:val="none"/>
      <w:pStyle w:val="94"/>
      <w:lvlText w:val="%1"/>
      <w:lvlJc w:val="left"/>
      <w:pPr>
        <w:ind w:left="425" w:hanging="425"/>
      </w:pPr>
      <w:rPr>
        <w:rFonts w:hint="eastAsia"/>
      </w:rPr>
    </w:lvl>
    <w:lvl w:ilvl="1" w:tentative="0">
      <w:start w:val="1"/>
      <w:numFmt w:val="decimal"/>
      <w:pStyle w:val="205"/>
      <w:suff w:val="nothing"/>
      <w:lvlText w:val="%10.%2 "/>
      <w:lvlJc w:val="left"/>
      <w:pPr>
        <w:ind w:left="0" w:firstLine="0"/>
      </w:pPr>
      <w:rPr>
        <w:rFonts w:hint="eastAsia" w:ascii="黑体" w:eastAsia="黑体" w:hAnsiTheme="minorHAnsi"/>
        <w:b w:val="0"/>
        <w:i w:val="0"/>
        <w:sz w:val="21"/>
      </w:rPr>
    </w:lvl>
    <w:lvl w:ilvl="2" w:tentative="0">
      <w:start w:val="1"/>
      <w:numFmt w:val="decimal"/>
      <w:pStyle w:val="206"/>
      <w:suff w:val="nothing"/>
      <w:lvlText w:val="%10.%2.%3 "/>
      <w:lvlJc w:val="left"/>
      <w:pPr>
        <w:ind w:left="0" w:firstLine="0"/>
      </w:pPr>
      <w:rPr>
        <w:rFonts w:hint="eastAsia" w:ascii="黑体" w:eastAsia="黑体" w:hAnsiTheme="minorHAnsi"/>
        <w:b w:val="0"/>
        <w:i w:val="0"/>
        <w:sz w:val="21"/>
      </w:rPr>
    </w:lvl>
    <w:lvl w:ilvl="3" w:tentative="0">
      <w:start w:val="1"/>
      <w:numFmt w:val="decimal"/>
      <w:pStyle w:val="207"/>
      <w:suff w:val="nothing"/>
      <w:lvlText w:val="%10.%2.%3.%4 "/>
      <w:lvlJc w:val="left"/>
      <w:pPr>
        <w:ind w:left="0" w:firstLine="0"/>
      </w:pPr>
      <w:rPr>
        <w:rFonts w:hint="eastAsia" w:ascii="黑体" w:eastAsia="黑体" w:hAnsiTheme="minorHAnsi"/>
        <w:b w:val="0"/>
        <w:i w:val="0"/>
        <w:sz w:val="21"/>
      </w:rPr>
    </w:lvl>
    <w:lvl w:ilvl="4" w:tentative="0">
      <w:start w:val="1"/>
      <w:numFmt w:val="decimal"/>
      <w:pStyle w:val="208"/>
      <w:suff w:val="nothing"/>
      <w:lvlText w:val="%10.%2.%3.%4.%5 "/>
      <w:lvlJc w:val="left"/>
      <w:pPr>
        <w:ind w:left="0" w:firstLine="0"/>
      </w:pPr>
      <w:rPr>
        <w:rFonts w:hint="eastAsia" w:ascii="黑体" w:eastAsia="黑体" w:hAnsiTheme="minorHAnsi"/>
        <w:b w:val="0"/>
        <w:i w:val="0"/>
        <w:sz w:val="21"/>
      </w:rPr>
    </w:lvl>
    <w:lvl w:ilvl="5" w:tentative="0">
      <w:start w:val="1"/>
      <w:numFmt w:val="decimal"/>
      <w:pStyle w:val="209"/>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6">
    <w:nsid w:val="0AE367E9"/>
    <w:multiLevelType w:val="multilevel"/>
    <w:tmpl w:val="0AE367E9"/>
    <w:lvl w:ilvl="0" w:tentative="0">
      <w:start w:val="1"/>
      <w:numFmt w:val="none"/>
      <w:pStyle w:val="186"/>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7">
    <w:nsid w:val="0BDC1670"/>
    <w:multiLevelType w:val="multilevel"/>
    <w:tmpl w:val="0BDC1670"/>
    <w:lvl w:ilvl="0" w:tentative="0">
      <w:start w:val="1"/>
      <w:numFmt w:val="decimal"/>
      <w:pStyle w:val="72"/>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D051F45"/>
    <w:multiLevelType w:val="multilevel"/>
    <w:tmpl w:val="0D051F45"/>
    <w:lvl w:ilvl="0" w:tentative="0">
      <w:start w:val="1"/>
      <w:numFmt w:val="lowerRoman"/>
      <w:pStyle w:val="174"/>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9">
    <w:nsid w:val="1AD20F90"/>
    <w:multiLevelType w:val="multilevel"/>
    <w:tmpl w:val="1AD20F90"/>
    <w:lvl w:ilvl="0" w:tentative="0">
      <w:start w:val="1"/>
      <w:numFmt w:val="none"/>
      <w:pStyle w:val="115"/>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1AF15012"/>
    <w:multiLevelType w:val="multilevel"/>
    <w:tmpl w:val="1AF15012"/>
    <w:lvl w:ilvl="0" w:tentative="0">
      <w:start w:val="1"/>
      <w:numFmt w:val="upperLetter"/>
      <w:pStyle w:val="90"/>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1B6095D8"/>
    <w:multiLevelType w:val="singleLevel"/>
    <w:tmpl w:val="1B6095D8"/>
    <w:lvl w:ilvl="0" w:tentative="0">
      <w:start w:val="1"/>
      <w:numFmt w:val="lowerLetter"/>
      <w:suff w:val="nothing"/>
      <w:lvlText w:val="%1）"/>
      <w:lvlJc w:val="left"/>
    </w:lvl>
  </w:abstractNum>
  <w:abstractNum w:abstractNumId="12">
    <w:nsid w:val="1EAA1992"/>
    <w:multiLevelType w:val="multilevel"/>
    <w:tmpl w:val="1EAA1992"/>
    <w:lvl w:ilvl="0" w:tentative="0">
      <w:start w:val="1"/>
      <w:numFmt w:val="none"/>
      <w:pStyle w:val="97"/>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3">
    <w:nsid w:val="26F9EC30"/>
    <w:multiLevelType w:val="singleLevel"/>
    <w:tmpl w:val="26F9EC30"/>
    <w:lvl w:ilvl="0" w:tentative="0">
      <w:start w:val="1"/>
      <w:numFmt w:val="lowerLetter"/>
      <w:suff w:val="nothing"/>
      <w:lvlText w:val="%1）"/>
      <w:lvlJc w:val="left"/>
    </w:lvl>
  </w:abstractNum>
  <w:abstractNum w:abstractNumId="14">
    <w:nsid w:val="2C5917C3"/>
    <w:multiLevelType w:val="multilevel"/>
    <w:tmpl w:val="2C5917C3"/>
    <w:lvl w:ilvl="0" w:tentative="0">
      <w:start w:val="1"/>
      <w:numFmt w:val="none"/>
      <w:pStyle w:val="137"/>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2"/>
      <w:lvlText w:val=""/>
      <w:lvlJc w:val="left"/>
      <w:pPr>
        <w:ind w:left="851" w:hanging="431"/>
      </w:pPr>
      <w:rPr>
        <w:rFonts w:hint="default" w:ascii="Symbol" w:hAnsi="Symbol"/>
        <w:sz w:val="21"/>
      </w:rPr>
    </w:lvl>
    <w:lvl w:ilvl="2" w:tentative="0">
      <w:start w:val="1"/>
      <w:numFmt w:val="bullet"/>
      <w:pStyle w:val="177"/>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5">
    <w:nsid w:val="32F04FB2"/>
    <w:multiLevelType w:val="multilevel"/>
    <w:tmpl w:val="32F04FB2"/>
    <w:lvl w:ilvl="0" w:tentative="0">
      <w:start w:val="1"/>
      <w:numFmt w:val="lowerLetter"/>
      <w:pStyle w:val="106"/>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6">
    <w:nsid w:val="44C50F90"/>
    <w:multiLevelType w:val="multilevel"/>
    <w:tmpl w:val="44C50F90"/>
    <w:lvl w:ilvl="0" w:tentative="0">
      <w:start w:val="1"/>
      <w:numFmt w:val="lowerLetter"/>
      <w:pStyle w:val="179"/>
      <w:lvlText w:val="%1)"/>
      <w:lvlJc w:val="left"/>
      <w:pPr>
        <w:tabs>
          <w:tab w:val="left" w:pos="851"/>
        </w:tabs>
        <w:ind w:left="851" w:hanging="426"/>
      </w:pPr>
      <w:rPr>
        <w:rFonts w:hint="eastAsia" w:ascii="宋体" w:hAnsi="Times New Roman" w:eastAsia="宋体"/>
        <w:sz w:val="21"/>
      </w:rPr>
    </w:lvl>
    <w:lvl w:ilvl="1" w:tentative="0">
      <w:start w:val="1"/>
      <w:numFmt w:val="decimal"/>
      <w:pStyle w:val="114"/>
      <w:lvlText w:val="%2)"/>
      <w:lvlJc w:val="left"/>
      <w:pPr>
        <w:tabs>
          <w:tab w:val="left" w:pos="1276"/>
        </w:tabs>
        <w:ind w:left="1276" w:hanging="425"/>
      </w:pPr>
      <w:rPr>
        <w:rFonts w:hint="eastAsia" w:ascii="宋体" w:hAnsi="Times New Roman" w:eastAsia="宋体"/>
        <w:sz w:val="21"/>
      </w:rPr>
    </w:lvl>
    <w:lvl w:ilvl="2" w:tentative="0">
      <w:start w:val="1"/>
      <w:numFmt w:val="decimal"/>
      <w:pStyle w:val="122"/>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7">
    <w:nsid w:val="4B733A5F"/>
    <w:multiLevelType w:val="multilevel"/>
    <w:tmpl w:val="4B733A5F"/>
    <w:lvl w:ilvl="0" w:tentative="0">
      <w:start w:val="1"/>
      <w:numFmt w:val="decimal"/>
      <w:pStyle w:val="188"/>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8">
    <w:nsid w:val="4E5D0534"/>
    <w:multiLevelType w:val="multilevel"/>
    <w:tmpl w:val="4E5D0534"/>
    <w:lvl w:ilvl="0" w:tentative="0">
      <w:start w:val="1"/>
      <w:numFmt w:val="decimal"/>
      <w:pStyle w:val="121"/>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4632751"/>
    <w:multiLevelType w:val="multilevel"/>
    <w:tmpl w:val="54632751"/>
    <w:lvl w:ilvl="0" w:tentative="0">
      <w:start w:val="1"/>
      <w:numFmt w:val="none"/>
      <w:pStyle w:val="98"/>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0">
    <w:nsid w:val="557C2AF5"/>
    <w:multiLevelType w:val="multilevel"/>
    <w:tmpl w:val="557C2AF5"/>
    <w:lvl w:ilvl="0" w:tentative="0">
      <w:start w:val="1"/>
      <w:numFmt w:val="decimal"/>
      <w:pStyle w:val="119"/>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1">
    <w:nsid w:val="564D2089"/>
    <w:multiLevelType w:val="multilevel"/>
    <w:tmpl w:val="564D2089"/>
    <w:lvl w:ilvl="0" w:tentative="0">
      <w:start w:val="1"/>
      <w:numFmt w:val="none"/>
      <w:pStyle w:val="116"/>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CCF408A"/>
    <w:multiLevelType w:val="multilevel"/>
    <w:tmpl w:val="5CCF408A"/>
    <w:lvl w:ilvl="0" w:tentative="0">
      <w:start w:val="1"/>
      <w:numFmt w:val="upperLetter"/>
      <w:pStyle w:val="204"/>
      <w:suff w:val="space"/>
      <w:lvlText w:val="%1"/>
      <w:lvlJc w:val="left"/>
      <w:pPr>
        <w:ind w:left="425" w:hanging="425"/>
      </w:pPr>
      <w:rPr>
        <w:rFonts w:hint="eastAsia"/>
      </w:rPr>
    </w:lvl>
    <w:lvl w:ilvl="1" w:tentative="0">
      <w:start w:val="1"/>
      <w:numFmt w:val="decimal"/>
      <w:pStyle w:val="82"/>
      <w:suff w:val="space"/>
      <w:lvlText w:val="表%1.%2　"/>
      <w:lvlJc w:val="center"/>
      <w:pPr>
        <w:tabs>
          <w:tab w:val="left" w:pos="0"/>
        </w:tabs>
        <w:ind w:left="0" w:firstLine="0"/>
      </w:pPr>
      <w:rPr>
        <w:rFonts w:hint="default"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3">
    <w:nsid w:val="644622F9"/>
    <w:multiLevelType w:val="multilevel"/>
    <w:tmpl w:val="644622F9"/>
    <w:lvl w:ilvl="0" w:tentative="0">
      <w:start w:val="1"/>
      <w:numFmt w:val="upp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4">
    <w:nsid w:val="646260FA"/>
    <w:multiLevelType w:val="multilevel"/>
    <w:tmpl w:val="646260FA"/>
    <w:lvl w:ilvl="0" w:tentative="0">
      <w:start w:val="1"/>
      <w:numFmt w:val="decimal"/>
      <w:pStyle w:val="11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5">
    <w:nsid w:val="654A26C9"/>
    <w:multiLevelType w:val="multilevel"/>
    <w:tmpl w:val="654A26C9"/>
    <w:lvl w:ilvl="0" w:tentative="0">
      <w:start w:val="1"/>
      <w:numFmt w:val="none"/>
      <w:pStyle w:val="194"/>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6">
    <w:nsid w:val="657D3FBC"/>
    <w:multiLevelType w:val="multilevel"/>
    <w:tmpl w:val="657D3FBC"/>
    <w:lvl w:ilvl="0" w:tentative="0">
      <w:start w:val="1"/>
      <w:numFmt w:val="upperLetter"/>
      <w:pStyle w:val="81"/>
      <w:suff w:val="nothing"/>
      <w:lvlText w:val="附录%1"/>
      <w:lvlJc w:val="left"/>
      <w:pPr>
        <w:ind w:left="0" w:firstLine="0"/>
      </w:pPr>
      <w:rPr>
        <w:rFonts w:hint="eastAsia"/>
        <w:spacing w:val="100"/>
      </w:rPr>
    </w:lvl>
    <w:lvl w:ilvl="1" w:tentative="0">
      <w:start w:val="1"/>
      <w:numFmt w:val="decimal"/>
      <w:pStyle w:val="83"/>
      <w:suff w:val="nothing"/>
      <w:lvlText w:val="%1.%2　"/>
      <w:lvlJc w:val="left"/>
      <w:pPr>
        <w:ind w:left="0" w:firstLine="0"/>
      </w:pPr>
      <w:rPr>
        <w:rFonts w:hint="eastAsia" w:ascii="黑体" w:eastAsia="黑体"/>
        <w:b w:val="0"/>
        <w:i w:val="0"/>
        <w:sz w:val="21"/>
      </w:rPr>
    </w:lvl>
    <w:lvl w:ilvl="2" w:tentative="0">
      <w:start w:val="1"/>
      <w:numFmt w:val="decimal"/>
      <w:pStyle w:val="84"/>
      <w:suff w:val="nothing"/>
      <w:lvlText w:val="%1.%2.%3　"/>
      <w:lvlJc w:val="left"/>
      <w:pPr>
        <w:ind w:left="0" w:firstLine="0"/>
      </w:pPr>
      <w:rPr>
        <w:rFonts w:hint="eastAsia" w:ascii="黑体" w:eastAsia="黑体"/>
        <w:b w:val="0"/>
        <w:i w:val="0"/>
        <w:sz w:val="21"/>
      </w:rPr>
    </w:lvl>
    <w:lvl w:ilvl="3" w:tentative="0">
      <w:start w:val="1"/>
      <w:numFmt w:val="decimal"/>
      <w:pStyle w:val="86"/>
      <w:suff w:val="nothing"/>
      <w:lvlText w:val="%1.%2.%3.%4　"/>
      <w:lvlJc w:val="left"/>
      <w:pPr>
        <w:ind w:left="0" w:firstLine="0"/>
      </w:pPr>
      <w:rPr>
        <w:rFonts w:hint="eastAsia" w:ascii="黑体" w:eastAsia="黑体"/>
        <w:b w:val="0"/>
        <w:i w:val="0"/>
        <w:sz w:val="21"/>
      </w:rPr>
    </w:lvl>
    <w:lvl w:ilvl="4" w:tentative="0">
      <w:start w:val="1"/>
      <w:numFmt w:val="decimal"/>
      <w:pStyle w:val="87"/>
      <w:suff w:val="nothing"/>
      <w:lvlText w:val="%1.%2.%3.%4.%5　"/>
      <w:lvlJc w:val="left"/>
      <w:pPr>
        <w:ind w:left="0" w:firstLine="0"/>
      </w:pPr>
      <w:rPr>
        <w:rFonts w:hint="eastAsia" w:ascii="黑体" w:eastAsia="黑体"/>
        <w:b w:val="0"/>
        <w:i w:val="0"/>
        <w:sz w:val="21"/>
      </w:rPr>
    </w:lvl>
    <w:lvl w:ilvl="5" w:tentative="0">
      <w:start w:val="1"/>
      <w:numFmt w:val="decimal"/>
      <w:pStyle w:val="89"/>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69506ABF"/>
    <w:multiLevelType w:val="multilevel"/>
    <w:tmpl w:val="69506ABF"/>
    <w:lvl w:ilvl="0" w:tentative="0">
      <w:start w:val="1"/>
      <w:numFmt w:val="bullet"/>
      <w:pStyle w:val="193"/>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8">
    <w:nsid w:val="6CA41985"/>
    <w:multiLevelType w:val="multilevel"/>
    <w:tmpl w:val="6CA41985"/>
    <w:lvl w:ilvl="0" w:tentative="0">
      <w:start w:val="1"/>
      <w:numFmt w:val="decimal"/>
      <w:pStyle w:val="102"/>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6CE42AC1"/>
    <w:multiLevelType w:val="multilevel"/>
    <w:tmpl w:val="6CE42AC1"/>
    <w:lvl w:ilvl="0" w:tentative="0">
      <w:start w:val="1"/>
      <w:numFmt w:val="lowerLetter"/>
      <w:pStyle w:val="178"/>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0">
    <w:nsid w:val="6CEA2025"/>
    <w:multiLevelType w:val="multilevel"/>
    <w:tmpl w:val="6CEA2025"/>
    <w:lvl w:ilvl="0" w:tentative="0">
      <w:start w:val="1"/>
      <w:numFmt w:val="none"/>
      <w:pStyle w:val="157"/>
      <w:suff w:val="nothing"/>
      <w:lvlText w:val="%1"/>
      <w:lvlJc w:val="left"/>
      <w:pPr>
        <w:ind w:left="0" w:firstLine="0"/>
      </w:pPr>
      <w:rPr>
        <w:rFonts w:hint="eastAsia"/>
      </w:rPr>
    </w:lvl>
    <w:lvl w:ilvl="1" w:tentative="0">
      <w:start w:val="1"/>
      <w:numFmt w:val="decimal"/>
      <w:pStyle w:val="109"/>
      <w:suff w:val="nothing"/>
      <w:lvlText w:val="%1%2　"/>
      <w:lvlJc w:val="left"/>
      <w:pPr>
        <w:ind w:left="0" w:firstLine="0"/>
      </w:pPr>
      <w:rPr>
        <w:rFonts w:hint="eastAsia" w:ascii="黑体" w:eastAsia="黑体"/>
        <w:b w:val="0"/>
        <w:i w:val="0"/>
        <w:sz w:val="21"/>
      </w:rPr>
    </w:lvl>
    <w:lvl w:ilvl="2" w:tentative="0">
      <w:start w:val="1"/>
      <w:numFmt w:val="decimal"/>
      <w:pStyle w:val="110"/>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70"/>
      <w:suff w:val="nothing"/>
      <w:lvlText w:val="%1%2.%3.%4　"/>
      <w:lvlJc w:val="left"/>
      <w:pPr>
        <w:ind w:left="0" w:firstLine="0"/>
      </w:pPr>
      <w:rPr>
        <w:rFonts w:hint="eastAsia" w:ascii="黑体" w:eastAsia="黑体"/>
        <w:b w:val="0"/>
        <w:i w:val="0"/>
        <w:sz w:val="21"/>
      </w:rPr>
    </w:lvl>
    <w:lvl w:ilvl="4" w:tentative="0">
      <w:start w:val="1"/>
      <w:numFmt w:val="decimal"/>
      <w:pStyle w:val="99"/>
      <w:suff w:val="nothing"/>
      <w:lvlText w:val="%1%2.%3.%4.%5　"/>
      <w:lvlJc w:val="left"/>
      <w:pPr>
        <w:ind w:left="0" w:firstLine="0"/>
      </w:pPr>
      <w:rPr>
        <w:rFonts w:hint="eastAsia" w:ascii="黑体" w:eastAsia="黑体"/>
        <w:b w:val="0"/>
        <w:i w:val="0"/>
        <w:sz w:val="21"/>
      </w:rPr>
    </w:lvl>
    <w:lvl w:ilvl="5" w:tentative="0">
      <w:start w:val="1"/>
      <w:numFmt w:val="decimal"/>
      <w:pStyle w:val="103"/>
      <w:suff w:val="nothing"/>
      <w:lvlText w:val="%1%2.%3.%4.%5.%6　"/>
      <w:lvlJc w:val="left"/>
      <w:pPr>
        <w:ind w:left="0" w:firstLine="0"/>
      </w:pPr>
      <w:rPr>
        <w:rFonts w:hint="eastAsia" w:ascii="黑体" w:eastAsia="黑体"/>
        <w:b w:val="0"/>
        <w:i w:val="0"/>
        <w:sz w:val="21"/>
      </w:rPr>
    </w:lvl>
    <w:lvl w:ilvl="6" w:tentative="0">
      <w:start w:val="1"/>
      <w:numFmt w:val="decimal"/>
      <w:pStyle w:val="108"/>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1">
    <w:nsid w:val="6DBF04F4"/>
    <w:multiLevelType w:val="multilevel"/>
    <w:tmpl w:val="6DBF04F4"/>
    <w:lvl w:ilvl="0" w:tentative="0">
      <w:start w:val="1"/>
      <w:numFmt w:val="none"/>
      <w:pStyle w:val="184"/>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2">
    <w:nsid w:val="6DF35F19"/>
    <w:multiLevelType w:val="multilevel"/>
    <w:tmpl w:val="6DF35F19"/>
    <w:lvl w:ilvl="0" w:tentative="0">
      <w:start w:val="1"/>
      <w:numFmt w:val="decimal"/>
      <w:pStyle w:val="120"/>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3">
    <w:nsid w:val="76933334"/>
    <w:multiLevelType w:val="multilevel"/>
    <w:tmpl w:val="76933334"/>
    <w:lvl w:ilvl="0" w:tentative="0">
      <w:start w:val="1"/>
      <w:numFmt w:val="none"/>
      <w:pStyle w:val="144"/>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7AA61BFB"/>
    <w:multiLevelType w:val="singleLevel"/>
    <w:tmpl w:val="7AA61BFB"/>
    <w:lvl w:ilvl="0" w:tentative="0">
      <w:start w:val="1"/>
      <w:numFmt w:val="lowerLetter"/>
      <w:suff w:val="nothing"/>
      <w:lvlText w:val="%1）"/>
      <w:lvlJc w:val="left"/>
    </w:lvl>
  </w:abstractNum>
  <w:num w:numId="1">
    <w:abstractNumId w:val="2"/>
  </w:num>
  <w:num w:numId="2">
    <w:abstractNumId w:val="30"/>
  </w:num>
  <w:num w:numId="3">
    <w:abstractNumId w:val="7"/>
  </w:num>
  <w:num w:numId="4">
    <w:abstractNumId w:val="26"/>
  </w:num>
  <w:num w:numId="5">
    <w:abstractNumId w:val="22"/>
  </w:num>
  <w:num w:numId="6">
    <w:abstractNumId w:val="0"/>
  </w:num>
  <w:num w:numId="7">
    <w:abstractNumId w:val="10"/>
  </w:num>
  <w:num w:numId="8">
    <w:abstractNumId w:val="5"/>
  </w:num>
  <w:num w:numId="9">
    <w:abstractNumId w:val="12"/>
  </w:num>
  <w:num w:numId="10">
    <w:abstractNumId w:val="19"/>
  </w:num>
  <w:num w:numId="11">
    <w:abstractNumId w:val="28"/>
  </w:num>
  <w:num w:numId="12">
    <w:abstractNumId w:val="15"/>
  </w:num>
  <w:num w:numId="13">
    <w:abstractNumId w:val="16"/>
  </w:num>
  <w:num w:numId="14">
    <w:abstractNumId w:val="9"/>
  </w:num>
  <w:num w:numId="15">
    <w:abstractNumId w:val="21"/>
  </w:num>
  <w:num w:numId="16">
    <w:abstractNumId w:val="24"/>
  </w:num>
  <w:num w:numId="17">
    <w:abstractNumId w:val="20"/>
  </w:num>
  <w:num w:numId="18">
    <w:abstractNumId w:val="32"/>
  </w:num>
  <w:num w:numId="19">
    <w:abstractNumId w:val="18"/>
  </w:num>
  <w:num w:numId="20">
    <w:abstractNumId w:val="3"/>
  </w:num>
  <w:num w:numId="21">
    <w:abstractNumId w:val="14"/>
  </w:num>
  <w:num w:numId="22">
    <w:abstractNumId w:val="33"/>
  </w:num>
  <w:num w:numId="23">
    <w:abstractNumId w:val="23"/>
  </w:num>
  <w:num w:numId="24">
    <w:abstractNumId w:val="8"/>
  </w:num>
  <w:num w:numId="25">
    <w:abstractNumId w:val="29"/>
  </w:num>
  <w:num w:numId="26">
    <w:abstractNumId w:val="31"/>
  </w:num>
  <w:num w:numId="27">
    <w:abstractNumId w:val="4"/>
  </w:num>
  <w:num w:numId="28">
    <w:abstractNumId w:val="6"/>
  </w:num>
  <w:num w:numId="29">
    <w:abstractNumId w:val="17"/>
  </w:num>
  <w:num w:numId="30">
    <w:abstractNumId w:val="27"/>
  </w:num>
  <w:num w:numId="31">
    <w:abstractNumId w:val="25"/>
  </w:num>
  <w:num w:numId="32">
    <w:abstractNumId w:val="13"/>
  </w:num>
  <w:num w:numId="33">
    <w:abstractNumId w:val="11"/>
  </w:num>
  <w:num w:numId="34">
    <w:abstractNumId w:val="1"/>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bordersDoNotSurroundHeader w:val="0"/>
  <w:bordersDoNotSurroundFooter w:val="0"/>
  <w:attachedTemplate r:id="rId1"/>
  <w:documentProtection w:edit="forms" w:enforcement="0"/>
  <w:defaultTabStop w:val="420"/>
  <w:drawingGridHorizontalSpacing w:val="2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VhNzc5NGNmMzdlZmE0ZmRhNGMxZmY4ZDU4Zjk1MjcifQ=="/>
  </w:docVars>
  <w:rsids>
    <w:rsidRoot w:val="00CA61A4"/>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410E8"/>
    <w:rsid w:val="0004249A"/>
    <w:rsid w:val="00043282"/>
    <w:rsid w:val="00044286"/>
    <w:rsid w:val="00047F28"/>
    <w:rsid w:val="00047F8C"/>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3C8C"/>
    <w:rsid w:val="00077B64"/>
    <w:rsid w:val="00080A1C"/>
    <w:rsid w:val="00082317"/>
    <w:rsid w:val="00083326"/>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7666"/>
    <w:rsid w:val="000D0A9C"/>
    <w:rsid w:val="000D1795"/>
    <w:rsid w:val="000D2F41"/>
    <w:rsid w:val="000D329A"/>
    <w:rsid w:val="000D4B9C"/>
    <w:rsid w:val="000D4EB6"/>
    <w:rsid w:val="000D753B"/>
    <w:rsid w:val="000E4C9E"/>
    <w:rsid w:val="000E6FD7"/>
    <w:rsid w:val="000F06E1"/>
    <w:rsid w:val="000F0E3C"/>
    <w:rsid w:val="000F19D5"/>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41114"/>
    <w:rsid w:val="00142969"/>
    <w:rsid w:val="001457E7"/>
    <w:rsid w:val="00145D9D"/>
    <w:rsid w:val="00146388"/>
    <w:rsid w:val="001529E5"/>
    <w:rsid w:val="00153C7E"/>
    <w:rsid w:val="00156B25"/>
    <w:rsid w:val="00156E1A"/>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90087"/>
    <w:rsid w:val="001913C4"/>
    <w:rsid w:val="0019348F"/>
    <w:rsid w:val="00193A07"/>
    <w:rsid w:val="00194C95"/>
    <w:rsid w:val="00195C34"/>
    <w:rsid w:val="001A1A53"/>
    <w:rsid w:val="001A234A"/>
    <w:rsid w:val="001B06E8"/>
    <w:rsid w:val="001B193E"/>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107D"/>
    <w:rsid w:val="00202AA4"/>
    <w:rsid w:val="002031F7"/>
    <w:rsid w:val="002040E6"/>
    <w:rsid w:val="0020527B"/>
    <w:rsid w:val="002059A4"/>
    <w:rsid w:val="00205F2C"/>
    <w:rsid w:val="00210B15"/>
    <w:rsid w:val="002142EA"/>
    <w:rsid w:val="002204BB"/>
    <w:rsid w:val="00221B79"/>
    <w:rsid w:val="00221C6B"/>
    <w:rsid w:val="00224596"/>
    <w:rsid w:val="002253A1"/>
    <w:rsid w:val="00225CF8"/>
    <w:rsid w:val="0022718D"/>
    <w:rsid w:val="0022794E"/>
    <w:rsid w:val="00233D64"/>
    <w:rsid w:val="0023478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4BC"/>
    <w:rsid w:val="002643C3"/>
    <w:rsid w:val="00264A0C"/>
    <w:rsid w:val="00267EF4"/>
    <w:rsid w:val="00270CB8"/>
    <w:rsid w:val="00272B08"/>
    <w:rsid w:val="00281BB8"/>
    <w:rsid w:val="00281E9E"/>
    <w:rsid w:val="00285170"/>
    <w:rsid w:val="00285361"/>
    <w:rsid w:val="00292D6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23E3"/>
    <w:rsid w:val="002B4508"/>
    <w:rsid w:val="002B5779"/>
    <w:rsid w:val="002B7332"/>
    <w:rsid w:val="002B7F51"/>
    <w:rsid w:val="002C09E7"/>
    <w:rsid w:val="002C3F07"/>
    <w:rsid w:val="002C5278"/>
    <w:rsid w:val="002C7EBB"/>
    <w:rsid w:val="002D06C1"/>
    <w:rsid w:val="002D42B5"/>
    <w:rsid w:val="002D4F1A"/>
    <w:rsid w:val="002D6DA6"/>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07A95"/>
    <w:rsid w:val="00313B85"/>
    <w:rsid w:val="00317988"/>
    <w:rsid w:val="003221B4"/>
    <w:rsid w:val="00322E62"/>
    <w:rsid w:val="00324EDD"/>
    <w:rsid w:val="003331E4"/>
    <w:rsid w:val="00336C64"/>
    <w:rsid w:val="00337162"/>
    <w:rsid w:val="0034194F"/>
    <w:rsid w:val="00342DB8"/>
    <w:rsid w:val="00344605"/>
    <w:rsid w:val="003474AA"/>
    <w:rsid w:val="00350D1D"/>
    <w:rsid w:val="00351901"/>
    <w:rsid w:val="00352C83"/>
    <w:rsid w:val="003615D2"/>
    <w:rsid w:val="0036429C"/>
    <w:rsid w:val="00364A53"/>
    <w:rsid w:val="003654CB"/>
    <w:rsid w:val="00365F86"/>
    <w:rsid w:val="00365F87"/>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4077"/>
    <w:rsid w:val="003B09AD"/>
    <w:rsid w:val="003B0BD9"/>
    <w:rsid w:val="003B1F18"/>
    <w:rsid w:val="003B5BF0"/>
    <w:rsid w:val="003B60BF"/>
    <w:rsid w:val="003B6BE3"/>
    <w:rsid w:val="003C010C"/>
    <w:rsid w:val="003C0A6C"/>
    <w:rsid w:val="003C2859"/>
    <w:rsid w:val="003C3104"/>
    <w:rsid w:val="003C5A43"/>
    <w:rsid w:val="003D0519"/>
    <w:rsid w:val="003D0FF6"/>
    <w:rsid w:val="003D12CF"/>
    <w:rsid w:val="003D262C"/>
    <w:rsid w:val="003D6D61"/>
    <w:rsid w:val="003E015F"/>
    <w:rsid w:val="003E091D"/>
    <w:rsid w:val="003E1C53"/>
    <w:rsid w:val="003E2A69"/>
    <w:rsid w:val="003E2D49"/>
    <w:rsid w:val="003E2FD4"/>
    <w:rsid w:val="003E49F6"/>
    <w:rsid w:val="003F0841"/>
    <w:rsid w:val="003F23D3"/>
    <w:rsid w:val="003F3F08"/>
    <w:rsid w:val="003F49F1"/>
    <w:rsid w:val="003F6272"/>
    <w:rsid w:val="003F72A3"/>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563CD"/>
    <w:rsid w:val="00463B77"/>
    <w:rsid w:val="00463C7B"/>
    <w:rsid w:val="00463F02"/>
    <w:rsid w:val="004644A6"/>
    <w:rsid w:val="004659BD"/>
    <w:rsid w:val="00470775"/>
    <w:rsid w:val="004715BD"/>
    <w:rsid w:val="004746B1"/>
    <w:rsid w:val="0047583F"/>
    <w:rsid w:val="00484936"/>
    <w:rsid w:val="00485C89"/>
    <w:rsid w:val="00486BE3"/>
    <w:rsid w:val="004905E4"/>
    <w:rsid w:val="00490A89"/>
    <w:rsid w:val="00490AB4"/>
    <w:rsid w:val="004920D8"/>
    <w:rsid w:val="00492F02"/>
    <w:rsid w:val="004939AE"/>
    <w:rsid w:val="004A12DF"/>
    <w:rsid w:val="004A1BA8"/>
    <w:rsid w:val="004A4B57"/>
    <w:rsid w:val="004A63FA"/>
    <w:rsid w:val="004B0272"/>
    <w:rsid w:val="004B2701"/>
    <w:rsid w:val="004B2E1B"/>
    <w:rsid w:val="004B3E93"/>
    <w:rsid w:val="004C1FBC"/>
    <w:rsid w:val="004C3F1D"/>
    <w:rsid w:val="004C458D"/>
    <w:rsid w:val="004C7556"/>
    <w:rsid w:val="004C7E9D"/>
    <w:rsid w:val="004C7F67"/>
    <w:rsid w:val="004D076D"/>
    <w:rsid w:val="004D0EF1"/>
    <w:rsid w:val="004D189E"/>
    <w:rsid w:val="004D2253"/>
    <w:rsid w:val="004D4406"/>
    <w:rsid w:val="004D7C42"/>
    <w:rsid w:val="004E0465"/>
    <w:rsid w:val="004E127B"/>
    <w:rsid w:val="004E1C0A"/>
    <w:rsid w:val="004E3014"/>
    <w:rsid w:val="004E30C5"/>
    <w:rsid w:val="004E4AA5"/>
    <w:rsid w:val="004E4AEE"/>
    <w:rsid w:val="004E59E3"/>
    <w:rsid w:val="004E67C0"/>
    <w:rsid w:val="004F391A"/>
    <w:rsid w:val="004F3CFB"/>
    <w:rsid w:val="004F6456"/>
    <w:rsid w:val="004F696E"/>
    <w:rsid w:val="004F6C71"/>
    <w:rsid w:val="00501139"/>
    <w:rsid w:val="00502991"/>
    <w:rsid w:val="0050363E"/>
    <w:rsid w:val="005039BC"/>
    <w:rsid w:val="005043BB"/>
    <w:rsid w:val="00504A3D"/>
    <w:rsid w:val="00505767"/>
    <w:rsid w:val="005073F0"/>
    <w:rsid w:val="00510A7B"/>
    <w:rsid w:val="00512F6E"/>
    <w:rsid w:val="00513038"/>
    <w:rsid w:val="00514174"/>
    <w:rsid w:val="00516088"/>
    <w:rsid w:val="00516B0B"/>
    <w:rsid w:val="005207F4"/>
    <w:rsid w:val="005220EC"/>
    <w:rsid w:val="00523297"/>
    <w:rsid w:val="00523F95"/>
    <w:rsid w:val="00524D65"/>
    <w:rsid w:val="00525B16"/>
    <w:rsid w:val="00533D04"/>
    <w:rsid w:val="00534804"/>
    <w:rsid w:val="00534BDF"/>
    <w:rsid w:val="005354EA"/>
    <w:rsid w:val="00535EC4"/>
    <w:rsid w:val="00535ED9"/>
    <w:rsid w:val="0053692B"/>
    <w:rsid w:val="00541853"/>
    <w:rsid w:val="00543BDA"/>
    <w:rsid w:val="005441CC"/>
    <w:rsid w:val="005479DA"/>
    <w:rsid w:val="00547BCC"/>
    <w:rsid w:val="0055013B"/>
    <w:rsid w:val="00551F6F"/>
    <w:rsid w:val="00555044"/>
    <w:rsid w:val="00561475"/>
    <w:rsid w:val="0056487B"/>
    <w:rsid w:val="00564FB9"/>
    <w:rsid w:val="00573D9E"/>
    <w:rsid w:val="005801E3"/>
    <w:rsid w:val="00581802"/>
    <w:rsid w:val="005836A8"/>
    <w:rsid w:val="0058409C"/>
    <w:rsid w:val="00584262"/>
    <w:rsid w:val="00586630"/>
    <w:rsid w:val="00587ADD"/>
    <w:rsid w:val="00593544"/>
    <w:rsid w:val="00596160"/>
    <w:rsid w:val="005966E2"/>
    <w:rsid w:val="00597007"/>
    <w:rsid w:val="005A0966"/>
    <w:rsid w:val="005A11B7"/>
    <w:rsid w:val="005A260B"/>
    <w:rsid w:val="005A4A1B"/>
    <w:rsid w:val="005A7830"/>
    <w:rsid w:val="005A7FCE"/>
    <w:rsid w:val="005B0F3F"/>
    <w:rsid w:val="005B4903"/>
    <w:rsid w:val="005B51CE"/>
    <w:rsid w:val="005B5885"/>
    <w:rsid w:val="005B5CD7"/>
    <w:rsid w:val="005B6CF6"/>
    <w:rsid w:val="005B7422"/>
    <w:rsid w:val="005C29B8"/>
    <w:rsid w:val="005C5F21"/>
    <w:rsid w:val="005C7156"/>
    <w:rsid w:val="005D0C75"/>
    <w:rsid w:val="005D1E63"/>
    <w:rsid w:val="005D4171"/>
    <w:rsid w:val="005D6A95"/>
    <w:rsid w:val="005D6B2C"/>
    <w:rsid w:val="005D6D9C"/>
    <w:rsid w:val="005E2335"/>
    <w:rsid w:val="005E34CA"/>
    <w:rsid w:val="005E3C18"/>
    <w:rsid w:val="005E6318"/>
    <w:rsid w:val="005E6812"/>
    <w:rsid w:val="005E7829"/>
    <w:rsid w:val="005E7881"/>
    <w:rsid w:val="005E78E0"/>
    <w:rsid w:val="005F0D9C"/>
    <w:rsid w:val="005F284E"/>
    <w:rsid w:val="006015CE"/>
    <w:rsid w:val="00604784"/>
    <w:rsid w:val="00606419"/>
    <w:rsid w:val="00607D29"/>
    <w:rsid w:val="00612952"/>
    <w:rsid w:val="00614CC1"/>
    <w:rsid w:val="00615A9D"/>
    <w:rsid w:val="00617387"/>
    <w:rsid w:val="006252D8"/>
    <w:rsid w:val="006259BC"/>
    <w:rsid w:val="0062636B"/>
    <w:rsid w:val="00632182"/>
    <w:rsid w:val="00632AE0"/>
    <w:rsid w:val="00633C17"/>
    <w:rsid w:val="00636E3E"/>
    <w:rsid w:val="006379F7"/>
    <w:rsid w:val="00637E4D"/>
    <w:rsid w:val="00640620"/>
    <w:rsid w:val="00641A1F"/>
    <w:rsid w:val="0064528D"/>
    <w:rsid w:val="00645904"/>
    <w:rsid w:val="00651ACB"/>
    <w:rsid w:val="00651C47"/>
    <w:rsid w:val="00652AB2"/>
    <w:rsid w:val="00654EC0"/>
    <w:rsid w:val="0065525B"/>
    <w:rsid w:val="00655D4F"/>
    <w:rsid w:val="006640E5"/>
    <w:rsid w:val="006646F1"/>
    <w:rsid w:val="00664929"/>
    <w:rsid w:val="00664F62"/>
    <w:rsid w:val="006655E1"/>
    <w:rsid w:val="00672060"/>
    <w:rsid w:val="00672BFD"/>
    <w:rsid w:val="00675481"/>
    <w:rsid w:val="006770F4"/>
    <w:rsid w:val="00677A84"/>
    <w:rsid w:val="0068026D"/>
    <w:rsid w:val="00680A27"/>
    <w:rsid w:val="006816A4"/>
    <w:rsid w:val="006819B8"/>
    <w:rsid w:val="006840A6"/>
    <w:rsid w:val="006850CD"/>
    <w:rsid w:val="00685AAB"/>
    <w:rsid w:val="00692977"/>
    <w:rsid w:val="006A07AA"/>
    <w:rsid w:val="006A25E5"/>
    <w:rsid w:val="006A2B46"/>
    <w:rsid w:val="006A336D"/>
    <w:rsid w:val="006A37B9"/>
    <w:rsid w:val="006B2672"/>
    <w:rsid w:val="006B54BF"/>
    <w:rsid w:val="006B5F44"/>
    <w:rsid w:val="006B5F90"/>
    <w:rsid w:val="006B62E4"/>
    <w:rsid w:val="006B7562"/>
    <w:rsid w:val="006C1BBA"/>
    <w:rsid w:val="006C2079"/>
    <w:rsid w:val="006C317D"/>
    <w:rsid w:val="006C5A62"/>
    <w:rsid w:val="006C5D68"/>
    <w:rsid w:val="006C6976"/>
    <w:rsid w:val="006C6DD0"/>
    <w:rsid w:val="006D04EA"/>
    <w:rsid w:val="006D16C4"/>
    <w:rsid w:val="006D3E96"/>
    <w:rsid w:val="006D4515"/>
    <w:rsid w:val="006D4BB1"/>
    <w:rsid w:val="006D6593"/>
    <w:rsid w:val="006D686E"/>
    <w:rsid w:val="006F03A8"/>
    <w:rsid w:val="006F126C"/>
    <w:rsid w:val="006F2ACA"/>
    <w:rsid w:val="006F2ADC"/>
    <w:rsid w:val="006F2BFE"/>
    <w:rsid w:val="006F31E9"/>
    <w:rsid w:val="006F56E5"/>
    <w:rsid w:val="006F6284"/>
    <w:rsid w:val="007002C5"/>
    <w:rsid w:val="0070348B"/>
    <w:rsid w:val="00704387"/>
    <w:rsid w:val="00707669"/>
    <w:rsid w:val="00711CBA"/>
    <w:rsid w:val="00711FB5"/>
    <w:rsid w:val="00712A01"/>
    <w:rsid w:val="00714F58"/>
    <w:rsid w:val="00722FBF"/>
    <w:rsid w:val="00722FC2"/>
    <w:rsid w:val="00725949"/>
    <w:rsid w:val="00727FA2"/>
    <w:rsid w:val="007322D9"/>
    <w:rsid w:val="00732BC0"/>
    <w:rsid w:val="00732F4E"/>
    <w:rsid w:val="0073720F"/>
    <w:rsid w:val="00737796"/>
    <w:rsid w:val="0074165C"/>
    <w:rsid w:val="00742C35"/>
    <w:rsid w:val="007432CA"/>
    <w:rsid w:val="007439EB"/>
    <w:rsid w:val="00743CB4"/>
    <w:rsid w:val="00743F0A"/>
    <w:rsid w:val="007444E8"/>
    <w:rsid w:val="0074548E"/>
    <w:rsid w:val="00745773"/>
    <w:rsid w:val="00746800"/>
    <w:rsid w:val="00747CF0"/>
    <w:rsid w:val="007501A8"/>
    <w:rsid w:val="00750EE1"/>
    <w:rsid w:val="00752B4D"/>
    <w:rsid w:val="00755402"/>
    <w:rsid w:val="00756B26"/>
    <w:rsid w:val="00756EDF"/>
    <w:rsid w:val="00765C43"/>
    <w:rsid w:val="00765EFB"/>
    <w:rsid w:val="007671CA"/>
    <w:rsid w:val="0076744F"/>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6FD9"/>
    <w:rsid w:val="007A7FFA"/>
    <w:rsid w:val="007B04EB"/>
    <w:rsid w:val="007B0D4F"/>
    <w:rsid w:val="007B2CD6"/>
    <w:rsid w:val="007B5A3D"/>
    <w:rsid w:val="007B5B95"/>
    <w:rsid w:val="007B68EA"/>
    <w:rsid w:val="007B7453"/>
    <w:rsid w:val="007C2D89"/>
    <w:rsid w:val="007C4593"/>
    <w:rsid w:val="007C5309"/>
    <w:rsid w:val="007C6069"/>
    <w:rsid w:val="007D06C4"/>
    <w:rsid w:val="007D1352"/>
    <w:rsid w:val="007D2508"/>
    <w:rsid w:val="007D346A"/>
    <w:rsid w:val="007D6518"/>
    <w:rsid w:val="007D76BD"/>
    <w:rsid w:val="007E0BF1"/>
    <w:rsid w:val="007E0D02"/>
    <w:rsid w:val="007E258B"/>
    <w:rsid w:val="007F0ED8"/>
    <w:rsid w:val="007F0F63"/>
    <w:rsid w:val="007F3748"/>
    <w:rsid w:val="007F75CE"/>
    <w:rsid w:val="008013A4"/>
    <w:rsid w:val="008027CE"/>
    <w:rsid w:val="00802F42"/>
    <w:rsid w:val="00804383"/>
    <w:rsid w:val="00804BB7"/>
    <w:rsid w:val="00810257"/>
    <w:rsid w:val="008104F5"/>
    <w:rsid w:val="00811072"/>
    <w:rsid w:val="00811369"/>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40617"/>
    <w:rsid w:val="00842A47"/>
    <w:rsid w:val="00843C13"/>
    <w:rsid w:val="008454F8"/>
    <w:rsid w:val="0085173A"/>
    <w:rsid w:val="00854343"/>
    <w:rsid w:val="008562FB"/>
    <w:rsid w:val="00860297"/>
    <w:rsid w:val="008603CE"/>
    <w:rsid w:val="008620FC"/>
    <w:rsid w:val="008627A5"/>
    <w:rsid w:val="00863E05"/>
    <w:rsid w:val="0086431E"/>
    <w:rsid w:val="00865ACA"/>
    <w:rsid w:val="00865D28"/>
    <w:rsid w:val="00865F85"/>
    <w:rsid w:val="00867C10"/>
    <w:rsid w:val="00870439"/>
    <w:rsid w:val="00870DA1"/>
    <w:rsid w:val="00883F93"/>
    <w:rsid w:val="00884DB3"/>
    <w:rsid w:val="00885A9D"/>
    <w:rsid w:val="008864F6"/>
    <w:rsid w:val="0089049D"/>
    <w:rsid w:val="008928C9"/>
    <w:rsid w:val="008938DC"/>
    <w:rsid w:val="00893FD1"/>
    <w:rsid w:val="00894836"/>
    <w:rsid w:val="00895172"/>
    <w:rsid w:val="00895680"/>
    <w:rsid w:val="00896DFF"/>
    <w:rsid w:val="0089762C"/>
    <w:rsid w:val="008A1893"/>
    <w:rsid w:val="008A769A"/>
    <w:rsid w:val="008B0C9C"/>
    <w:rsid w:val="008B166D"/>
    <w:rsid w:val="008B17F4"/>
    <w:rsid w:val="008B3615"/>
    <w:rsid w:val="008B4AC4"/>
    <w:rsid w:val="008B50C8"/>
    <w:rsid w:val="008B5281"/>
    <w:rsid w:val="008B7E05"/>
    <w:rsid w:val="008C1797"/>
    <w:rsid w:val="008C219C"/>
    <w:rsid w:val="008C475E"/>
    <w:rsid w:val="008C4767"/>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58DC"/>
    <w:rsid w:val="008F70BD"/>
    <w:rsid w:val="008F788F"/>
    <w:rsid w:val="008F7EA2"/>
    <w:rsid w:val="00902722"/>
    <w:rsid w:val="009027BC"/>
    <w:rsid w:val="009062E6"/>
    <w:rsid w:val="00911AF6"/>
    <w:rsid w:val="00911BE5"/>
    <w:rsid w:val="00913CA9"/>
    <w:rsid w:val="009145AE"/>
    <w:rsid w:val="009146CE"/>
    <w:rsid w:val="00914CA7"/>
    <w:rsid w:val="00915C3E"/>
    <w:rsid w:val="009161A8"/>
    <w:rsid w:val="009245F5"/>
    <w:rsid w:val="009249EC"/>
    <w:rsid w:val="009273B3"/>
    <w:rsid w:val="009305B5"/>
    <w:rsid w:val="00941FA3"/>
    <w:rsid w:val="009429D5"/>
    <w:rsid w:val="00942BF1"/>
    <w:rsid w:val="00945180"/>
    <w:rsid w:val="00945428"/>
    <w:rsid w:val="0094607B"/>
    <w:rsid w:val="00953604"/>
    <w:rsid w:val="0095496B"/>
    <w:rsid w:val="009610DC"/>
    <w:rsid w:val="00961490"/>
    <w:rsid w:val="0096381A"/>
    <w:rsid w:val="00965E04"/>
    <w:rsid w:val="009674AD"/>
    <w:rsid w:val="00970CDC"/>
    <w:rsid w:val="00977010"/>
    <w:rsid w:val="00977D02"/>
    <w:rsid w:val="009809BB"/>
    <w:rsid w:val="0098364B"/>
    <w:rsid w:val="009911AF"/>
    <w:rsid w:val="00991875"/>
    <w:rsid w:val="00991F92"/>
    <w:rsid w:val="00992985"/>
    <w:rsid w:val="00993889"/>
    <w:rsid w:val="00994782"/>
    <w:rsid w:val="0099551B"/>
    <w:rsid w:val="00997BF1"/>
    <w:rsid w:val="009A089C"/>
    <w:rsid w:val="009A118E"/>
    <w:rsid w:val="009A21CD"/>
    <w:rsid w:val="009A278C"/>
    <w:rsid w:val="009A2BC2"/>
    <w:rsid w:val="009A42C1"/>
    <w:rsid w:val="009A5429"/>
    <w:rsid w:val="009A72AD"/>
    <w:rsid w:val="009B09E0"/>
    <w:rsid w:val="009B0BC5"/>
    <w:rsid w:val="009B1247"/>
    <w:rsid w:val="009B6029"/>
    <w:rsid w:val="009B6464"/>
    <w:rsid w:val="009B6971"/>
    <w:rsid w:val="009C27F1"/>
    <w:rsid w:val="009C3152"/>
    <w:rsid w:val="009C4CFA"/>
    <w:rsid w:val="009C5070"/>
    <w:rsid w:val="009D112C"/>
    <w:rsid w:val="009D47FA"/>
    <w:rsid w:val="009D50D2"/>
    <w:rsid w:val="009D6BCA"/>
    <w:rsid w:val="009D72B9"/>
    <w:rsid w:val="009E0F62"/>
    <w:rsid w:val="009E1848"/>
    <w:rsid w:val="009E4A58"/>
    <w:rsid w:val="009E5A2D"/>
    <w:rsid w:val="009E5AB2"/>
    <w:rsid w:val="009E6219"/>
    <w:rsid w:val="009F03B3"/>
    <w:rsid w:val="00A01757"/>
    <w:rsid w:val="00A028C0"/>
    <w:rsid w:val="00A02BAE"/>
    <w:rsid w:val="00A05AA6"/>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597D"/>
    <w:rsid w:val="00A4006C"/>
    <w:rsid w:val="00A40091"/>
    <w:rsid w:val="00A4030F"/>
    <w:rsid w:val="00A41C79"/>
    <w:rsid w:val="00A41CB5"/>
    <w:rsid w:val="00A42CDF"/>
    <w:rsid w:val="00A4307B"/>
    <w:rsid w:val="00A4452E"/>
    <w:rsid w:val="00A4472C"/>
    <w:rsid w:val="00A44E69"/>
    <w:rsid w:val="00A4661E"/>
    <w:rsid w:val="00A55BD6"/>
    <w:rsid w:val="00A55D50"/>
    <w:rsid w:val="00A57142"/>
    <w:rsid w:val="00A61D48"/>
    <w:rsid w:val="00A648CD"/>
    <w:rsid w:val="00A6537A"/>
    <w:rsid w:val="00A67866"/>
    <w:rsid w:val="00A70B07"/>
    <w:rsid w:val="00A723F8"/>
    <w:rsid w:val="00A77CCB"/>
    <w:rsid w:val="00A83D8D"/>
    <w:rsid w:val="00A83E19"/>
    <w:rsid w:val="00A8446B"/>
    <w:rsid w:val="00A8473F"/>
    <w:rsid w:val="00A862D6"/>
    <w:rsid w:val="00A8715E"/>
    <w:rsid w:val="00A87647"/>
    <w:rsid w:val="00A9295B"/>
    <w:rsid w:val="00A93B09"/>
    <w:rsid w:val="00A952D7"/>
    <w:rsid w:val="00A963F7"/>
    <w:rsid w:val="00A96AD8"/>
    <w:rsid w:val="00AA052C"/>
    <w:rsid w:val="00AA1E45"/>
    <w:rsid w:val="00AA30E6"/>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5D89"/>
    <w:rsid w:val="00AE070A"/>
    <w:rsid w:val="00AE101C"/>
    <w:rsid w:val="00AE232F"/>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432"/>
    <w:rsid w:val="00B447A5"/>
    <w:rsid w:val="00B4654C"/>
    <w:rsid w:val="00B47293"/>
    <w:rsid w:val="00B50E50"/>
    <w:rsid w:val="00B52120"/>
    <w:rsid w:val="00B54ABC"/>
    <w:rsid w:val="00B56FBE"/>
    <w:rsid w:val="00B62B58"/>
    <w:rsid w:val="00B65149"/>
    <w:rsid w:val="00B66567"/>
    <w:rsid w:val="00B66F52"/>
    <w:rsid w:val="00B66FE5"/>
    <w:rsid w:val="00B72880"/>
    <w:rsid w:val="00B758BF"/>
    <w:rsid w:val="00B827A6"/>
    <w:rsid w:val="00B831CE"/>
    <w:rsid w:val="00B86677"/>
    <w:rsid w:val="00B87131"/>
    <w:rsid w:val="00B939B1"/>
    <w:rsid w:val="00B96D40"/>
    <w:rsid w:val="00B97386"/>
    <w:rsid w:val="00B978DB"/>
    <w:rsid w:val="00BA263B"/>
    <w:rsid w:val="00BA42B2"/>
    <w:rsid w:val="00BA58D4"/>
    <w:rsid w:val="00BA5B9E"/>
    <w:rsid w:val="00BA7C9A"/>
    <w:rsid w:val="00BB5F8F"/>
    <w:rsid w:val="00BB657A"/>
    <w:rsid w:val="00BC1A4E"/>
    <w:rsid w:val="00BC5DC7"/>
    <w:rsid w:val="00BC6B41"/>
    <w:rsid w:val="00BC6B8B"/>
    <w:rsid w:val="00BC73D8"/>
    <w:rsid w:val="00BD52D7"/>
    <w:rsid w:val="00BD5AD2"/>
    <w:rsid w:val="00BE22F3"/>
    <w:rsid w:val="00BE5B52"/>
    <w:rsid w:val="00BE7B8D"/>
    <w:rsid w:val="00BF0993"/>
    <w:rsid w:val="00BF10A9"/>
    <w:rsid w:val="00BF1703"/>
    <w:rsid w:val="00BF231C"/>
    <w:rsid w:val="00BF51E5"/>
    <w:rsid w:val="00BF74A6"/>
    <w:rsid w:val="00BF7718"/>
    <w:rsid w:val="00C013AD"/>
    <w:rsid w:val="00C020FB"/>
    <w:rsid w:val="00C04904"/>
    <w:rsid w:val="00C056B3"/>
    <w:rsid w:val="00C103E5"/>
    <w:rsid w:val="00C13319"/>
    <w:rsid w:val="00C13EE9"/>
    <w:rsid w:val="00C21540"/>
    <w:rsid w:val="00C21906"/>
    <w:rsid w:val="00C21BFA"/>
    <w:rsid w:val="00C24C8D"/>
    <w:rsid w:val="00C25FE2"/>
    <w:rsid w:val="00C260F4"/>
    <w:rsid w:val="00C26B53"/>
    <w:rsid w:val="00C279B2"/>
    <w:rsid w:val="00C33E50"/>
    <w:rsid w:val="00C34C20"/>
    <w:rsid w:val="00C35A3E"/>
    <w:rsid w:val="00C42130"/>
    <w:rsid w:val="00C423A4"/>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6741"/>
    <w:rsid w:val="00CA2D1B"/>
    <w:rsid w:val="00CA61A4"/>
    <w:rsid w:val="00CA662A"/>
    <w:rsid w:val="00CA7AFD"/>
    <w:rsid w:val="00CA7C3C"/>
    <w:rsid w:val="00CB0189"/>
    <w:rsid w:val="00CB0BA2"/>
    <w:rsid w:val="00CB1A42"/>
    <w:rsid w:val="00CB1B0C"/>
    <w:rsid w:val="00CB2C0B"/>
    <w:rsid w:val="00CB517D"/>
    <w:rsid w:val="00CC038D"/>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5EEF"/>
    <w:rsid w:val="00CE0C4F"/>
    <w:rsid w:val="00CE30EA"/>
    <w:rsid w:val="00CF048A"/>
    <w:rsid w:val="00CF155A"/>
    <w:rsid w:val="00CF2947"/>
    <w:rsid w:val="00CF4E76"/>
    <w:rsid w:val="00CF686F"/>
    <w:rsid w:val="00CF6E60"/>
    <w:rsid w:val="00CF7BCA"/>
    <w:rsid w:val="00D008FD"/>
    <w:rsid w:val="00D0321C"/>
    <w:rsid w:val="00D035EC"/>
    <w:rsid w:val="00D06AB1"/>
    <w:rsid w:val="00D072ED"/>
    <w:rsid w:val="00D07A16"/>
    <w:rsid w:val="00D1067E"/>
    <w:rsid w:val="00D10F50"/>
    <w:rsid w:val="00D11272"/>
    <w:rsid w:val="00D126F5"/>
    <w:rsid w:val="00D1489E"/>
    <w:rsid w:val="00D20737"/>
    <w:rsid w:val="00D21E81"/>
    <w:rsid w:val="00D223DE"/>
    <w:rsid w:val="00D25E37"/>
    <w:rsid w:val="00D2661A"/>
    <w:rsid w:val="00D27582"/>
    <w:rsid w:val="00D32719"/>
    <w:rsid w:val="00D33333"/>
    <w:rsid w:val="00D34CB7"/>
    <w:rsid w:val="00D352A2"/>
    <w:rsid w:val="00D4162B"/>
    <w:rsid w:val="00D4514F"/>
    <w:rsid w:val="00D451E2"/>
    <w:rsid w:val="00D45E89"/>
    <w:rsid w:val="00D45E8D"/>
    <w:rsid w:val="00D466AE"/>
    <w:rsid w:val="00D4734F"/>
    <w:rsid w:val="00D51865"/>
    <w:rsid w:val="00D51BF3"/>
    <w:rsid w:val="00D54B98"/>
    <w:rsid w:val="00D56D85"/>
    <w:rsid w:val="00D66846"/>
    <w:rsid w:val="00D675FB"/>
    <w:rsid w:val="00D71F25"/>
    <w:rsid w:val="00D77031"/>
    <w:rsid w:val="00D81136"/>
    <w:rsid w:val="00D84941"/>
    <w:rsid w:val="00D84FA1"/>
    <w:rsid w:val="00D851F0"/>
    <w:rsid w:val="00D86DB7"/>
    <w:rsid w:val="00D9060C"/>
    <w:rsid w:val="00D926D0"/>
    <w:rsid w:val="00D93030"/>
    <w:rsid w:val="00D950E1"/>
    <w:rsid w:val="00D952A6"/>
    <w:rsid w:val="00D97F99"/>
    <w:rsid w:val="00DA1E08"/>
    <w:rsid w:val="00DA24F8"/>
    <w:rsid w:val="00DA28E8"/>
    <w:rsid w:val="00DA38D3"/>
    <w:rsid w:val="00DA3932"/>
    <w:rsid w:val="00DA3AFC"/>
    <w:rsid w:val="00DA64F8"/>
    <w:rsid w:val="00DA6C15"/>
    <w:rsid w:val="00DB38EE"/>
    <w:rsid w:val="00DB498B"/>
    <w:rsid w:val="00DB66CA"/>
    <w:rsid w:val="00DB6BCA"/>
    <w:rsid w:val="00DB7113"/>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DF4A10"/>
    <w:rsid w:val="00E01138"/>
    <w:rsid w:val="00E02DFB"/>
    <w:rsid w:val="00E030F9"/>
    <w:rsid w:val="00E0311A"/>
    <w:rsid w:val="00E03138"/>
    <w:rsid w:val="00E06404"/>
    <w:rsid w:val="00E11A85"/>
    <w:rsid w:val="00E12495"/>
    <w:rsid w:val="00E15CCD"/>
    <w:rsid w:val="00E15D9E"/>
    <w:rsid w:val="00E202EF"/>
    <w:rsid w:val="00E210B5"/>
    <w:rsid w:val="00E2552F"/>
    <w:rsid w:val="00E30FAC"/>
    <w:rsid w:val="00E3137A"/>
    <w:rsid w:val="00E32213"/>
    <w:rsid w:val="00E32CCF"/>
    <w:rsid w:val="00E33542"/>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2FF9"/>
    <w:rsid w:val="00E635D6"/>
    <w:rsid w:val="00E639BC"/>
    <w:rsid w:val="00E664CC"/>
    <w:rsid w:val="00E70388"/>
    <w:rsid w:val="00E70B15"/>
    <w:rsid w:val="00E70F92"/>
    <w:rsid w:val="00E74B63"/>
    <w:rsid w:val="00E74C54"/>
    <w:rsid w:val="00E77A03"/>
    <w:rsid w:val="00E822E8"/>
    <w:rsid w:val="00E82554"/>
    <w:rsid w:val="00E82606"/>
    <w:rsid w:val="00E846C8"/>
    <w:rsid w:val="00E84957"/>
    <w:rsid w:val="00E84A55"/>
    <w:rsid w:val="00E85BFF"/>
    <w:rsid w:val="00E90391"/>
    <w:rsid w:val="00E906C2"/>
    <w:rsid w:val="00E9070B"/>
    <w:rsid w:val="00E9311F"/>
    <w:rsid w:val="00E934D1"/>
    <w:rsid w:val="00E94AF0"/>
    <w:rsid w:val="00E95D13"/>
    <w:rsid w:val="00E95DD3"/>
    <w:rsid w:val="00E969D5"/>
    <w:rsid w:val="00EA58D1"/>
    <w:rsid w:val="00EA61BC"/>
    <w:rsid w:val="00EA681A"/>
    <w:rsid w:val="00EA735B"/>
    <w:rsid w:val="00EB1E69"/>
    <w:rsid w:val="00EB2086"/>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1542"/>
    <w:rsid w:val="00F06D37"/>
    <w:rsid w:val="00F07B9D"/>
    <w:rsid w:val="00F10926"/>
    <w:rsid w:val="00F11586"/>
    <w:rsid w:val="00F1183B"/>
    <w:rsid w:val="00F11C9F"/>
    <w:rsid w:val="00F12263"/>
    <w:rsid w:val="00F1409D"/>
    <w:rsid w:val="00F14214"/>
    <w:rsid w:val="00F157A9"/>
    <w:rsid w:val="00F25BB6"/>
    <w:rsid w:val="00F26B7E"/>
    <w:rsid w:val="00F27A3B"/>
    <w:rsid w:val="00F33817"/>
    <w:rsid w:val="00F3447F"/>
    <w:rsid w:val="00F420D5"/>
    <w:rsid w:val="00F451EA"/>
    <w:rsid w:val="00F45447"/>
    <w:rsid w:val="00F456C6"/>
    <w:rsid w:val="00F4577B"/>
    <w:rsid w:val="00F46496"/>
    <w:rsid w:val="00F474D0"/>
    <w:rsid w:val="00F50179"/>
    <w:rsid w:val="00F56511"/>
    <w:rsid w:val="00F6194E"/>
    <w:rsid w:val="00F623AC"/>
    <w:rsid w:val="00F6412A"/>
    <w:rsid w:val="00F65893"/>
    <w:rsid w:val="00F66A4A"/>
    <w:rsid w:val="00F71E22"/>
    <w:rsid w:val="00F72142"/>
    <w:rsid w:val="00F72AE7"/>
    <w:rsid w:val="00F77D98"/>
    <w:rsid w:val="00F81D01"/>
    <w:rsid w:val="00F833BA"/>
    <w:rsid w:val="00F84FD0"/>
    <w:rsid w:val="00F859A8"/>
    <w:rsid w:val="00F86C8B"/>
    <w:rsid w:val="00F9108B"/>
    <w:rsid w:val="00F91349"/>
    <w:rsid w:val="00F93A8A"/>
    <w:rsid w:val="00F95248"/>
    <w:rsid w:val="00F956A9"/>
    <w:rsid w:val="00F963ED"/>
    <w:rsid w:val="00F966CF"/>
    <w:rsid w:val="00F96CAE"/>
    <w:rsid w:val="00F97C99"/>
    <w:rsid w:val="00FA662D"/>
    <w:rsid w:val="00FA6730"/>
    <w:rsid w:val="00FA73B1"/>
    <w:rsid w:val="00FB0CB9"/>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3B0DE8"/>
    <w:rsid w:val="013E61E2"/>
    <w:rsid w:val="0167635A"/>
    <w:rsid w:val="01B666C0"/>
    <w:rsid w:val="01CC4A42"/>
    <w:rsid w:val="01DB1C83"/>
    <w:rsid w:val="02247ACE"/>
    <w:rsid w:val="02317AF5"/>
    <w:rsid w:val="024B6E08"/>
    <w:rsid w:val="027345B1"/>
    <w:rsid w:val="02C46BBB"/>
    <w:rsid w:val="02EB239A"/>
    <w:rsid w:val="0337738D"/>
    <w:rsid w:val="035E700F"/>
    <w:rsid w:val="0374238F"/>
    <w:rsid w:val="03802AE2"/>
    <w:rsid w:val="038F0F77"/>
    <w:rsid w:val="03936A9A"/>
    <w:rsid w:val="041A1DAA"/>
    <w:rsid w:val="04390EE3"/>
    <w:rsid w:val="04642403"/>
    <w:rsid w:val="04D71266"/>
    <w:rsid w:val="05017C52"/>
    <w:rsid w:val="05383DBD"/>
    <w:rsid w:val="056D7D96"/>
    <w:rsid w:val="05772045"/>
    <w:rsid w:val="057E74F5"/>
    <w:rsid w:val="059565ED"/>
    <w:rsid w:val="05D13AC9"/>
    <w:rsid w:val="05D610DF"/>
    <w:rsid w:val="05E25CD6"/>
    <w:rsid w:val="060774EA"/>
    <w:rsid w:val="062067FE"/>
    <w:rsid w:val="06370BD1"/>
    <w:rsid w:val="063F6C84"/>
    <w:rsid w:val="06AD0181"/>
    <w:rsid w:val="071740BE"/>
    <w:rsid w:val="072126BE"/>
    <w:rsid w:val="074107DA"/>
    <w:rsid w:val="0741664E"/>
    <w:rsid w:val="074402CA"/>
    <w:rsid w:val="076C2B3D"/>
    <w:rsid w:val="07837045"/>
    <w:rsid w:val="07F22FA2"/>
    <w:rsid w:val="08267E19"/>
    <w:rsid w:val="082779D0"/>
    <w:rsid w:val="082A74C0"/>
    <w:rsid w:val="089112ED"/>
    <w:rsid w:val="08C94F2B"/>
    <w:rsid w:val="08D631A4"/>
    <w:rsid w:val="08FB2C0B"/>
    <w:rsid w:val="09075A53"/>
    <w:rsid w:val="093A7BD7"/>
    <w:rsid w:val="096133B5"/>
    <w:rsid w:val="098B21E0"/>
    <w:rsid w:val="09DC47EA"/>
    <w:rsid w:val="0A49096C"/>
    <w:rsid w:val="0AAE6112"/>
    <w:rsid w:val="0AD35BED"/>
    <w:rsid w:val="0ADD2F10"/>
    <w:rsid w:val="0B510CC2"/>
    <w:rsid w:val="0B61144B"/>
    <w:rsid w:val="0B7373D0"/>
    <w:rsid w:val="0B792C38"/>
    <w:rsid w:val="0BA37CB5"/>
    <w:rsid w:val="0C7015F6"/>
    <w:rsid w:val="0C8F023A"/>
    <w:rsid w:val="0C922D96"/>
    <w:rsid w:val="0C96783C"/>
    <w:rsid w:val="0C9B6BDE"/>
    <w:rsid w:val="0CA666F2"/>
    <w:rsid w:val="0CA912FB"/>
    <w:rsid w:val="0CAC0DEC"/>
    <w:rsid w:val="0CB24D02"/>
    <w:rsid w:val="0CBD4DA7"/>
    <w:rsid w:val="0CF06F2A"/>
    <w:rsid w:val="0CF7697F"/>
    <w:rsid w:val="0CF9720F"/>
    <w:rsid w:val="0D0C3638"/>
    <w:rsid w:val="0D205F98"/>
    <w:rsid w:val="0D2D1B8C"/>
    <w:rsid w:val="0D397A5A"/>
    <w:rsid w:val="0D3D7CEB"/>
    <w:rsid w:val="0D70006B"/>
    <w:rsid w:val="0D985311"/>
    <w:rsid w:val="0DA21B9C"/>
    <w:rsid w:val="0DEE2D3E"/>
    <w:rsid w:val="0E323572"/>
    <w:rsid w:val="0E5E4367"/>
    <w:rsid w:val="0E6D5BB9"/>
    <w:rsid w:val="0EAA135B"/>
    <w:rsid w:val="0EAE0E4B"/>
    <w:rsid w:val="0ED9579C"/>
    <w:rsid w:val="0F1C5EFC"/>
    <w:rsid w:val="0F356B1D"/>
    <w:rsid w:val="0F4470B9"/>
    <w:rsid w:val="0F576C9E"/>
    <w:rsid w:val="0FAA3E38"/>
    <w:rsid w:val="0FAB7138"/>
    <w:rsid w:val="0FDA17CC"/>
    <w:rsid w:val="0FF860F6"/>
    <w:rsid w:val="1024598E"/>
    <w:rsid w:val="10757746"/>
    <w:rsid w:val="107C0AD5"/>
    <w:rsid w:val="108C091C"/>
    <w:rsid w:val="10971222"/>
    <w:rsid w:val="109B5CEE"/>
    <w:rsid w:val="111B209C"/>
    <w:rsid w:val="11346DAD"/>
    <w:rsid w:val="11364E51"/>
    <w:rsid w:val="115C628C"/>
    <w:rsid w:val="117479FE"/>
    <w:rsid w:val="118045F5"/>
    <w:rsid w:val="119F4A7B"/>
    <w:rsid w:val="11B61661"/>
    <w:rsid w:val="11E82659"/>
    <w:rsid w:val="120B2110"/>
    <w:rsid w:val="126637EB"/>
    <w:rsid w:val="1279042F"/>
    <w:rsid w:val="1289734F"/>
    <w:rsid w:val="12E71E34"/>
    <w:rsid w:val="12FE379E"/>
    <w:rsid w:val="13693232"/>
    <w:rsid w:val="13DA623E"/>
    <w:rsid w:val="13E175CD"/>
    <w:rsid w:val="13E96481"/>
    <w:rsid w:val="14047949"/>
    <w:rsid w:val="14403A45"/>
    <w:rsid w:val="144A694C"/>
    <w:rsid w:val="14755F67"/>
    <w:rsid w:val="14897755"/>
    <w:rsid w:val="14C95AF3"/>
    <w:rsid w:val="15003A82"/>
    <w:rsid w:val="15107A3E"/>
    <w:rsid w:val="15164B54"/>
    <w:rsid w:val="1579275D"/>
    <w:rsid w:val="15854FAB"/>
    <w:rsid w:val="15C96451"/>
    <w:rsid w:val="15CE3B81"/>
    <w:rsid w:val="15E931DA"/>
    <w:rsid w:val="161D66CD"/>
    <w:rsid w:val="1662251B"/>
    <w:rsid w:val="16946B78"/>
    <w:rsid w:val="16BD34A4"/>
    <w:rsid w:val="16FE3F09"/>
    <w:rsid w:val="1740285C"/>
    <w:rsid w:val="1752433D"/>
    <w:rsid w:val="177047B1"/>
    <w:rsid w:val="1798559B"/>
    <w:rsid w:val="18090EA0"/>
    <w:rsid w:val="181451A4"/>
    <w:rsid w:val="182932F0"/>
    <w:rsid w:val="185C5798"/>
    <w:rsid w:val="187911F5"/>
    <w:rsid w:val="19020F76"/>
    <w:rsid w:val="195218C7"/>
    <w:rsid w:val="19AD1853"/>
    <w:rsid w:val="19B60BB4"/>
    <w:rsid w:val="19E80F89"/>
    <w:rsid w:val="1A1670E6"/>
    <w:rsid w:val="1A2E2E40"/>
    <w:rsid w:val="1A367F46"/>
    <w:rsid w:val="1A5B14D5"/>
    <w:rsid w:val="1A6C3968"/>
    <w:rsid w:val="1AB53561"/>
    <w:rsid w:val="1AB90161"/>
    <w:rsid w:val="1AC90DBB"/>
    <w:rsid w:val="1AD05CA5"/>
    <w:rsid w:val="1AF851FC"/>
    <w:rsid w:val="1B444464"/>
    <w:rsid w:val="1BA64C58"/>
    <w:rsid w:val="1C2019B2"/>
    <w:rsid w:val="1C232937"/>
    <w:rsid w:val="1C33298F"/>
    <w:rsid w:val="1C84035C"/>
    <w:rsid w:val="1C90180A"/>
    <w:rsid w:val="1CB44504"/>
    <w:rsid w:val="1CBF06C7"/>
    <w:rsid w:val="1CD11779"/>
    <w:rsid w:val="1CD557F5"/>
    <w:rsid w:val="1CD94D8F"/>
    <w:rsid w:val="1CFE203E"/>
    <w:rsid w:val="1D3E1AE8"/>
    <w:rsid w:val="1D412E8A"/>
    <w:rsid w:val="1D6152DA"/>
    <w:rsid w:val="1D8E3BF5"/>
    <w:rsid w:val="1D9C6312"/>
    <w:rsid w:val="1DA578BD"/>
    <w:rsid w:val="1DE37048"/>
    <w:rsid w:val="1E293DC9"/>
    <w:rsid w:val="1E592455"/>
    <w:rsid w:val="1EF503D0"/>
    <w:rsid w:val="1F4629DA"/>
    <w:rsid w:val="1F5A46D7"/>
    <w:rsid w:val="1F7D0E8D"/>
    <w:rsid w:val="1F7E2174"/>
    <w:rsid w:val="1FE16BA6"/>
    <w:rsid w:val="1FFB71EF"/>
    <w:rsid w:val="2011123A"/>
    <w:rsid w:val="202D53DB"/>
    <w:rsid w:val="202F6FF1"/>
    <w:rsid w:val="20586BFF"/>
    <w:rsid w:val="206F32C6"/>
    <w:rsid w:val="20931C4F"/>
    <w:rsid w:val="20A206AE"/>
    <w:rsid w:val="21022930"/>
    <w:rsid w:val="21115269"/>
    <w:rsid w:val="21167384"/>
    <w:rsid w:val="2136082C"/>
    <w:rsid w:val="21703D3E"/>
    <w:rsid w:val="221446F8"/>
    <w:rsid w:val="22487203"/>
    <w:rsid w:val="22A21F61"/>
    <w:rsid w:val="23135F56"/>
    <w:rsid w:val="23720E5B"/>
    <w:rsid w:val="239F4DAE"/>
    <w:rsid w:val="23B2431C"/>
    <w:rsid w:val="24101808"/>
    <w:rsid w:val="24B228BF"/>
    <w:rsid w:val="24BE74B6"/>
    <w:rsid w:val="24E567F1"/>
    <w:rsid w:val="24E862E1"/>
    <w:rsid w:val="2560231B"/>
    <w:rsid w:val="257152D6"/>
    <w:rsid w:val="25D80104"/>
    <w:rsid w:val="25FA2770"/>
    <w:rsid w:val="26013711"/>
    <w:rsid w:val="2604378E"/>
    <w:rsid w:val="2641214D"/>
    <w:rsid w:val="26435EC5"/>
    <w:rsid w:val="26597496"/>
    <w:rsid w:val="268D6C84"/>
    <w:rsid w:val="26AC40FD"/>
    <w:rsid w:val="26C568DA"/>
    <w:rsid w:val="26D22DA5"/>
    <w:rsid w:val="26F251F5"/>
    <w:rsid w:val="26FD2518"/>
    <w:rsid w:val="26FF3ACF"/>
    <w:rsid w:val="2706199F"/>
    <w:rsid w:val="27191146"/>
    <w:rsid w:val="272555CB"/>
    <w:rsid w:val="272705E4"/>
    <w:rsid w:val="278B636C"/>
    <w:rsid w:val="27A74232"/>
    <w:rsid w:val="281713B7"/>
    <w:rsid w:val="281E1EFD"/>
    <w:rsid w:val="28526934"/>
    <w:rsid w:val="28AA3FD9"/>
    <w:rsid w:val="28CE6F9F"/>
    <w:rsid w:val="28D46B7D"/>
    <w:rsid w:val="29067B7B"/>
    <w:rsid w:val="295959FF"/>
    <w:rsid w:val="296C5733"/>
    <w:rsid w:val="29824F56"/>
    <w:rsid w:val="298F4F7D"/>
    <w:rsid w:val="29D55086"/>
    <w:rsid w:val="2A1A5F20"/>
    <w:rsid w:val="2A1F27A5"/>
    <w:rsid w:val="2A222295"/>
    <w:rsid w:val="2A3A75DF"/>
    <w:rsid w:val="2A7B0D43"/>
    <w:rsid w:val="2A984505"/>
    <w:rsid w:val="2ABA24CE"/>
    <w:rsid w:val="2ABC5A31"/>
    <w:rsid w:val="2AE76B06"/>
    <w:rsid w:val="2B0025D7"/>
    <w:rsid w:val="2B2D0EF2"/>
    <w:rsid w:val="2B7408CF"/>
    <w:rsid w:val="2B941177"/>
    <w:rsid w:val="2BB331A5"/>
    <w:rsid w:val="2BCC070B"/>
    <w:rsid w:val="2BE03BB0"/>
    <w:rsid w:val="2BF727FE"/>
    <w:rsid w:val="2C405C02"/>
    <w:rsid w:val="2C610E53"/>
    <w:rsid w:val="2C974E26"/>
    <w:rsid w:val="2CC71744"/>
    <w:rsid w:val="2D142369"/>
    <w:rsid w:val="2D175AA2"/>
    <w:rsid w:val="2D364384"/>
    <w:rsid w:val="2D864A37"/>
    <w:rsid w:val="2D865E3F"/>
    <w:rsid w:val="2D8A43D9"/>
    <w:rsid w:val="2D980584"/>
    <w:rsid w:val="2DAC07F4"/>
    <w:rsid w:val="2DE832DC"/>
    <w:rsid w:val="2E067F10"/>
    <w:rsid w:val="2E2E745B"/>
    <w:rsid w:val="2E312AA7"/>
    <w:rsid w:val="2E4265A9"/>
    <w:rsid w:val="2E4B3B69"/>
    <w:rsid w:val="2E7A774E"/>
    <w:rsid w:val="2EEF10A1"/>
    <w:rsid w:val="2EEF5C10"/>
    <w:rsid w:val="2F466B3B"/>
    <w:rsid w:val="2F713AA3"/>
    <w:rsid w:val="2FA5374C"/>
    <w:rsid w:val="2FAF42C8"/>
    <w:rsid w:val="2FE752D1"/>
    <w:rsid w:val="300264A9"/>
    <w:rsid w:val="300A7A53"/>
    <w:rsid w:val="30304791"/>
    <w:rsid w:val="303B5E5F"/>
    <w:rsid w:val="304E7940"/>
    <w:rsid w:val="3069477A"/>
    <w:rsid w:val="309D614E"/>
    <w:rsid w:val="30F0112E"/>
    <w:rsid w:val="30F32074"/>
    <w:rsid w:val="30F878AC"/>
    <w:rsid w:val="312E383F"/>
    <w:rsid w:val="313528AE"/>
    <w:rsid w:val="315076E8"/>
    <w:rsid w:val="315B61CA"/>
    <w:rsid w:val="318D4498"/>
    <w:rsid w:val="31A11CF2"/>
    <w:rsid w:val="31E3055C"/>
    <w:rsid w:val="321B5F48"/>
    <w:rsid w:val="3240150B"/>
    <w:rsid w:val="32AB5D01"/>
    <w:rsid w:val="32C43EEA"/>
    <w:rsid w:val="32D3237F"/>
    <w:rsid w:val="332A7819"/>
    <w:rsid w:val="334376A7"/>
    <w:rsid w:val="33492641"/>
    <w:rsid w:val="33686F6B"/>
    <w:rsid w:val="337103D7"/>
    <w:rsid w:val="33A900F6"/>
    <w:rsid w:val="33D31231"/>
    <w:rsid w:val="33D60378"/>
    <w:rsid w:val="34120C85"/>
    <w:rsid w:val="341D114F"/>
    <w:rsid w:val="341D7D55"/>
    <w:rsid w:val="34254E5C"/>
    <w:rsid w:val="344D6161"/>
    <w:rsid w:val="346A6D13"/>
    <w:rsid w:val="349873DC"/>
    <w:rsid w:val="34A77AD0"/>
    <w:rsid w:val="34AB65F0"/>
    <w:rsid w:val="34BF4CAA"/>
    <w:rsid w:val="35020CF9"/>
    <w:rsid w:val="351729F7"/>
    <w:rsid w:val="352D62CE"/>
    <w:rsid w:val="358F02C1"/>
    <w:rsid w:val="35986C99"/>
    <w:rsid w:val="35E11274"/>
    <w:rsid w:val="35EF42A0"/>
    <w:rsid w:val="35F04FF6"/>
    <w:rsid w:val="360E3B2F"/>
    <w:rsid w:val="365C268B"/>
    <w:rsid w:val="36723C5D"/>
    <w:rsid w:val="367501B8"/>
    <w:rsid w:val="376143FD"/>
    <w:rsid w:val="37FE0959"/>
    <w:rsid w:val="38042FDA"/>
    <w:rsid w:val="38084878"/>
    <w:rsid w:val="382471D8"/>
    <w:rsid w:val="382F44FB"/>
    <w:rsid w:val="38510A7B"/>
    <w:rsid w:val="38811B6E"/>
    <w:rsid w:val="389B28F8"/>
    <w:rsid w:val="38F02E97"/>
    <w:rsid w:val="39447FDB"/>
    <w:rsid w:val="39CD5D7A"/>
    <w:rsid w:val="39E60BE9"/>
    <w:rsid w:val="39FE35D6"/>
    <w:rsid w:val="3A240899"/>
    <w:rsid w:val="3A4A561C"/>
    <w:rsid w:val="3A5F274A"/>
    <w:rsid w:val="3AAB598F"/>
    <w:rsid w:val="3AD4069B"/>
    <w:rsid w:val="3B3720B6"/>
    <w:rsid w:val="3B434C68"/>
    <w:rsid w:val="3B4756B8"/>
    <w:rsid w:val="3B4B21D2"/>
    <w:rsid w:val="3B5B1163"/>
    <w:rsid w:val="3B660234"/>
    <w:rsid w:val="3B7A10AA"/>
    <w:rsid w:val="3B8F2C3B"/>
    <w:rsid w:val="3B9E5419"/>
    <w:rsid w:val="3B9F3746"/>
    <w:rsid w:val="3BE23632"/>
    <w:rsid w:val="3C137C90"/>
    <w:rsid w:val="3C1557B6"/>
    <w:rsid w:val="3C5B1FF9"/>
    <w:rsid w:val="3C670048"/>
    <w:rsid w:val="3CE1265E"/>
    <w:rsid w:val="3CED228F"/>
    <w:rsid w:val="3D0A2E41"/>
    <w:rsid w:val="3D0F0457"/>
    <w:rsid w:val="3D127F47"/>
    <w:rsid w:val="3D211F38"/>
    <w:rsid w:val="3D2263DC"/>
    <w:rsid w:val="3D566C49"/>
    <w:rsid w:val="3D8F1791"/>
    <w:rsid w:val="3D98044D"/>
    <w:rsid w:val="3E0C4997"/>
    <w:rsid w:val="3E171CB9"/>
    <w:rsid w:val="3E204318"/>
    <w:rsid w:val="3E2E7003"/>
    <w:rsid w:val="3E3068D7"/>
    <w:rsid w:val="3E4F1453"/>
    <w:rsid w:val="3E676FE7"/>
    <w:rsid w:val="3E6A003B"/>
    <w:rsid w:val="3E907376"/>
    <w:rsid w:val="3E9C5D1B"/>
    <w:rsid w:val="3EB76FF8"/>
    <w:rsid w:val="3F0B3AFE"/>
    <w:rsid w:val="3FA550A3"/>
    <w:rsid w:val="40491ED2"/>
    <w:rsid w:val="404D5D77"/>
    <w:rsid w:val="405C7E57"/>
    <w:rsid w:val="406311E6"/>
    <w:rsid w:val="40E65973"/>
    <w:rsid w:val="40EC0DD9"/>
    <w:rsid w:val="40EF3947"/>
    <w:rsid w:val="40FB4353"/>
    <w:rsid w:val="41263FC1"/>
    <w:rsid w:val="413B181B"/>
    <w:rsid w:val="41517290"/>
    <w:rsid w:val="41522043"/>
    <w:rsid w:val="41605725"/>
    <w:rsid w:val="41D35EF7"/>
    <w:rsid w:val="41D97316"/>
    <w:rsid w:val="41EA1493"/>
    <w:rsid w:val="4207790D"/>
    <w:rsid w:val="42A17DA3"/>
    <w:rsid w:val="42BC6C22"/>
    <w:rsid w:val="42C341BE"/>
    <w:rsid w:val="42E67EAC"/>
    <w:rsid w:val="42EB7271"/>
    <w:rsid w:val="430B346F"/>
    <w:rsid w:val="430C3285"/>
    <w:rsid w:val="43362BE2"/>
    <w:rsid w:val="43525542"/>
    <w:rsid w:val="437454B8"/>
    <w:rsid w:val="43876DC7"/>
    <w:rsid w:val="439B2A45"/>
    <w:rsid w:val="439F6551"/>
    <w:rsid w:val="44006D4C"/>
    <w:rsid w:val="44056110"/>
    <w:rsid w:val="442273B7"/>
    <w:rsid w:val="44636591"/>
    <w:rsid w:val="449D27EC"/>
    <w:rsid w:val="44A1408B"/>
    <w:rsid w:val="44C304A5"/>
    <w:rsid w:val="44FD4773"/>
    <w:rsid w:val="453F0C95"/>
    <w:rsid w:val="45486BFC"/>
    <w:rsid w:val="45DB35CC"/>
    <w:rsid w:val="45E83F3B"/>
    <w:rsid w:val="45FA7D5B"/>
    <w:rsid w:val="460A2104"/>
    <w:rsid w:val="462A00B0"/>
    <w:rsid w:val="464229AA"/>
    <w:rsid w:val="465515D1"/>
    <w:rsid w:val="465A48FC"/>
    <w:rsid w:val="46696CCB"/>
    <w:rsid w:val="46794B93"/>
    <w:rsid w:val="46895648"/>
    <w:rsid w:val="46B02CAB"/>
    <w:rsid w:val="46D70238"/>
    <w:rsid w:val="46D87B0C"/>
    <w:rsid w:val="47150D60"/>
    <w:rsid w:val="471E5E67"/>
    <w:rsid w:val="473C009B"/>
    <w:rsid w:val="473F1EFF"/>
    <w:rsid w:val="47613FA5"/>
    <w:rsid w:val="47BC2352"/>
    <w:rsid w:val="47C22C96"/>
    <w:rsid w:val="48457423"/>
    <w:rsid w:val="48742EFF"/>
    <w:rsid w:val="488B752C"/>
    <w:rsid w:val="48B06F92"/>
    <w:rsid w:val="48E56510"/>
    <w:rsid w:val="48F76E74"/>
    <w:rsid w:val="48FE5CE3"/>
    <w:rsid w:val="490E0B33"/>
    <w:rsid w:val="49261002"/>
    <w:rsid w:val="495A41E3"/>
    <w:rsid w:val="49697141"/>
    <w:rsid w:val="49AF724A"/>
    <w:rsid w:val="49D1656A"/>
    <w:rsid w:val="49D17F97"/>
    <w:rsid w:val="49F64E79"/>
    <w:rsid w:val="49F66B3A"/>
    <w:rsid w:val="49FE1F7F"/>
    <w:rsid w:val="4A325785"/>
    <w:rsid w:val="4A342CE0"/>
    <w:rsid w:val="4A800BE6"/>
    <w:rsid w:val="4AB16FF2"/>
    <w:rsid w:val="4ADB5E1D"/>
    <w:rsid w:val="4AE22767"/>
    <w:rsid w:val="4BCF3BD3"/>
    <w:rsid w:val="4BD74836"/>
    <w:rsid w:val="4C371778"/>
    <w:rsid w:val="4C7C718B"/>
    <w:rsid w:val="4C8F6EBF"/>
    <w:rsid w:val="4CEA67EB"/>
    <w:rsid w:val="4D852E94"/>
    <w:rsid w:val="4DDA23BB"/>
    <w:rsid w:val="4DDC6134"/>
    <w:rsid w:val="4E232905"/>
    <w:rsid w:val="4E241889"/>
    <w:rsid w:val="4E5C1022"/>
    <w:rsid w:val="4EB01641"/>
    <w:rsid w:val="4EC05A55"/>
    <w:rsid w:val="4EF37BD9"/>
    <w:rsid w:val="4EF456FF"/>
    <w:rsid w:val="4F0A6CD0"/>
    <w:rsid w:val="4F534BF8"/>
    <w:rsid w:val="4F587A3C"/>
    <w:rsid w:val="4FBF2D98"/>
    <w:rsid w:val="4FCA62BD"/>
    <w:rsid w:val="4FCC3F86"/>
    <w:rsid w:val="4FD33566"/>
    <w:rsid w:val="50504BB7"/>
    <w:rsid w:val="507C3BFE"/>
    <w:rsid w:val="507E34D2"/>
    <w:rsid w:val="50834F8C"/>
    <w:rsid w:val="50966C31"/>
    <w:rsid w:val="50D852D8"/>
    <w:rsid w:val="50ED2406"/>
    <w:rsid w:val="50F419E6"/>
    <w:rsid w:val="51431169"/>
    <w:rsid w:val="514B4AD3"/>
    <w:rsid w:val="514E65F3"/>
    <w:rsid w:val="51761058"/>
    <w:rsid w:val="5193599C"/>
    <w:rsid w:val="519A0805"/>
    <w:rsid w:val="51AB479B"/>
    <w:rsid w:val="51F53C68"/>
    <w:rsid w:val="52102850"/>
    <w:rsid w:val="52140592"/>
    <w:rsid w:val="525A3ACB"/>
    <w:rsid w:val="525D0267"/>
    <w:rsid w:val="52B23907"/>
    <w:rsid w:val="52C11D9C"/>
    <w:rsid w:val="52EA30A1"/>
    <w:rsid w:val="52FE6B4C"/>
    <w:rsid w:val="53105563"/>
    <w:rsid w:val="53234C57"/>
    <w:rsid w:val="53343453"/>
    <w:rsid w:val="53373E0C"/>
    <w:rsid w:val="53662C69"/>
    <w:rsid w:val="537D2167"/>
    <w:rsid w:val="53926B2B"/>
    <w:rsid w:val="539354E6"/>
    <w:rsid w:val="53A94D22"/>
    <w:rsid w:val="53E2646E"/>
    <w:rsid w:val="544B5514"/>
    <w:rsid w:val="54560E40"/>
    <w:rsid w:val="546B0211"/>
    <w:rsid w:val="54C71C79"/>
    <w:rsid w:val="54DA7145"/>
    <w:rsid w:val="54F413E0"/>
    <w:rsid w:val="54FA3343"/>
    <w:rsid w:val="556829A3"/>
    <w:rsid w:val="55F259B1"/>
    <w:rsid w:val="56091A90"/>
    <w:rsid w:val="56464697"/>
    <w:rsid w:val="56653928"/>
    <w:rsid w:val="567D7B45"/>
    <w:rsid w:val="569F2107"/>
    <w:rsid w:val="56A31EE4"/>
    <w:rsid w:val="56BC7955"/>
    <w:rsid w:val="56BE37C3"/>
    <w:rsid w:val="56C97471"/>
    <w:rsid w:val="56F269C8"/>
    <w:rsid w:val="574B7E86"/>
    <w:rsid w:val="57511819"/>
    <w:rsid w:val="575A1E69"/>
    <w:rsid w:val="579B0E0D"/>
    <w:rsid w:val="57BD5228"/>
    <w:rsid w:val="57E22340"/>
    <w:rsid w:val="57E75E01"/>
    <w:rsid w:val="585F62DF"/>
    <w:rsid w:val="58690F0C"/>
    <w:rsid w:val="59326E77"/>
    <w:rsid w:val="593B28A8"/>
    <w:rsid w:val="59943D66"/>
    <w:rsid w:val="59A0270B"/>
    <w:rsid w:val="59C759D8"/>
    <w:rsid w:val="59DB3743"/>
    <w:rsid w:val="5A2055FA"/>
    <w:rsid w:val="5A274BDA"/>
    <w:rsid w:val="5A3B2BD8"/>
    <w:rsid w:val="5A4B6B1B"/>
    <w:rsid w:val="5A5233BE"/>
    <w:rsid w:val="5A5A4FB0"/>
    <w:rsid w:val="5A820063"/>
    <w:rsid w:val="5A83669F"/>
    <w:rsid w:val="5AA708CA"/>
    <w:rsid w:val="5AE1122D"/>
    <w:rsid w:val="5B345801"/>
    <w:rsid w:val="5B3951AC"/>
    <w:rsid w:val="5B555777"/>
    <w:rsid w:val="5BAF30D9"/>
    <w:rsid w:val="5BEC78DC"/>
    <w:rsid w:val="5C1B042B"/>
    <w:rsid w:val="5C336931"/>
    <w:rsid w:val="5C58107B"/>
    <w:rsid w:val="5C7659A5"/>
    <w:rsid w:val="5C78171D"/>
    <w:rsid w:val="5C9522F3"/>
    <w:rsid w:val="5CA54208"/>
    <w:rsid w:val="5CA711F8"/>
    <w:rsid w:val="5CBD35D4"/>
    <w:rsid w:val="5CD66444"/>
    <w:rsid w:val="5D3715D8"/>
    <w:rsid w:val="5D423AD9"/>
    <w:rsid w:val="5D487342"/>
    <w:rsid w:val="5D5A52C7"/>
    <w:rsid w:val="5D79648E"/>
    <w:rsid w:val="5D8B5480"/>
    <w:rsid w:val="5D946993"/>
    <w:rsid w:val="5DB669A1"/>
    <w:rsid w:val="5DC10EA2"/>
    <w:rsid w:val="5DC42740"/>
    <w:rsid w:val="5DD2614B"/>
    <w:rsid w:val="5DDE1A54"/>
    <w:rsid w:val="5DF5547E"/>
    <w:rsid w:val="5E937DA9"/>
    <w:rsid w:val="5EA467FA"/>
    <w:rsid w:val="5ED510A9"/>
    <w:rsid w:val="5F107C5C"/>
    <w:rsid w:val="5F3E6C4E"/>
    <w:rsid w:val="5F5B0685"/>
    <w:rsid w:val="5F6D12E1"/>
    <w:rsid w:val="5F751F44"/>
    <w:rsid w:val="5F927999"/>
    <w:rsid w:val="5F9E149B"/>
    <w:rsid w:val="5FB05672"/>
    <w:rsid w:val="5FB06EF5"/>
    <w:rsid w:val="5FBE38EB"/>
    <w:rsid w:val="5FC133DB"/>
    <w:rsid w:val="5FCE4022"/>
    <w:rsid w:val="5FD41360"/>
    <w:rsid w:val="5FF732A1"/>
    <w:rsid w:val="5FFE3CFF"/>
    <w:rsid w:val="602B6AA7"/>
    <w:rsid w:val="605F4D5E"/>
    <w:rsid w:val="607C7302"/>
    <w:rsid w:val="60854409"/>
    <w:rsid w:val="60967D57"/>
    <w:rsid w:val="609F196E"/>
    <w:rsid w:val="60A971FB"/>
    <w:rsid w:val="60AE790C"/>
    <w:rsid w:val="60C45638"/>
    <w:rsid w:val="60E43825"/>
    <w:rsid w:val="61127BCE"/>
    <w:rsid w:val="61193A0B"/>
    <w:rsid w:val="611B6B1B"/>
    <w:rsid w:val="6129748A"/>
    <w:rsid w:val="618E553F"/>
    <w:rsid w:val="619C5EAE"/>
    <w:rsid w:val="61C55405"/>
    <w:rsid w:val="61C947C9"/>
    <w:rsid w:val="620D321D"/>
    <w:rsid w:val="622639C9"/>
    <w:rsid w:val="623C1C3A"/>
    <w:rsid w:val="62487DE4"/>
    <w:rsid w:val="628F1E33"/>
    <w:rsid w:val="62BB05B6"/>
    <w:rsid w:val="62DE42A4"/>
    <w:rsid w:val="62F5055D"/>
    <w:rsid w:val="6319386D"/>
    <w:rsid w:val="63380AEB"/>
    <w:rsid w:val="63471527"/>
    <w:rsid w:val="63921D3E"/>
    <w:rsid w:val="63CB3C77"/>
    <w:rsid w:val="63E31B72"/>
    <w:rsid w:val="640146EE"/>
    <w:rsid w:val="64127E15"/>
    <w:rsid w:val="64144421"/>
    <w:rsid w:val="6429154F"/>
    <w:rsid w:val="64B11E2F"/>
    <w:rsid w:val="64B67DBB"/>
    <w:rsid w:val="64C6694E"/>
    <w:rsid w:val="64CD1AD5"/>
    <w:rsid w:val="64EE4C72"/>
    <w:rsid w:val="652F0685"/>
    <w:rsid w:val="65385EEE"/>
    <w:rsid w:val="654E5711"/>
    <w:rsid w:val="657A6506"/>
    <w:rsid w:val="65B23EF2"/>
    <w:rsid w:val="65E733A7"/>
    <w:rsid w:val="6639539F"/>
    <w:rsid w:val="664036B8"/>
    <w:rsid w:val="668C4743"/>
    <w:rsid w:val="66AD46B9"/>
    <w:rsid w:val="66AF3A6A"/>
    <w:rsid w:val="66FB3677"/>
    <w:rsid w:val="67DA1380"/>
    <w:rsid w:val="67F97FFA"/>
    <w:rsid w:val="682D3D04"/>
    <w:rsid w:val="6852376A"/>
    <w:rsid w:val="6884144A"/>
    <w:rsid w:val="68F465CF"/>
    <w:rsid w:val="690D7691"/>
    <w:rsid w:val="696838FF"/>
    <w:rsid w:val="69A00928"/>
    <w:rsid w:val="69F32F6D"/>
    <w:rsid w:val="69F85C4B"/>
    <w:rsid w:val="6A3D7B02"/>
    <w:rsid w:val="6A554E4C"/>
    <w:rsid w:val="6A694D9B"/>
    <w:rsid w:val="6A6A0E44"/>
    <w:rsid w:val="6AA2357A"/>
    <w:rsid w:val="6B111D7A"/>
    <w:rsid w:val="6B3B4599"/>
    <w:rsid w:val="6B3C1D1C"/>
    <w:rsid w:val="6B43739A"/>
    <w:rsid w:val="6B563571"/>
    <w:rsid w:val="6B910106"/>
    <w:rsid w:val="6BB67B6C"/>
    <w:rsid w:val="6BC524A5"/>
    <w:rsid w:val="6BC8505C"/>
    <w:rsid w:val="6BD36970"/>
    <w:rsid w:val="6BE74996"/>
    <w:rsid w:val="6BF07522"/>
    <w:rsid w:val="6BF13D3D"/>
    <w:rsid w:val="6BFB7C75"/>
    <w:rsid w:val="6C6C46CF"/>
    <w:rsid w:val="6C9003BD"/>
    <w:rsid w:val="6C9C4FB4"/>
    <w:rsid w:val="6CB322FE"/>
    <w:rsid w:val="6CC24944"/>
    <w:rsid w:val="6CC422B2"/>
    <w:rsid w:val="6CD57C73"/>
    <w:rsid w:val="6CF43042"/>
    <w:rsid w:val="6D0B213A"/>
    <w:rsid w:val="6D0F7B79"/>
    <w:rsid w:val="6D1859BB"/>
    <w:rsid w:val="6D1E7A9D"/>
    <w:rsid w:val="6D2C16A8"/>
    <w:rsid w:val="6D7C21EC"/>
    <w:rsid w:val="6DAD3BA8"/>
    <w:rsid w:val="6DB9657F"/>
    <w:rsid w:val="6DF02BC2"/>
    <w:rsid w:val="6E0C7B11"/>
    <w:rsid w:val="6E1B63AC"/>
    <w:rsid w:val="6E544226"/>
    <w:rsid w:val="6E645FA5"/>
    <w:rsid w:val="6E7A1325"/>
    <w:rsid w:val="6E7F06E9"/>
    <w:rsid w:val="6E922B12"/>
    <w:rsid w:val="6EC922AC"/>
    <w:rsid w:val="6F631DB9"/>
    <w:rsid w:val="6F704695"/>
    <w:rsid w:val="6F881820"/>
    <w:rsid w:val="6F9D65B5"/>
    <w:rsid w:val="6FE70C3C"/>
    <w:rsid w:val="700A66D9"/>
    <w:rsid w:val="703D6AAE"/>
    <w:rsid w:val="703F3234"/>
    <w:rsid w:val="704241B9"/>
    <w:rsid w:val="70726901"/>
    <w:rsid w:val="70822713"/>
    <w:rsid w:val="709C6820"/>
    <w:rsid w:val="70BE01D5"/>
    <w:rsid w:val="70C41EB3"/>
    <w:rsid w:val="70FC0CF6"/>
    <w:rsid w:val="713E2ADE"/>
    <w:rsid w:val="716B1B75"/>
    <w:rsid w:val="716C6002"/>
    <w:rsid w:val="71876217"/>
    <w:rsid w:val="718D136F"/>
    <w:rsid w:val="71F17B50"/>
    <w:rsid w:val="71F66F14"/>
    <w:rsid w:val="71FE401B"/>
    <w:rsid w:val="72001B41"/>
    <w:rsid w:val="7238577F"/>
    <w:rsid w:val="72402885"/>
    <w:rsid w:val="724A3704"/>
    <w:rsid w:val="7258197D"/>
    <w:rsid w:val="729F75BD"/>
    <w:rsid w:val="72AC7F1B"/>
    <w:rsid w:val="72C9287B"/>
    <w:rsid w:val="72CA214F"/>
    <w:rsid w:val="7310016F"/>
    <w:rsid w:val="731E7DE9"/>
    <w:rsid w:val="734D7008"/>
    <w:rsid w:val="735171B2"/>
    <w:rsid w:val="736A5E0C"/>
    <w:rsid w:val="736F3422"/>
    <w:rsid w:val="737427E7"/>
    <w:rsid w:val="738467A2"/>
    <w:rsid w:val="73951FDA"/>
    <w:rsid w:val="73C92407"/>
    <w:rsid w:val="73D2575F"/>
    <w:rsid w:val="73EF3D7E"/>
    <w:rsid w:val="74173885"/>
    <w:rsid w:val="741F6689"/>
    <w:rsid w:val="744511DB"/>
    <w:rsid w:val="74D3178F"/>
    <w:rsid w:val="74DF3CDB"/>
    <w:rsid w:val="750B0F29"/>
    <w:rsid w:val="75363ACC"/>
    <w:rsid w:val="75452E68"/>
    <w:rsid w:val="75640639"/>
    <w:rsid w:val="75973D58"/>
    <w:rsid w:val="759A22AD"/>
    <w:rsid w:val="75BA64AB"/>
    <w:rsid w:val="762878B8"/>
    <w:rsid w:val="762B1026"/>
    <w:rsid w:val="762D3121"/>
    <w:rsid w:val="76744178"/>
    <w:rsid w:val="76EC6B38"/>
    <w:rsid w:val="76EE465E"/>
    <w:rsid w:val="771D3195"/>
    <w:rsid w:val="77386FCA"/>
    <w:rsid w:val="773E7BB3"/>
    <w:rsid w:val="77A318EC"/>
    <w:rsid w:val="77AB69F3"/>
    <w:rsid w:val="77DA2E34"/>
    <w:rsid w:val="77FC6D03"/>
    <w:rsid w:val="78054355"/>
    <w:rsid w:val="78174088"/>
    <w:rsid w:val="782D178F"/>
    <w:rsid w:val="783C589D"/>
    <w:rsid w:val="78A97A5F"/>
    <w:rsid w:val="78B35B5F"/>
    <w:rsid w:val="78C7785D"/>
    <w:rsid w:val="78D36201"/>
    <w:rsid w:val="78EC1071"/>
    <w:rsid w:val="790F6B0E"/>
    <w:rsid w:val="792620AF"/>
    <w:rsid w:val="79621333"/>
    <w:rsid w:val="79C922CD"/>
    <w:rsid w:val="79DC7338"/>
    <w:rsid w:val="7A0348C4"/>
    <w:rsid w:val="7A150154"/>
    <w:rsid w:val="7A5C2B58"/>
    <w:rsid w:val="7A8A28F0"/>
    <w:rsid w:val="7AF91AC4"/>
    <w:rsid w:val="7B035A61"/>
    <w:rsid w:val="7B1D7C08"/>
    <w:rsid w:val="7B2E3BC3"/>
    <w:rsid w:val="7B904EA5"/>
    <w:rsid w:val="7BF24BF0"/>
    <w:rsid w:val="7C09112C"/>
    <w:rsid w:val="7C093CE8"/>
    <w:rsid w:val="7C127041"/>
    <w:rsid w:val="7C490589"/>
    <w:rsid w:val="7C6B04FF"/>
    <w:rsid w:val="7C7E6484"/>
    <w:rsid w:val="7CBB76D8"/>
    <w:rsid w:val="7CF16C56"/>
    <w:rsid w:val="7D225061"/>
    <w:rsid w:val="7D2F777E"/>
    <w:rsid w:val="7D40198C"/>
    <w:rsid w:val="7D521855"/>
    <w:rsid w:val="7D623654"/>
    <w:rsid w:val="7D7B29C4"/>
    <w:rsid w:val="7D8B70AB"/>
    <w:rsid w:val="7DC861E9"/>
    <w:rsid w:val="7E257EF5"/>
    <w:rsid w:val="7E466AB8"/>
    <w:rsid w:val="7EA877E8"/>
    <w:rsid w:val="7EB22415"/>
    <w:rsid w:val="7EBE0DBA"/>
    <w:rsid w:val="7EC871EC"/>
    <w:rsid w:val="7EDB5E10"/>
    <w:rsid w:val="7EF944E8"/>
    <w:rsid w:val="7F741DC0"/>
    <w:rsid w:val="7F7E6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4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1"/>
    <w:qFormat/>
    <w:uiPriority w:val="0"/>
    <w:pPr>
      <w:keepNext/>
      <w:keepLines/>
      <w:spacing w:before="260" w:after="260" w:line="416" w:lineRule="auto"/>
      <w:outlineLvl w:val="2"/>
    </w:pPr>
    <w:rPr>
      <w:b/>
      <w:bCs/>
      <w:sz w:val="32"/>
      <w:szCs w:val="32"/>
    </w:rPr>
  </w:style>
  <w:style w:type="paragraph" w:styleId="5">
    <w:name w:val="heading 4"/>
    <w:basedOn w:val="1"/>
    <w:next w:val="1"/>
    <w:link w:val="42"/>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3"/>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4"/>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5"/>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6"/>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7"/>
    <w:qFormat/>
    <w:uiPriority w:val="0"/>
    <w:pPr>
      <w:keepNext/>
      <w:keepLines/>
      <w:adjustRightInd/>
      <w:spacing w:before="240" w:after="64" w:line="320" w:lineRule="auto"/>
      <w:outlineLvl w:val="8"/>
    </w:pPr>
    <w:rPr>
      <w:rFonts w:ascii="Arial" w:hAnsi="Arial" w:eastAsia="黑体"/>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41"/>
    <w:semiHidden/>
    <w:unhideWhenUsed/>
    <w:qFormat/>
    <w:uiPriority w:val="99"/>
    <w:pPr>
      <w:jc w:val="left"/>
    </w:pPr>
  </w:style>
  <w:style w:type="paragraph" w:styleId="14">
    <w:name w:val="Body Text"/>
    <w:basedOn w:val="1"/>
    <w:link w:val="91"/>
    <w:qFormat/>
    <w:uiPriority w:val="0"/>
    <w:pPr>
      <w:spacing w:after="120"/>
    </w:pPr>
  </w:style>
  <w:style w:type="paragraph" w:styleId="15">
    <w:name w:val="toc 5"/>
    <w:basedOn w:val="1"/>
    <w:next w:val="1"/>
    <w:unhideWhenUsed/>
    <w:qFormat/>
    <w:uiPriority w:val="39"/>
    <w:pPr>
      <w:ind w:left="839"/>
    </w:pPr>
    <w:rPr>
      <w:rFonts w:ascii="宋体"/>
    </w:rPr>
  </w:style>
  <w:style w:type="paragraph" w:styleId="16">
    <w:name w:val="toc 3"/>
    <w:basedOn w:val="1"/>
    <w:next w:val="1"/>
    <w:unhideWhenUsed/>
    <w:qFormat/>
    <w:uiPriority w:val="39"/>
    <w:pPr>
      <w:spacing w:line="300" w:lineRule="exact"/>
      <w:ind w:left="420"/>
    </w:pPr>
    <w:rPr>
      <w:rFonts w:ascii="宋体"/>
    </w:rPr>
  </w:style>
  <w:style w:type="paragraph" w:styleId="17">
    <w:name w:val="Balloon Text"/>
    <w:basedOn w:val="1"/>
    <w:link w:val="50"/>
    <w:semiHidden/>
    <w:unhideWhenUsed/>
    <w:qFormat/>
    <w:uiPriority w:val="99"/>
    <w:rPr>
      <w:sz w:val="18"/>
      <w:szCs w:val="18"/>
    </w:rPr>
  </w:style>
  <w:style w:type="paragraph" w:styleId="18">
    <w:name w:val="footer"/>
    <w:basedOn w:val="1"/>
    <w:link w:val="49"/>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8"/>
    <w:qFormat/>
    <w:uiPriority w:val="99"/>
    <w:pPr>
      <w:tabs>
        <w:tab w:val="center" w:pos="4153"/>
        <w:tab w:val="right" w:pos="8306"/>
      </w:tabs>
      <w:adjustRightInd/>
      <w:snapToGrid w:val="0"/>
      <w:jc w:val="center"/>
    </w:pPr>
    <w:rPr>
      <w:sz w:val="18"/>
      <w:szCs w:val="18"/>
    </w:rPr>
  </w:style>
  <w:style w:type="paragraph" w:styleId="20">
    <w:name w:val="toc 1"/>
    <w:basedOn w:val="1"/>
    <w:next w:val="1"/>
    <w:unhideWhenUsed/>
    <w:qFormat/>
    <w:uiPriority w:val="39"/>
    <w:rPr>
      <w:rFonts w:ascii="宋体"/>
    </w:rPr>
  </w:style>
  <w:style w:type="paragraph" w:styleId="21">
    <w:name w:val="toc 4"/>
    <w:basedOn w:val="1"/>
    <w:next w:val="1"/>
    <w:unhideWhenUsed/>
    <w:qFormat/>
    <w:uiPriority w:val="39"/>
    <w:pPr>
      <w:tabs>
        <w:tab w:val="right" w:leader="dot" w:pos="9344"/>
      </w:tabs>
      <w:spacing w:line="300" w:lineRule="exact"/>
      <w:ind w:left="629"/>
    </w:pPr>
    <w:rPr>
      <w:rFonts w:ascii="宋体"/>
    </w:rPr>
  </w:style>
  <w:style w:type="paragraph" w:styleId="22">
    <w:name w:val="List"/>
    <w:basedOn w:val="1"/>
    <w:unhideWhenUsed/>
    <w:qFormat/>
    <w:uiPriority w:val="0"/>
    <w:pPr>
      <w:ind w:left="200" w:hanging="200" w:hangingChars="200"/>
    </w:pPr>
  </w:style>
  <w:style w:type="paragraph" w:styleId="23">
    <w:name w:val="footnote text"/>
    <w:basedOn w:val="1"/>
    <w:next w:val="1"/>
    <w:link w:val="104"/>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4">
    <w:name w:val="toc 6"/>
    <w:basedOn w:val="1"/>
    <w:next w:val="1"/>
    <w:unhideWhenUsed/>
    <w:qFormat/>
    <w:uiPriority w:val="39"/>
    <w:pPr>
      <w:spacing w:line="300" w:lineRule="exact"/>
      <w:ind w:left="1049"/>
    </w:pPr>
    <w:rPr>
      <w:rFonts w:ascii="宋体"/>
    </w:rPr>
  </w:style>
  <w:style w:type="paragraph" w:styleId="25">
    <w:name w:val="table of figures"/>
    <w:basedOn w:val="1"/>
    <w:next w:val="1"/>
    <w:semiHidden/>
    <w:qFormat/>
    <w:uiPriority w:val="0"/>
    <w:pPr>
      <w:adjustRightInd/>
      <w:spacing w:line="240" w:lineRule="auto"/>
      <w:jc w:val="left"/>
    </w:pPr>
    <w:rPr>
      <w:szCs w:val="24"/>
    </w:rPr>
  </w:style>
  <w:style w:type="paragraph" w:styleId="26">
    <w:name w:val="toc 2"/>
    <w:basedOn w:val="1"/>
    <w:next w:val="1"/>
    <w:unhideWhenUsed/>
    <w:qFormat/>
    <w:uiPriority w:val="39"/>
    <w:pPr>
      <w:tabs>
        <w:tab w:val="right" w:leader="dot" w:pos="9344"/>
      </w:tabs>
      <w:spacing w:line="300" w:lineRule="exact"/>
      <w:ind w:left="210"/>
    </w:pPr>
    <w:rPr>
      <w:rFonts w:ascii="宋体"/>
    </w:rPr>
  </w:style>
  <w:style w:type="paragraph" w:styleId="27">
    <w:name w:val="Normal (Web)"/>
    <w:basedOn w:val="1"/>
    <w:semiHidden/>
    <w:unhideWhenUsed/>
    <w:qFormat/>
    <w:uiPriority w:val="99"/>
    <w:rPr>
      <w:sz w:val="24"/>
    </w:rPr>
  </w:style>
  <w:style w:type="paragraph" w:styleId="28">
    <w:name w:val="Title"/>
    <w:basedOn w:val="1"/>
    <w:link w:val="53"/>
    <w:qFormat/>
    <w:uiPriority w:val="0"/>
    <w:pPr>
      <w:spacing w:before="240" w:after="60"/>
      <w:jc w:val="center"/>
      <w:outlineLvl w:val="0"/>
    </w:pPr>
    <w:rPr>
      <w:rFonts w:ascii="Arial" w:hAnsi="Arial" w:cs="Arial"/>
      <w:b/>
      <w:bCs/>
      <w:sz w:val="32"/>
      <w:szCs w:val="32"/>
    </w:rPr>
  </w:style>
  <w:style w:type="paragraph" w:styleId="29">
    <w:name w:val="annotation subject"/>
    <w:basedOn w:val="13"/>
    <w:next w:val="13"/>
    <w:link w:val="242"/>
    <w:semiHidden/>
    <w:unhideWhenUsed/>
    <w:qFormat/>
    <w:uiPriority w:val="99"/>
    <w:rPr>
      <w:b/>
      <w:bCs/>
    </w:rPr>
  </w:style>
  <w:style w:type="table" w:styleId="31">
    <w:name w:val="Table Grid"/>
    <w:basedOn w:val="3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qFormat/>
    <w:uiPriority w:val="22"/>
    <w:rPr>
      <w:b/>
      <w:bCs/>
    </w:rPr>
  </w:style>
  <w:style w:type="character" w:styleId="34">
    <w:name w:val="page number"/>
    <w:qFormat/>
    <w:uiPriority w:val="0"/>
    <w:rPr>
      <w:rFonts w:ascii="宋体" w:hAnsi="Times New Roman" w:eastAsia="宋体"/>
      <w:sz w:val="18"/>
    </w:rPr>
  </w:style>
  <w:style w:type="character" w:styleId="35">
    <w:name w:val="Emphasis"/>
    <w:qFormat/>
    <w:uiPriority w:val="20"/>
    <w:rPr>
      <w:i/>
      <w:iCs/>
    </w:rPr>
  </w:style>
  <w:style w:type="character" w:styleId="36">
    <w:name w:val="Hyperlink"/>
    <w:qFormat/>
    <w:uiPriority w:val="99"/>
    <w:rPr>
      <w:rFonts w:ascii="宋体" w:hAnsi="Times New Roman" w:eastAsia="宋体"/>
      <w:color w:val="auto"/>
      <w:spacing w:val="0"/>
      <w:w w:val="100"/>
      <w:position w:val="0"/>
      <w:sz w:val="21"/>
      <w:u w:val="none"/>
      <w:vertAlign w:val="baseline"/>
    </w:rPr>
  </w:style>
  <w:style w:type="character" w:styleId="37">
    <w:name w:val="annotation reference"/>
    <w:basedOn w:val="32"/>
    <w:semiHidden/>
    <w:unhideWhenUsed/>
    <w:qFormat/>
    <w:uiPriority w:val="99"/>
    <w:rPr>
      <w:sz w:val="21"/>
      <w:szCs w:val="21"/>
    </w:rPr>
  </w:style>
  <w:style w:type="character" w:styleId="38">
    <w:name w:val="footnote reference"/>
    <w:semiHidden/>
    <w:qFormat/>
    <w:uiPriority w:val="0"/>
    <w:rPr>
      <w:rFonts w:ascii="宋体" w:hAnsi="宋体" w:eastAsia="宋体" w:cs="Times New Roman"/>
      <w:spacing w:val="0"/>
      <w:sz w:val="18"/>
      <w:vertAlign w:val="superscript"/>
    </w:rPr>
  </w:style>
  <w:style w:type="character" w:customStyle="1" w:styleId="39">
    <w:name w:val="标题 2 字符"/>
    <w:link w:val="3"/>
    <w:qFormat/>
    <w:uiPriority w:val="0"/>
    <w:rPr>
      <w:rFonts w:ascii="Arial" w:hAnsi="Arial" w:eastAsia="黑体"/>
      <w:b/>
      <w:bCs/>
      <w:kern w:val="2"/>
      <w:sz w:val="32"/>
      <w:szCs w:val="32"/>
    </w:rPr>
  </w:style>
  <w:style w:type="character" w:customStyle="1" w:styleId="40">
    <w:name w:val="标题 1 字符"/>
    <w:link w:val="2"/>
    <w:qFormat/>
    <w:uiPriority w:val="0"/>
    <w:rPr>
      <w:b/>
      <w:bCs/>
      <w:kern w:val="44"/>
      <w:sz w:val="44"/>
      <w:szCs w:val="44"/>
    </w:rPr>
  </w:style>
  <w:style w:type="character" w:customStyle="1" w:styleId="41">
    <w:name w:val="标题 3 字符"/>
    <w:link w:val="4"/>
    <w:qFormat/>
    <w:uiPriority w:val="0"/>
    <w:rPr>
      <w:b/>
      <w:bCs/>
      <w:kern w:val="2"/>
      <w:sz w:val="32"/>
      <w:szCs w:val="32"/>
    </w:rPr>
  </w:style>
  <w:style w:type="character" w:customStyle="1" w:styleId="42">
    <w:name w:val="标题 4 字符"/>
    <w:link w:val="5"/>
    <w:qFormat/>
    <w:uiPriority w:val="0"/>
    <w:rPr>
      <w:rFonts w:ascii="Arial" w:hAnsi="Arial" w:eastAsia="黑体"/>
      <w:b/>
      <w:bCs/>
      <w:kern w:val="2"/>
      <w:sz w:val="28"/>
      <w:szCs w:val="28"/>
    </w:rPr>
  </w:style>
  <w:style w:type="character" w:customStyle="1" w:styleId="43">
    <w:name w:val="标题 5 字符"/>
    <w:link w:val="6"/>
    <w:qFormat/>
    <w:uiPriority w:val="0"/>
    <w:rPr>
      <w:b/>
      <w:bCs/>
      <w:kern w:val="2"/>
      <w:sz w:val="28"/>
      <w:szCs w:val="28"/>
    </w:rPr>
  </w:style>
  <w:style w:type="character" w:customStyle="1" w:styleId="44">
    <w:name w:val="标题 6 字符"/>
    <w:link w:val="7"/>
    <w:qFormat/>
    <w:uiPriority w:val="0"/>
    <w:rPr>
      <w:rFonts w:ascii="Arial" w:hAnsi="Arial" w:eastAsia="黑体"/>
      <w:b/>
      <w:bCs/>
      <w:kern w:val="2"/>
      <w:sz w:val="24"/>
      <w:szCs w:val="24"/>
    </w:rPr>
  </w:style>
  <w:style w:type="character" w:customStyle="1" w:styleId="45">
    <w:name w:val="标题 7 字符"/>
    <w:link w:val="8"/>
    <w:qFormat/>
    <w:uiPriority w:val="0"/>
    <w:rPr>
      <w:b/>
      <w:bCs/>
      <w:kern w:val="2"/>
      <w:sz w:val="24"/>
      <w:szCs w:val="24"/>
    </w:rPr>
  </w:style>
  <w:style w:type="character" w:customStyle="1" w:styleId="46">
    <w:name w:val="标题 8 字符"/>
    <w:link w:val="9"/>
    <w:qFormat/>
    <w:uiPriority w:val="0"/>
    <w:rPr>
      <w:rFonts w:ascii="Arial" w:hAnsi="Arial" w:eastAsia="黑体"/>
      <w:kern w:val="2"/>
      <w:sz w:val="24"/>
      <w:szCs w:val="24"/>
    </w:rPr>
  </w:style>
  <w:style w:type="character" w:customStyle="1" w:styleId="47">
    <w:name w:val="标题 9 字符"/>
    <w:link w:val="10"/>
    <w:qFormat/>
    <w:uiPriority w:val="0"/>
    <w:rPr>
      <w:rFonts w:ascii="Arial" w:hAnsi="Arial" w:eastAsia="黑体"/>
      <w:kern w:val="2"/>
      <w:sz w:val="21"/>
      <w:szCs w:val="21"/>
    </w:rPr>
  </w:style>
  <w:style w:type="character" w:customStyle="1" w:styleId="48">
    <w:name w:val="页眉 字符"/>
    <w:link w:val="19"/>
    <w:qFormat/>
    <w:uiPriority w:val="99"/>
    <w:rPr>
      <w:kern w:val="2"/>
      <w:sz w:val="18"/>
      <w:szCs w:val="18"/>
    </w:rPr>
  </w:style>
  <w:style w:type="character" w:customStyle="1" w:styleId="49">
    <w:name w:val="页脚 字符"/>
    <w:link w:val="18"/>
    <w:qFormat/>
    <w:uiPriority w:val="99"/>
    <w:rPr>
      <w:rFonts w:ascii="宋体"/>
      <w:kern w:val="2"/>
      <w:sz w:val="18"/>
      <w:szCs w:val="18"/>
    </w:rPr>
  </w:style>
  <w:style w:type="character" w:customStyle="1" w:styleId="50">
    <w:name w:val="批注框文本 字符"/>
    <w:link w:val="17"/>
    <w:semiHidden/>
    <w:qFormat/>
    <w:uiPriority w:val="99"/>
    <w:rPr>
      <w:kern w:val="2"/>
      <w:sz w:val="18"/>
      <w:szCs w:val="18"/>
    </w:rPr>
  </w:style>
  <w:style w:type="paragraph" w:styleId="51">
    <w:name w:val="Quote"/>
    <w:basedOn w:val="1"/>
    <w:next w:val="1"/>
    <w:link w:val="52"/>
    <w:qFormat/>
    <w:uiPriority w:val="29"/>
    <w:rPr>
      <w:i/>
      <w:iCs/>
      <w:color w:val="000000"/>
    </w:rPr>
  </w:style>
  <w:style w:type="character" w:customStyle="1" w:styleId="52">
    <w:name w:val="引用 字符"/>
    <w:link w:val="51"/>
    <w:qFormat/>
    <w:uiPriority w:val="29"/>
    <w:rPr>
      <w:i/>
      <w:iCs/>
      <w:color w:val="000000"/>
      <w:kern w:val="2"/>
      <w:sz w:val="21"/>
      <w:szCs w:val="21"/>
    </w:rPr>
  </w:style>
  <w:style w:type="character" w:customStyle="1" w:styleId="53">
    <w:name w:val="标题 字符"/>
    <w:link w:val="28"/>
    <w:qFormat/>
    <w:uiPriority w:val="0"/>
    <w:rPr>
      <w:rFonts w:ascii="Arial" w:hAnsi="Arial" w:cs="Arial"/>
      <w:b/>
      <w:bCs/>
      <w:kern w:val="2"/>
      <w:sz w:val="32"/>
      <w:szCs w:val="32"/>
    </w:rPr>
  </w:style>
  <w:style w:type="paragraph" w:customStyle="1" w:styleId="54">
    <w:name w:val="标准标志"/>
    <w:next w:val="1"/>
    <w:link w:val="236"/>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5">
    <w:name w:val="标准称谓"/>
    <w:next w:val="1"/>
    <w:link w:val="235"/>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6">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7">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8">
    <w:name w:val="标准书眉一"/>
    <w:qFormat/>
    <w:uiPriority w:val="0"/>
    <w:pPr>
      <w:jc w:val="both"/>
    </w:pPr>
    <w:rPr>
      <w:rFonts w:ascii="Times New Roman" w:hAnsi="Times New Roman" w:eastAsia="宋体" w:cs="Times New Roman"/>
      <w:lang w:val="en-US" w:eastAsia="zh-CN" w:bidi="ar-SA"/>
    </w:rPr>
  </w:style>
  <w:style w:type="paragraph" w:customStyle="1" w:styleId="59">
    <w:name w:val="标准文件_ICS"/>
    <w:basedOn w:val="1"/>
    <w:qFormat/>
    <w:uiPriority w:val="0"/>
    <w:pPr>
      <w:spacing w:line="0" w:lineRule="atLeast"/>
    </w:pPr>
    <w:rPr>
      <w:rFonts w:ascii="黑体" w:hAnsi="宋体" w:eastAsia="黑体"/>
    </w:rPr>
  </w:style>
  <w:style w:type="paragraph" w:customStyle="1" w:styleId="60">
    <w:name w:val="标准文件_标准正文"/>
    <w:basedOn w:val="1"/>
    <w:next w:val="61"/>
    <w:qFormat/>
    <w:uiPriority w:val="0"/>
    <w:pPr>
      <w:snapToGrid w:val="0"/>
      <w:ind w:firstLine="200" w:firstLineChars="200"/>
    </w:pPr>
    <w:rPr>
      <w:kern w:val="0"/>
    </w:rPr>
  </w:style>
  <w:style w:type="paragraph" w:customStyle="1" w:styleId="61">
    <w:name w:val="标准文件_段"/>
    <w:link w:val="189"/>
    <w:qFormat/>
    <w:uiPriority w:val="0"/>
    <w:pPr>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62">
    <w:name w:val="标准文件_版本"/>
    <w:basedOn w:val="60"/>
    <w:qFormat/>
    <w:uiPriority w:val="0"/>
    <w:pPr>
      <w:adjustRightInd/>
      <w:snapToGrid/>
      <w:ind w:firstLine="0" w:firstLineChars="0"/>
    </w:pPr>
    <w:rPr>
      <w:rFonts w:ascii="宋体" w:hAnsi="宋体"/>
      <w:kern w:val="2"/>
    </w:rPr>
  </w:style>
  <w:style w:type="paragraph" w:customStyle="1" w:styleId="63">
    <w:name w:val="标准文件_标准部门"/>
    <w:basedOn w:val="1"/>
    <w:qFormat/>
    <w:uiPriority w:val="0"/>
    <w:pPr>
      <w:jc w:val="center"/>
    </w:pPr>
    <w:rPr>
      <w:rFonts w:ascii="黑体" w:eastAsia="黑体"/>
      <w:kern w:val="0"/>
      <w:sz w:val="44"/>
    </w:rPr>
  </w:style>
  <w:style w:type="paragraph" w:customStyle="1" w:styleId="64">
    <w:name w:val="标准文件_标准代替"/>
    <w:basedOn w:val="1"/>
    <w:next w:val="1"/>
    <w:qFormat/>
    <w:uiPriority w:val="0"/>
    <w:pPr>
      <w:spacing w:line="310" w:lineRule="exact"/>
      <w:jc w:val="right"/>
    </w:pPr>
    <w:rPr>
      <w:rFonts w:ascii="宋体" w:hAnsi="宋体"/>
      <w:kern w:val="0"/>
    </w:rPr>
  </w:style>
  <w:style w:type="paragraph" w:customStyle="1" w:styleId="65">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6">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7">
    <w:name w:val="标准文件_页眉偶数页"/>
    <w:basedOn w:val="66"/>
    <w:next w:val="1"/>
    <w:qFormat/>
    <w:uiPriority w:val="0"/>
    <w:pPr>
      <w:jc w:val="left"/>
    </w:pPr>
  </w:style>
  <w:style w:type="paragraph" w:customStyle="1" w:styleId="68">
    <w:name w:val="标准文件_参考文献标题"/>
    <w:basedOn w:val="1"/>
    <w:next w:val="1"/>
    <w:qFormat/>
    <w:uiPriority w:val="0"/>
    <w:pPr>
      <w:widowControl/>
      <w:shd w:val="clear" w:color="FFFFFF" w:fill="FFFFFF"/>
      <w:adjustRightInd/>
      <w:spacing w:before="560" w:after="280" w:line="240" w:lineRule="auto"/>
      <w:jc w:val="center"/>
      <w:outlineLvl w:val="0"/>
    </w:pPr>
    <w:rPr>
      <w:rFonts w:ascii="黑体" w:hAnsi="黑体" w:eastAsia="黑体"/>
      <w:kern w:val="0"/>
    </w:rPr>
  </w:style>
  <w:style w:type="paragraph" w:customStyle="1" w:styleId="69">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70">
    <w:name w:val="标准文件_二级条标题"/>
    <w:next w:val="61"/>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71">
    <w:name w:val="标准文件_发布"/>
    <w:qFormat/>
    <w:uiPriority w:val="0"/>
    <w:rPr>
      <w:rFonts w:ascii="黑体" w:eastAsia="黑体"/>
      <w:spacing w:val="0"/>
      <w:w w:val="100"/>
      <w:position w:val="3"/>
      <w:sz w:val="28"/>
    </w:rPr>
  </w:style>
  <w:style w:type="paragraph" w:customStyle="1" w:styleId="72">
    <w:name w:val="标准文件_方框数字列项"/>
    <w:basedOn w:val="61"/>
    <w:qFormat/>
    <w:uiPriority w:val="0"/>
    <w:pPr>
      <w:numPr>
        <w:ilvl w:val="0"/>
        <w:numId w:val="3"/>
      </w:numPr>
      <w:ind w:firstLine="0" w:firstLineChars="0"/>
    </w:pPr>
  </w:style>
  <w:style w:type="paragraph" w:customStyle="1" w:styleId="73">
    <w:name w:val="标准文件_封面标准编号"/>
    <w:basedOn w:val="1"/>
    <w:next w:val="64"/>
    <w:qFormat/>
    <w:uiPriority w:val="0"/>
    <w:pPr>
      <w:spacing w:line="310" w:lineRule="exact"/>
      <w:jc w:val="right"/>
    </w:pPr>
    <w:rPr>
      <w:rFonts w:ascii="黑体" w:eastAsia="黑体"/>
      <w:kern w:val="0"/>
      <w:sz w:val="28"/>
    </w:rPr>
  </w:style>
  <w:style w:type="paragraph" w:customStyle="1" w:styleId="74">
    <w:name w:val="标准文件_封面标准分类号"/>
    <w:basedOn w:val="1"/>
    <w:qFormat/>
    <w:uiPriority w:val="0"/>
    <w:rPr>
      <w:rFonts w:ascii="黑体" w:eastAsia="黑体"/>
      <w:b/>
      <w:kern w:val="0"/>
      <w:sz w:val="28"/>
    </w:rPr>
  </w:style>
  <w:style w:type="paragraph" w:customStyle="1" w:styleId="75">
    <w:name w:val="标准文件_封面标准名称"/>
    <w:basedOn w:val="1"/>
    <w:qFormat/>
    <w:uiPriority w:val="0"/>
    <w:pPr>
      <w:spacing w:line="240" w:lineRule="auto"/>
      <w:jc w:val="center"/>
    </w:pPr>
    <w:rPr>
      <w:rFonts w:ascii="黑体" w:eastAsia="黑体"/>
      <w:kern w:val="0"/>
      <w:sz w:val="52"/>
    </w:rPr>
  </w:style>
  <w:style w:type="paragraph" w:customStyle="1" w:styleId="76">
    <w:name w:val="标准文件_封面标准英文名称"/>
    <w:basedOn w:val="1"/>
    <w:qFormat/>
    <w:uiPriority w:val="0"/>
    <w:pPr>
      <w:spacing w:line="240" w:lineRule="auto"/>
      <w:jc w:val="center"/>
    </w:pPr>
    <w:rPr>
      <w:rFonts w:ascii="黑体" w:eastAsia="黑体"/>
      <w:b/>
      <w:sz w:val="28"/>
    </w:rPr>
  </w:style>
  <w:style w:type="paragraph" w:customStyle="1" w:styleId="77">
    <w:name w:val="标准文件_封面发布日期"/>
    <w:basedOn w:val="1"/>
    <w:qFormat/>
    <w:uiPriority w:val="0"/>
    <w:pPr>
      <w:spacing w:line="310" w:lineRule="exact"/>
    </w:pPr>
    <w:rPr>
      <w:rFonts w:ascii="黑体" w:eastAsia="黑体"/>
      <w:kern w:val="0"/>
      <w:sz w:val="28"/>
    </w:rPr>
  </w:style>
  <w:style w:type="paragraph" w:customStyle="1" w:styleId="78">
    <w:name w:val="标准文件_封面密级"/>
    <w:basedOn w:val="1"/>
    <w:qFormat/>
    <w:uiPriority w:val="0"/>
    <w:rPr>
      <w:rFonts w:eastAsia="黑体"/>
      <w:sz w:val="32"/>
    </w:rPr>
  </w:style>
  <w:style w:type="paragraph" w:customStyle="1" w:styleId="79">
    <w:name w:val="标准文件_封面实施日期"/>
    <w:basedOn w:val="1"/>
    <w:qFormat/>
    <w:uiPriority w:val="0"/>
    <w:pPr>
      <w:spacing w:line="310" w:lineRule="exact"/>
      <w:jc w:val="right"/>
    </w:pPr>
    <w:rPr>
      <w:rFonts w:ascii="黑体" w:eastAsia="黑体"/>
      <w:sz w:val="28"/>
    </w:rPr>
  </w:style>
  <w:style w:type="paragraph" w:customStyle="1" w:styleId="80">
    <w:name w:val="标准文件_封面抬头"/>
    <w:basedOn w:val="61"/>
    <w:qFormat/>
    <w:uiPriority w:val="0"/>
    <w:pPr>
      <w:adjustRightInd w:val="0"/>
      <w:spacing w:line="800" w:lineRule="exact"/>
      <w:ind w:firstLine="0" w:firstLineChars="0"/>
      <w:jc w:val="distribute"/>
    </w:pPr>
    <w:rPr>
      <w:rFonts w:ascii="黑体" w:eastAsia="黑体"/>
      <w:b/>
      <w:sz w:val="64"/>
    </w:rPr>
  </w:style>
  <w:style w:type="paragraph" w:customStyle="1" w:styleId="81">
    <w:name w:val="标准文件_附录标识"/>
    <w:next w:val="61"/>
    <w:qFormat/>
    <w:uiPriority w:val="0"/>
    <w:pPr>
      <w:numPr>
        <w:ilvl w:val="0"/>
        <w:numId w:val="4"/>
      </w:numPr>
      <w:shd w:val="clear" w:color="FFFFFF" w:fill="FFFFFF"/>
      <w:tabs>
        <w:tab w:val="left" w:pos="6406"/>
      </w:tabs>
      <w:spacing w:before="560" w:after="280"/>
      <w:jc w:val="center"/>
      <w:outlineLvl w:val="0"/>
    </w:pPr>
    <w:rPr>
      <w:rFonts w:ascii="黑体" w:hAnsi="黑体" w:eastAsia="黑体" w:cs="Times New Roman"/>
      <w:sz w:val="21"/>
      <w:lang w:val="en-US" w:eastAsia="zh-CN" w:bidi="ar-SA"/>
    </w:rPr>
  </w:style>
  <w:style w:type="paragraph" w:customStyle="1" w:styleId="82">
    <w:name w:val="标准文件_附录表标题"/>
    <w:next w:val="61"/>
    <w:qFormat/>
    <w:uiPriority w:val="0"/>
    <w:pPr>
      <w:numPr>
        <w:ilvl w:val="1"/>
        <w:numId w:val="5"/>
      </w:numPr>
      <w:adjustRightInd w:val="0"/>
      <w:snapToGrid w:val="0"/>
      <w:spacing w:before="50" w:beforeLines="50" w:after="50" w:afterLines="50"/>
      <w:jc w:val="center"/>
      <w:textAlignment w:val="baseline"/>
    </w:pPr>
    <w:rPr>
      <w:rFonts w:ascii="黑体" w:hAnsi="黑体" w:eastAsia="黑体" w:cs="Times New Roman"/>
      <w:kern w:val="21"/>
      <w:sz w:val="21"/>
      <w:lang w:val="en-US" w:eastAsia="zh-CN" w:bidi="ar-SA"/>
    </w:rPr>
  </w:style>
  <w:style w:type="paragraph" w:customStyle="1" w:styleId="83">
    <w:name w:val="标准文件_附录一级条标题"/>
    <w:next w:val="61"/>
    <w:qFormat/>
    <w:uiPriority w:val="0"/>
    <w:pPr>
      <w:widowControl w:val="0"/>
      <w:numPr>
        <w:ilvl w:val="1"/>
        <w:numId w:val="4"/>
      </w:numPr>
      <w:spacing w:before="50" w:beforeLines="50" w:after="50" w:afterLines="50"/>
      <w:jc w:val="both"/>
      <w:outlineLvl w:val="1"/>
    </w:pPr>
    <w:rPr>
      <w:rFonts w:ascii="黑体" w:hAnsi="黑体" w:eastAsia="黑体" w:cs="Times New Roman"/>
      <w:kern w:val="21"/>
      <w:sz w:val="21"/>
      <w:lang w:val="en-US" w:eastAsia="zh-CN" w:bidi="ar-SA"/>
    </w:rPr>
  </w:style>
  <w:style w:type="paragraph" w:customStyle="1" w:styleId="84">
    <w:name w:val="标准文件_附录二级条标题"/>
    <w:basedOn w:val="83"/>
    <w:next w:val="61"/>
    <w:qFormat/>
    <w:uiPriority w:val="0"/>
    <w:pPr>
      <w:widowControl/>
      <w:numPr>
        <w:ilvl w:val="2"/>
      </w:numPr>
      <w:wordWrap w:val="0"/>
      <w:overflowPunct w:val="0"/>
      <w:autoSpaceDE w:val="0"/>
      <w:autoSpaceDN w:val="0"/>
      <w:textAlignment w:val="baseline"/>
      <w:outlineLvl w:val="2"/>
    </w:pPr>
  </w:style>
  <w:style w:type="paragraph" w:customStyle="1" w:styleId="85">
    <w:name w:val="标准文件_附录公式"/>
    <w:basedOn w:val="60"/>
    <w:next w:val="60"/>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6">
    <w:name w:val="标准文件_附录三级条标题"/>
    <w:next w:val="61"/>
    <w:qFormat/>
    <w:uiPriority w:val="0"/>
    <w:pPr>
      <w:widowControl w:val="0"/>
      <w:numPr>
        <w:ilvl w:val="3"/>
        <w:numId w:val="4"/>
      </w:numPr>
      <w:spacing w:before="50" w:beforeLines="50" w:after="50" w:afterLines="50"/>
      <w:jc w:val="both"/>
      <w:outlineLvl w:val="3"/>
    </w:pPr>
    <w:rPr>
      <w:rFonts w:ascii="黑体" w:hAnsi="黑体" w:eastAsia="黑体" w:cs="Times New Roman"/>
      <w:kern w:val="21"/>
      <w:sz w:val="21"/>
      <w:lang w:val="en-US" w:eastAsia="zh-CN" w:bidi="ar-SA"/>
    </w:rPr>
  </w:style>
  <w:style w:type="paragraph" w:customStyle="1" w:styleId="87">
    <w:name w:val="标准文件_附录四级条标题"/>
    <w:next w:val="61"/>
    <w:qFormat/>
    <w:uiPriority w:val="0"/>
    <w:pPr>
      <w:widowControl w:val="0"/>
      <w:numPr>
        <w:ilvl w:val="4"/>
        <w:numId w:val="4"/>
      </w:numPr>
      <w:spacing w:before="50" w:beforeLines="50" w:after="50" w:afterLines="50"/>
      <w:jc w:val="both"/>
      <w:outlineLvl w:val="4"/>
    </w:pPr>
    <w:rPr>
      <w:rFonts w:ascii="黑体" w:hAnsi="黑体" w:eastAsia="黑体" w:cs="Times New Roman"/>
      <w:kern w:val="21"/>
      <w:sz w:val="21"/>
      <w:lang w:val="en-US" w:eastAsia="zh-CN" w:bidi="ar-SA"/>
    </w:rPr>
  </w:style>
  <w:style w:type="paragraph" w:customStyle="1" w:styleId="88">
    <w:name w:val="标准文件_附录图标题"/>
    <w:next w:val="61"/>
    <w:qFormat/>
    <w:uiPriority w:val="0"/>
    <w:pPr>
      <w:numPr>
        <w:ilvl w:val="1"/>
        <w:numId w:val="6"/>
      </w:numPr>
      <w:adjustRightInd w:val="0"/>
      <w:snapToGrid w:val="0"/>
      <w:spacing w:before="50" w:beforeLines="50" w:after="50" w:afterLines="50"/>
      <w:jc w:val="center"/>
    </w:pPr>
    <w:rPr>
      <w:rFonts w:ascii="黑体" w:hAnsi="黑体" w:eastAsia="黑体" w:cs="Times New Roman"/>
      <w:sz w:val="21"/>
      <w:lang w:val="en-US" w:eastAsia="zh-CN" w:bidi="ar-SA"/>
    </w:rPr>
  </w:style>
  <w:style w:type="paragraph" w:customStyle="1" w:styleId="89">
    <w:name w:val="标准文件_附录五级条标题"/>
    <w:next w:val="61"/>
    <w:qFormat/>
    <w:uiPriority w:val="0"/>
    <w:pPr>
      <w:widowControl w:val="0"/>
      <w:numPr>
        <w:ilvl w:val="5"/>
        <w:numId w:val="4"/>
      </w:numPr>
      <w:spacing w:before="50" w:beforeLines="50" w:after="50" w:afterLines="50"/>
      <w:jc w:val="both"/>
      <w:outlineLvl w:val="5"/>
    </w:pPr>
    <w:rPr>
      <w:rFonts w:ascii="黑体" w:hAnsi="黑体" w:eastAsia="黑体" w:cs="Times New Roman"/>
      <w:kern w:val="21"/>
      <w:sz w:val="21"/>
      <w:lang w:val="en-US" w:eastAsia="zh-CN" w:bidi="ar-SA"/>
    </w:rPr>
  </w:style>
  <w:style w:type="paragraph" w:customStyle="1" w:styleId="90">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1">
    <w:name w:val="正文文本 字符"/>
    <w:link w:val="14"/>
    <w:qFormat/>
    <w:uiPriority w:val="0"/>
    <w:rPr>
      <w:kern w:val="2"/>
      <w:sz w:val="21"/>
      <w:szCs w:val="21"/>
    </w:rPr>
  </w:style>
  <w:style w:type="paragraph" w:customStyle="1" w:styleId="92">
    <w:name w:val="标准文件_附录章标题"/>
    <w:next w:val="61"/>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3">
    <w:name w:val="标准文件_公式后的破折号"/>
    <w:basedOn w:val="61"/>
    <w:next w:val="61"/>
    <w:qFormat/>
    <w:uiPriority w:val="0"/>
    <w:pPr>
      <w:ind w:left="488" w:leftChars="200" w:hanging="289" w:hangingChars="290"/>
    </w:pPr>
  </w:style>
  <w:style w:type="paragraph" w:customStyle="1" w:styleId="94">
    <w:name w:val="标准文件_前言、引言标题"/>
    <w:next w:val="1"/>
    <w:qFormat/>
    <w:uiPriority w:val="0"/>
    <w:pPr>
      <w:numPr>
        <w:ilvl w:val="0"/>
        <w:numId w:val="8"/>
      </w:numPr>
      <w:shd w:val="clear" w:color="FFFFFF" w:fill="FFFFFF"/>
      <w:spacing w:before="560" w:after="680"/>
      <w:jc w:val="center"/>
      <w:outlineLvl w:val="0"/>
    </w:pPr>
    <w:rPr>
      <w:rFonts w:ascii="黑体" w:hAnsi="黑体" w:eastAsia="黑体" w:cs="Times New Roman"/>
      <w:sz w:val="32"/>
      <w:lang w:val="en-US" w:eastAsia="zh-CN" w:bidi="ar-SA"/>
    </w:rPr>
  </w:style>
  <w:style w:type="paragraph" w:customStyle="1" w:styleId="95">
    <w:name w:val="标准文件_目次、标准名称标题"/>
    <w:basedOn w:val="94"/>
    <w:next w:val="61"/>
    <w:qFormat/>
    <w:uiPriority w:val="0"/>
    <w:pPr>
      <w:spacing w:line="460" w:lineRule="exact"/>
      <w:ind w:left="0" w:firstLine="0"/>
    </w:pPr>
  </w:style>
  <w:style w:type="paragraph" w:customStyle="1" w:styleId="96">
    <w:name w:val="标准文件_目录标题"/>
    <w:basedOn w:val="1"/>
    <w:qFormat/>
    <w:uiPriority w:val="0"/>
    <w:pPr>
      <w:spacing w:before="560" w:after="680" w:line="240" w:lineRule="auto"/>
      <w:jc w:val="center"/>
    </w:pPr>
    <w:rPr>
      <w:rFonts w:ascii="黑体" w:hAnsi="黑体" w:eastAsia="黑体"/>
      <w:sz w:val="32"/>
    </w:rPr>
  </w:style>
  <w:style w:type="paragraph" w:customStyle="1" w:styleId="97">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8">
    <w:name w:val="标准文件_破折号列项（二级）"/>
    <w:basedOn w:val="97"/>
    <w:qFormat/>
    <w:uiPriority w:val="0"/>
    <w:pPr>
      <w:numPr>
        <w:numId w:val="10"/>
      </w:numPr>
    </w:pPr>
  </w:style>
  <w:style w:type="paragraph" w:customStyle="1" w:styleId="99">
    <w:name w:val="标准文件_三级条标题"/>
    <w:basedOn w:val="70"/>
    <w:next w:val="61"/>
    <w:qFormat/>
    <w:uiPriority w:val="0"/>
    <w:pPr>
      <w:widowControl/>
      <w:numPr>
        <w:ilvl w:val="4"/>
      </w:numPr>
      <w:outlineLvl w:val="3"/>
    </w:pPr>
  </w:style>
  <w:style w:type="character" w:customStyle="1" w:styleId="100">
    <w:name w:val="不明显参考1"/>
    <w:qFormat/>
    <w:uiPriority w:val="31"/>
    <w:rPr>
      <w:smallCaps/>
      <w:color w:val="C0504D"/>
      <w:u w:val="single"/>
    </w:rPr>
  </w:style>
  <w:style w:type="paragraph" w:customStyle="1" w:styleId="101">
    <w:name w:val="标准文件_示例后续"/>
    <w:basedOn w:val="1"/>
    <w:qFormat/>
    <w:uiPriority w:val="0"/>
    <w:pPr>
      <w:adjustRightInd/>
      <w:spacing w:line="240" w:lineRule="auto"/>
      <w:ind w:firstLine="200" w:firstLineChars="200"/>
    </w:pPr>
    <w:rPr>
      <w:sz w:val="18"/>
      <w:szCs w:val="24"/>
    </w:rPr>
  </w:style>
  <w:style w:type="paragraph" w:customStyle="1" w:styleId="102">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3">
    <w:name w:val="标准文件_四级条标题"/>
    <w:next w:val="61"/>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4">
    <w:name w:val="脚注文本 字符"/>
    <w:link w:val="23"/>
    <w:semiHidden/>
    <w:qFormat/>
    <w:uiPriority w:val="0"/>
    <w:rPr>
      <w:rFonts w:ascii="宋体"/>
      <w:kern w:val="2"/>
      <w:sz w:val="18"/>
      <w:szCs w:val="18"/>
    </w:rPr>
  </w:style>
  <w:style w:type="paragraph" w:customStyle="1" w:styleId="105">
    <w:name w:val="标准文件_条文脚注"/>
    <w:basedOn w:val="23"/>
    <w:qFormat/>
    <w:uiPriority w:val="0"/>
    <w:pPr>
      <w:adjustRightInd w:val="0"/>
      <w:spacing w:line="240" w:lineRule="auto"/>
      <w:ind w:left="0" w:leftChars="0" w:firstLine="200" w:firstLineChars="200"/>
      <w:jc w:val="both"/>
    </w:pPr>
    <w:rPr>
      <w:rFonts w:hAnsi="宋体"/>
    </w:rPr>
  </w:style>
  <w:style w:type="paragraph" w:customStyle="1" w:styleId="106">
    <w:name w:val="标准文件_图表脚注"/>
    <w:basedOn w:val="1"/>
    <w:next w:val="61"/>
    <w:qFormat/>
    <w:uiPriority w:val="0"/>
    <w:pPr>
      <w:numPr>
        <w:ilvl w:val="0"/>
        <w:numId w:val="12"/>
      </w:numPr>
      <w:spacing w:line="240" w:lineRule="auto"/>
      <w:jc w:val="left"/>
    </w:pPr>
    <w:rPr>
      <w:rFonts w:ascii="宋体" w:hAnsi="宋体"/>
      <w:sz w:val="18"/>
    </w:rPr>
  </w:style>
  <w:style w:type="character" w:customStyle="1" w:styleId="107">
    <w:name w:val="标准文件_图表脚注内容"/>
    <w:qFormat/>
    <w:uiPriority w:val="0"/>
    <w:rPr>
      <w:rFonts w:ascii="宋体" w:hAnsi="宋体" w:eastAsia="宋体" w:cs="Times New Roman"/>
      <w:spacing w:val="0"/>
      <w:sz w:val="18"/>
      <w:vertAlign w:val="superscript"/>
    </w:rPr>
  </w:style>
  <w:style w:type="paragraph" w:customStyle="1" w:styleId="108">
    <w:name w:val="标准文件_五级条标题"/>
    <w:next w:val="61"/>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9">
    <w:name w:val="标准文件_章标题"/>
    <w:next w:val="61"/>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10">
    <w:name w:val="标准文件_一级条标题"/>
    <w:basedOn w:val="109"/>
    <w:next w:val="61"/>
    <w:qFormat/>
    <w:uiPriority w:val="0"/>
    <w:pPr>
      <w:numPr>
        <w:ilvl w:val="2"/>
      </w:numPr>
      <w:spacing w:before="50" w:beforeLines="50" w:after="50" w:afterLines="50"/>
      <w:outlineLvl w:val="1"/>
    </w:pPr>
  </w:style>
  <w:style w:type="paragraph" w:customStyle="1" w:styleId="111">
    <w:name w:val="标准文件_一致程度"/>
    <w:basedOn w:val="1"/>
    <w:qFormat/>
    <w:uiPriority w:val="0"/>
    <w:pPr>
      <w:spacing w:line="440" w:lineRule="exact"/>
      <w:jc w:val="center"/>
    </w:pPr>
    <w:rPr>
      <w:sz w:val="28"/>
    </w:rPr>
  </w:style>
  <w:style w:type="paragraph" w:customStyle="1" w:styleId="112">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3">
    <w:name w:val="标准文件_英文图表脚注"/>
    <w:basedOn w:val="60"/>
    <w:qFormat/>
    <w:uiPriority w:val="0"/>
    <w:pPr>
      <w:widowControl/>
      <w:adjustRightInd/>
      <w:snapToGrid/>
      <w:spacing w:line="240" w:lineRule="auto"/>
      <w:ind w:left="79" w:hanging="79" w:hangingChars="80"/>
    </w:pPr>
    <w:rPr>
      <w:rFonts w:ascii="宋体" w:hAnsi="宋体"/>
    </w:rPr>
  </w:style>
  <w:style w:type="paragraph" w:customStyle="1" w:styleId="114">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5">
    <w:name w:val="标准文件_英文注："/>
    <w:basedOn w:val="1"/>
    <w:next w:val="61"/>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6">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7">
    <w:name w:val="标准文件_正文表标题"/>
    <w:next w:val="61"/>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公式"/>
    <w:basedOn w:val="1"/>
    <w:next w:val="60"/>
    <w:qFormat/>
    <w:uiPriority w:val="0"/>
    <w:pPr>
      <w:tabs>
        <w:tab w:val="center" w:pos="4678"/>
        <w:tab w:val="right" w:leader="middleDot" w:pos="9356"/>
      </w:tabs>
      <w:spacing w:line="240" w:lineRule="auto"/>
    </w:pPr>
    <w:rPr>
      <w:rFonts w:ascii="宋体" w:hAnsi="宋体"/>
    </w:rPr>
  </w:style>
  <w:style w:type="paragraph" w:customStyle="1" w:styleId="119">
    <w:name w:val="标准文件_正文图标题"/>
    <w:next w:val="61"/>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20">
    <w:name w:val="标准文件_正文英文表标题"/>
    <w:next w:val="61"/>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1">
    <w:name w:val="标准文件_正文英文图标题"/>
    <w:next w:val="61"/>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2">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3">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4">
    <w:name w:val="发布部门"/>
    <w:next w:val="61"/>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5">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6">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7">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8">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9">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30">
    <w:name w:val="封面标准英文名称"/>
    <w:qFormat/>
    <w:uiPriority w:val="0"/>
    <w:pPr>
      <w:widowControl w:val="0"/>
      <w:spacing w:line="360" w:lineRule="exact"/>
      <w:jc w:val="center"/>
    </w:pPr>
    <w:rPr>
      <w:rFonts w:ascii="黑体" w:hAnsi="黑体" w:eastAsia="黑体" w:cs="Times New Roman"/>
      <w:sz w:val="28"/>
      <w:lang w:val="en-US" w:eastAsia="zh-CN" w:bidi="ar-SA"/>
    </w:rPr>
  </w:style>
  <w:style w:type="paragraph" w:customStyle="1" w:styleId="131">
    <w:name w:val="封面一致性程度标识"/>
    <w:link w:val="237"/>
    <w:qFormat/>
    <w:uiPriority w:val="0"/>
    <w:pPr>
      <w:spacing w:before="440" w:line="440" w:lineRule="exact"/>
      <w:jc w:val="center"/>
    </w:pPr>
    <w:rPr>
      <w:rFonts w:ascii="黑体" w:hAnsi="黑体" w:eastAsia="黑体" w:cs="黑体"/>
      <w:sz w:val="28"/>
      <w:lang w:val="en-US" w:eastAsia="zh-CN" w:bidi="ar-SA"/>
    </w:rPr>
  </w:style>
  <w:style w:type="paragraph" w:customStyle="1" w:styleId="132">
    <w:name w:val="封面正文"/>
    <w:qFormat/>
    <w:uiPriority w:val="0"/>
    <w:pPr>
      <w:jc w:val="both"/>
    </w:pPr>
    <w:rPr>
      <w:rFonts w:ascii="Times New Roman" w:hAnsi="Times New Roman" w:eastAsia="宋体" w:cs="Times New Roman"/>
      <w:lang w:val="en-US" w:eastAsia="zh-CN" w:bidi="ar-SA"/>
    </w:rPr>
  </w:style>
  <w:style w:type="paragraph" w:customStyle="1" w:styleId="133">
    <w:name w:val="附录二级无标题条"/>
    <w:basedOn w:val="1"/>
    <w:next w:val="61"/>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4">
    <w:name w:val="附录三级无标题条"/>
    <w:basedOn w:val="133"/>
    <w:next w:val="61"/>
    <w:qFormat/>
    <w:uiPriority w:val="0"/>
    <w:pPr>
      <w:outlineLvl w:val="4"/>
    </w:pPr>
  </w:style>
  <w:style w:type="paragraph" w:customStyle="1" w:styleId="135">
    <w:name w:val="附录四级无标题条"/>
    <w:basedOn w:val="134"/>
    <w:next w:val="61"/>
    <w:qFormat/>
    <w:uiPriority w:val="0"/>
    <w:pPr>
      <w:outlineLvl w:val="5"/>
    </w:pPr>
  </w:style>
  <w:style w:type="paragraph" w:customStyle="1" w:styleId="136">
    <w:name w:val="附录图"/>
    <w:next w:val="61"/>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7">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8">
    <w:name w:val="附录五级无标题条"/>
    <w:basedOn w:val="135"/>
    <w:next w:val="61"/>
    <w:qFormat/>
    <w:uiPriority w:val="0"/>
    <w:pPr>
      <w:outlineLvl w:val="6"/>
    </w:pPr>
  </w:style>
  <w:style w:type="paragraph" w:customStyle="1" w:styleId="139">
    <w:name w:val="附录性质"/>
    <w:basedOn w:val="1"/>
    <w:qFormat/>
    <w:uiPriority w:val="0"/>
    <w:pPr>
      <w:widowControl/>
      <w:adjustRightInd/>
      <w:jc w:val="center"/>
    </w:pPr>
    <w:rPr>
      <w:rFonts w:ascii="黑体" w:eastAsia="黑体"/>
    </w:rPr>
  </w:style>
  <w:style w:type="paragraph" w:customStyle="1" w:styleId="140">
    <w:name w:val="附录一级无标题条"/>
    <w:basedOn w:val="92"/>
    <w:next w:val="61"/>
    <w:qFormat/>
    <w:uiPriority w:val="0"/>
    <w:pPr>
      <w:autoSpaceDN w:val="0"/>
      <w:outlineLvl w:val="2"/>
    </w:pPr>
    <w:rPr>
      <w:rFonts w:ascii="宋体" w:hAnsi="宋体" w:eastAsia="宋体"/>
    </w:rPr>
  </w:style>
  <w:style w:type="character" w:customStyle="1" w:styleId="141">
    <w:name w:val="个人答复风格"/>
    <w:qFormat/>
    <w:uiPriority w:val="0"/>
    <w:rPr>
      <w:rFonts w:ascii="Arial" w:hAnsi="Arial" w:eastAsia="宋体" w:cs="Arial"/>
      <w:color w:val="auto"/>
      <w:spacing w:val="0"/>
      <w:sz w:val="20"/>
    </w:rPr>
  </w:style>
  <w:style w:type="character" w:customStyle="1" w:styleId="142">
    <w:name w:val="个人撰写风格"/>
    <w:qFormat/>
    <w:uiPriority w:val="0"/>
    <w:rPr>
      <w:rFonts w:ascii="Arial" w:hAnsi="Arial" w:eastAsia="宋体" w:cs="Arial"/>
      <w:color w:val="auto"/>
      <w:spacing w:val="0"/>
      <w:sz w:val="20"/>
    </w:rPr>
  </w:style>
  <w:style w:type="paragraph" w:customStyle="1" w:styleId="143">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4">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5">
    <w:name w:val="列项·"/>
    <w:basedOn w:val="61"/>
    <w:qFormat/>
    <w:uiPriority w:val="0"/>
    <w:pPr>
      <w:tabs>
        <w:tab w:val="left" w:pos="840"/>
      </w:tabs>
    </w:pPr>
  </w:style>
  <w:style w:type="paragraph" w:customStyle="1" w:styleId="146">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7">
    <w:name w:val="目录 21"/>
    <w:basedOn w:val="1"/>
    <w:next w:val="1"/>
    <w:semiHidden/>
    <w:qFormat/>
    <w:uiPriority w:val="0"/>
    <w:pPr>
      <w:adjustRightInd/>
      <w:spacing w:line="240" w:lineRule="auto"/>
      <w:jc w:val="left"/>
    </w:pPr>
    <w:rPr>
      <w:bCs/>
      <w:iCs/>
    </w:rPr>
  </w:style>
  <w:style w:type="paragraph" w:customStyle="1" w:styleId="148">
    <w:name w:val="目录 31"/>
    <w:basedOn w:val="1"/>
    <w:next w:val="1"/>
    <w:semiHidden/>
    <w:qFormat/>
    <w:uiPriority w:val="0"/>
    <w:pPr>
      <w:spacing w:line="240" w:lineRule="auto"/>
    </w:pPr>
    <w:rPr>
      <w:rFonts w:ascii="宋体" w:hAnsi="宋体"/>
      <w:iCs/>
    </w:rPr>
  </w:style>
  <w:style w:type="paragraph" w:customStyle="1" w:styleId="149">
    <w:name w:val="目录 41"/>
    <w:basedOn w:val="1"/>
    <w:next w:val="1"/>
    <w:semiHidden/>
    <w:qFormat/>
    <w:uiPriority w:val="0"/>
    <w:pPr>
      <w:adjustRightInd/>
      <w:spacing w:line="240" w:lineRule="auto"/>
      <w:jc w:val="left"/>
    </w:pPr>
  </w:style>
  <w:style w:type="paragraph" w:customStyle="1" w:styleId="150">
    <w:name w:val="目录 51"/>
    <w:basedOn w:val="1"/>
    <w:next w:val="1"/>
    <w:semiHidden/>
    <w:qFormat/>
    <w:uiPriority w:val="0"/>
    <w:pPr>
      <w:spacing w:line="240" w:lineRule="auto"/>
    </w:pPr>
    <w:rPr>
      <w:rFonts w:ascii="宋体" w:hAnsi="宋体"/>
    </w:rPr>
  </w:style>
  <w:style w:type="paragraph" w:customStyle="1" w:styleId="151">
    <w:name w:val="目录 61"/>
    <w:basedOn w:val="1"/>
    <w:next w:val="1"/>
    <w:semiHidden/>
    <w:qFormat/>
    <w:uiPriority w:val="0"/>
    <w:pPr>
      <w:adjustRightInd/>
      <w:spacing w:line="240" w:lineRule="auto"/>
      <w:jc w:val="left"/>
    </w:pPr>
  </w:style>
  <w:style w:type="paragraph" w:customStyle="1" w:styleId="152">
    <w:name w:val="目录 71"/>
    <w:basedOn w:val="151"/>
    <w:semiHidden/>
    <w:qFormat/>
    <w:uiPriority w:val="0"/>
    <w:pPr>
      <w:ind w:left="1260"/>
    </w:pPr>
  </w:style>
  <w:style w:type="paragraph" w:customStyle="1" w:styleId="153">
    <w:name w:val="目录 81"/>
    <w:basedOn w:val="152"/>
    <w:semiHidden/>
    <w:qFormat/>
    <w:uiPriority w:val="0"/>
    <w:pPr>
      <w:ind w:left="1470"/>
    </w:pPr>
  </w:style>
  <w:style w:type="paragraph" w:customStyle="1" w:styleId="154">
    <w:name w:val="目录 91"/>
    <w:basedOn w:val="153"/>
    <w:semiHidden/>
    <w:qFormat/>
    <w:uiPriority w:val="0"/>
    <w:pPr>
      <w:ind w:left="1680"/>
    </w:pPr>
  </w:style>
  <w:style w:type="paragraph" w:customStyle="1" w:styleId="155">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6">
    <w:name w:val="其他发布部门"/>
    <w:basedOn w:val="124"/>
    <w:qFormat/>
    <w:uiPriority w:val="0"/>
    <w:pPr>
      <w:framePr w:wrap="around"/>
      <w:spacing w:line="0" w:lineRule="atLeast"/>
    </w:pPr>
    <w:rPr>
      <w:rFonts w:ascii="黑体" w:eastAsia="黑体"/>
      <w:b w:val="0"/>
    </w:rPr>
  </w:style>
  <w:style w:type="paragraph" w:customStyle="1" w:styleId="157">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8">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9">
    <w:name w:val="实施日期"/>
    <w:basedOn w:val="125"/>
    <w:qFormat/>
    <w:uiPriority w:val="0"/>
    <w:pPr>
      <w:framePr w:hSpace="0" w:wrap="around" w:xAlign="right"/>
      <w:jc w:val="right"/>
    </w:pPr>
  </w:style>
  <w:style w:type="paragraph" w:customStyle="1" w:styleId="160">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1">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2">
    <w:name w:val="无标题条"/>
    <w:next w:val="61"/>
    <w:qFormat/>
    <w:uiPriority w:val="0"/>
    <w:pPr>
      <w:jc w:val="both"/>
    </w:pPr>
    <w:rPr>
      <w:rFonts w:ascii="宋体" w:hAnsi="宋体" w:eastAsia="宋体" w:cs="Times New Roman"/>
      <w:sz w:val="21"/>
      <w:lang w:val="en-US" w:eastAsia="zh-CN" w:bidi="ar-SA"/>
    </w:rPr>
  </w:style>
  <w:style w:type="paragraph" w:customStyle="1" w:styleId="163">
    <w:name w:val="五级无标题条"/>
    <w:basedOn w:val="1"/>
    <w:qFormat/>
    <w:uiPriority w:val="0"/>
    <w:pPr>
      <w:numPr>
        <w:ilvl w:val="6"/>
        <w:numId w:val="20"/>
      </w:numPr>
      <w:adjustRightInd/>
    </w:pPr>
    <w:rPr>
      <w:szCs w:val="24"/>
    </w:rPr>
  </w:style>
  <w:style w:type="paragraph" w:customStyle="1" w:styleId="164">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5">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6">
    <w:name w:val="注×:后续"/>
    <w:basedOn w:val="165"/>
    <w:qFormat/>
    <w:uiPriority w:val="0"/>
    <w:pPr>
      <w:ind w:left="1406" w:leftChars="0" w:hanging="499" w:firstLineChars="0"/>
    </w:pPr>
  </w:style>
  <w:style w:type="paragraph" w:customStyle="1" w:styleId="167">
    <w:name w:val="标准文件_一级无标题"/>
    <w:basedOn w:val="110"/>
    <w:qFormat/>
    <w:uiPriority w:val="0"/>
    <w:pPr>
      <w:spacing w:before="0" w:beforeLines="0" w:after="0" w:afterLines="0"/>
      <w:outlineLvl w:val="9"/>
    </w:pPr>
    <w:rPr>
      <w:rFonts w:ascii="宋体" w:eastAsia="宋体"/>
    </w:rPr>
  </w:style>
  <w:style w:type="paragraph" w:customStyle="1" w:styleId="168">
    <w:name w:val="标准文件_五级无标题"/>
    <w:basedOn w:val="108"/>
    <w:qFormat/>
    <w:uiPriority w:val="0"/>
    <w:pPr>
      <w:spacing w:before="0" w:beforeLines="0" w:after="0" w:afterLines="0"/>
      <w:outlineLvl w:val="9"/>
    </w:pPr>
    <w:rPr>
      <w:rFonts w:ascii="宋体" w:eastAsia="宋体"/>
    </w:rPr>
  </w:style>
  <w:style w:type="paragraph" w:customStyle="1" w:styleId="169">
    <w:name w:val="标准文件_三级无标题"/>
    <w:basedOn w:val="99"/>
    <w:qFormat/>
    <w:uiPriority w:val="0"/>
    <w:pPr>
      <w:spacing w:before="0" w:beforeLines="0" w:after="0" w:afterLines="0"/>
      <w:outlineLvl w:val="9"/>
    </w:pPr>
    <w:rPr>
      <w:rFonts w:ascii="宋体" w:eastAsia="宋体"/>
    </w:rPr>
  </w:style>
  <w:style w:type="paragraph" w:customStyle="1" w:styleId="170">
    <w:name w:val="标准文件_二级无标题"/>
    <w:basedOn w:val="70"/>
    <w:qFormat/>
    <w:uiPriority w:val="0"/>
    <w:pPr>
      <w:spacing w:before="0" w:beforeLines="0" w:after="0" w:afterLines="0"/>
      <w:outlineLvl w:val="9"/>
    </w:pPr>
    <w:rPr>
      <w:rFonts w:ascii="宋体" w:eastAsia="宋体"/>
    </w:rPr>
  </w:style>
  <w:style w:type="paragraph" w:customStyle="1" w:styleId="171">
    <w:name w:val="标准_四级无标题"/>
    <w:basedOn w:val="103"/>
    <w:next w:val="61"/>
    <w:qFormat/>
    <w:uiPriority w:val="0"/>
    <w:rPr>
      <w:rFonts w:eastAsia="宋体"/>
    </w:rPr>
  </w:style>
  <w:style w:type="paragraph" w:customStyle="1" w:styleId="172">
    <w:name w:val="标准文件_四级无标题"/>
    <w:basedOn w:val="103"/>
    <w:qFormat/>
    <w:uiPriority w:val="0"/>
    <w:pPr>
      <w:spacing w:before="0" w:beforeLines="0" w:after="0" w:afterLines="0"/>
      <w:outlineLvl w:val="9"/>
    </w:pPr>
    <w:rPr>
      <w:rFonts w:ascii="宋体" w:hAnsi="黑体" w:eastAsia="宋体"/>
      <w:szCs w:val="52"/>
    </w:rPr>
  </w:style>
  <w:style w:type="paragraph" w:customStyle="1" w:styleId="173">
    <w:name w:val="标准文件_大写罗马数字编号列项"/>
    <w:basedOn w:val="61"/>
    <w:qFormat/>
    <w:uiPriority w:val="0"/>
    <w:pPr>
      <w:numPr>
        <w:ilvl w:val="0"/>
        <w:numId w:val="23"/>
      </w:numPr>
      <w:ind w:firstLine="0" w:firstLineChars="0"/>
    </w:pPr>
    <w:rPr>
      <w:rFonts w:ascii="Times New Roman" w:cs="Arial"/>
      <w:szCs w:val="28"/>
    </w:rPr>
  </w:style>
  <w:style w:type="paragraph" w:customStyle="1" w:styleId="174">
    <w:name w:val="标准文件_小写罗马数字编号列项"/>
    <w:basedOn w:val="61"/>
    <w:qFormat/>
    <w:uiPriority w:val="0"/>
    <w:pPr>
      <w:numPr>
        <w:ilvl w:val="0"/>
        <w:numId w:val="24"/>
      </w:numPr>
      <w:ind w:firstLine="0" w:firstLineChars="0"/>
    </w:pPr>
    <w:rPr>
      <w:rFonts w:cs="Arial"/>
      <w:szCs w:val="28"/>
    </w:rPr>
  </w:style>
  <w:style w:type="paragraph" w:customStyle="1" w:styleId="175">
    <w:name w:val="标准文件_附录标题"/>
    <w:basedOn w:val="81"/>
    <w:qFormat/>
    <w:uiPriority w:val="0"/>
    <w:pPr>
      <w:numPr>
        <w:numId w:val="0"/>
      </w:numPr>
      <w:outlineLvl w:val="9"/>
    </w:pPr>
  </w:style>
  <w:style w:type="paragraph" w:customStyle="1" w:styleId="176">
    <w:name w:val="标准文件_二级项"/>
    <w:qFormat/>
    <w:uiPriority w:val="0"/>
    <w:rPr>
      <w:rFonts w:ascii="宋体" w:hAnsi="Times New Roman" w:eastAsia="宋体" w:cs="Times New Roman"/>
      <w:sz w:val="21"/>
      <w:lang w:val="en-US" w:eastAsia="zh-CN" w:bidi="ar-SA"/>
    </w:rPr>
  </w:style>
  <w:style w:type="paragraph" w:customStyle="1" w:styleId="177">
    <w:name w:val="标准文件_三级项"/>
    <w:basedOn w:val="1"/>
    <w:qFormat/>
    <w:uiPriority w:val="0"/>
    <w:pPr>
      <w:numPr>
        <w:ilvl w:val="2"/>
        <w:numId w:val="21"/>
      </w:numPr>
      <w:spacing w:line="536870612" w:lineRule="auto"/>
    </w:pPr>
    <w:rPr>
      <w:rFonts w:ascii="Times New Roman" w:hAnsi="Times New Roman"/>
    </w:rPr>
  </w:style>
  <w:style w:type="paragraph" w:customStyle="1" w:styleId="178">
    <w:name w:val="图表脚注说明"/>
    <w:basedOn w:val="1"/>
    <w:next w:val="61"/>
    <w:qFormat/>
    <w:uiPriority w:val="0"/>
    <w:pPr>
      <w:numPr>
        <w:ilvl w:val="0"/>
        <w:numId w:val="25"/>
      </w:numPr>
      <w:adjustRightInd/>
      <w:spacing w:line="240" w:lineRule="auto"/>
    </w:pPr>
    <w:rPr>
      <w:rFonts w:ascii="宋体" w:hAnsi="Times New Roman"/>
      <w:sz w:val="18"/>
      <w:szCs w:val="18"/>
    </w:rPr>
  </w:style>
  <w:style w:type="paragraph" w:customStyle="1" w:styleId="179">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80">
    <w:name w:val="标准文件_索引字母"/>
    <w:next w:val="61"/>
    <w:qFormat/>
    <w:uiPriority w:val="0"/>
    <w:pPr>
      <w:jc w:val="center"/>
    </w:pPr>
    <w:rPr>
      <w:rFonts w:ascii="宋体" w:hAnsi="宋体" w:eastAsia="Times New Roman" w:cs="Times New Roman"/>
      <w:b/>
      <w:kern w:val="2"/>
      <w:sz w:val="21"/>
      <w:lang w:val="en-US" w:eastAsia="zh-CN" w:bidi="ar-SA"/>
    </w:rPr>
  </w:style>
  <w:style w:type="paragraph" w:customStyle="1" w:styleId="181">
    <w:name w:val="标准文件_附录前"/>
    <w:next w:val="61"/>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2">
    <w:name w:val="标准文件_正文标准名称"/>
    <w:qFormat/>
    <w:uiPriority w:val="0"/>
    <w:pPr>
      <w:spacing w:before="560" w:after="680"/>
      <w:jc w:val="center"/>
    </w:pPr>
    <w:rPr>
      <w:rFonts w:ascii="黑体" w:hAnsi="黑体" w:eastAsia="黑体" w:cs="Times New Roman"/>
      <w:kern w:val="2"/>
      <w:sz w:val="32"/>
      <w:szCs w:val="32"/>
      <w:lang w:val="en-US" w:eastAsia="zh-CN" w:bidi="ar-SA"/>
    </w:rPr>
  </w:style>
  <w:style w:type="paragraph" w:customStyle="1" w:styleId="183">
    <w:name w:val="标准文件_表格"/>
    <w:basedOn w:val="61"/>
    <w:qFormat/>
    <w:uiPriority w:val="0"/>
    <w:pPr>
      <w:ind w:firstLine="0" w:firstLineChars="0"/>
      <w:jc w:val="center"/>
    </w:pPr>
    <w:rPr>
      <w:sz w:val="18"/>
    </w:rPr>
  </w:style>
  <w:style w:type="paragraph" w:customStyle="1" w:styleId="184">
    <w:name w:val="标准文件_注："/>
    <w:next w:val="61"/>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6">
    <w:name w:val="标准文件_示例："/>
    <w:next w:val="187"/>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7">
    <w:name w:val="标准文件_示例内容"/>
    <w:basedOn w:val="61"/>
    <w:qFormat/>
    <w:uiPriority w:val="0"/>
    <w:rPr>
      <w:sz w:val="18"/>
    </w:rPr>
  </w:style>
  <w:style w:type="paragraph" w:customStyle="1" w:styleId="188">
    <w:name w:val="标准文件_示例×："/>
    <w:basedOn w:val="1"/>
    <w:next w:val="187"/>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9">
    <w:name w:val="标准文件_段 Char"/>
    <w:link w:val="61"/>
    <w:qFormat/>
    <w:uiPriority w:val="0"/>
    <w:rPr>
      <w:rFonts w:ascii="宋体" w:hAnsi="Times New Roman" w:eastAsia="宋体" w:cs="Times New Roman"/>
      <w:sz w:val="21"/>
      <w:lang w:val="en-US" w:eastAsia="zh-CN" w:bidi="ar-SA"/>
    </w:rPr>
  </w:style>
  <w:style w:type="paragraph" w:customStyle="1" w:styleId="190">
    <w:name w:val="标准文件_表格续"/>
    <w:basedOn w:val="61"/>
    <w:next w:val="61"/>
    <w:qFormat/>
    <w:uiPriority w:val="0"/>
    <w:pPr>
      <w:jc w:val="center"/>
    </w:pPr>
    <w:rPr>
      <w:rFonts w:ascii="黑体" w:hAnsi="黑体" w:eastAsia="黑体"/>
    </w:rPr>
  </w:style>
  <w:style w:type="character" w:styleId="191">
    <w:name w:val="Placeholder Text"/>
    <w:basedOn w:val="32"/>
    <w:semiHidden/>
    <w:qFormat/>
    <w:uiPriority w:val="99"/>
    <w:rPr>
      <w:color w:val="808080"/>
    </w:rPr>
  </w:style>
  <w:style w:type="paragraph" w:customStyle="1" w:styleId="192">
    <w:name w:val="标准文件_二级项2"/>
    <w:basedOn w:val="61"/>
    <w:qFormat/>
    <w:uiPriority w:val="0"/>
    <w:pPr>
      <w:numPr>
        <w:ilvl w:val="1"/>
        <w:numId w:val="21"/>
      </w:numPr>
      <w:ind w:firstLine="0" w:firstLineChars="0"/>
    </w:pPr>
  </w:style>
  <w:style w:type="paragraph" w:customStyle="1" w:styleId="193">
    <w:name w:val="标准文件_三级项2"/>
    <w:basedOn w:val="61"/>
    <w:qFormat/>
    <w:uiPriority w:val="0"/>
    <w:pPr>
      <w:numPr>
        <w:ilvl w:val="0"/>
        <w:numId w:val="30"/>
      </w:numPr>
      <w:spacing w:line="300" w:lineRule="exact"/>
      <w:ind w:firstLineChars="0"/>
    </w:pPr>
    <w:rPr>
      <w:rFonts w:ascii="Times New Roman"/>
    </w:rPr>
  </w:style>
  <w:style w:type="paragraph" w:customStyle="1" w:styleId="194">
    <w:name w:val="标准文件_一级项2"/>
    <w:basedOn w:val="61"/>
    <w:qFormat/>
    <w:uiPriority w:val="0"/>
    <w:pPr>
      <w:numPr>
        <w:ilvl w:val="0"/>
        <w:numId w:val="31"/>
      </w:numPr>
      <w:spacing w:line="300" w:lineRule="exact"/>
      <w:ind w:firstLineChars="0"/>
    </w:pPr>
    <w:rPr>
      <w:rFonts w:ascii="Times New Roman"/>
    </w:rPr>
  </w:style>
  <w:style w:type="paragraph" w:customStyle="1" w:styleId="195">
    <w:name w:val="标准文件_提示"/>
    <w:basedOn w:val="61"/>
    <w:next w:val="61"/>
    <w:qFormat/>
    <w:uiPriority w:val="0"/>
    <w:rPr>
      <w:rFonts w:ascii="黑体" w:eastAsia="黑体"/>
    </w:rPr>
  </w:style>
  <w:style w:type="character" w:customStyle="1" w:styleId="196">
    <w:name w:val="标准文件_来源"/>
    <w:basedOn w:val="32"/>
    <w:qFormat/>
    <w:uiPriority w:val="1"/>
    <w:rPr>
      <w:rFonts w:eastAsia="宋体"/>
      <w:sz w:val="21"/>
    </w:rPr>
  </w:style>
  <w:style w:type="paragraph" w:customStyle="1" w:styleId="197">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8">
    <w:name w:val="其他发布日期"/>
    <w:basedOn w:val="125"/>
    <w:qFormat/>
    <w:uiPriority w:val="0"/>
    <w:pPr>
      <w:framePr w:w="3997" w:h="471" w:hRule="exact" w:hSpace="0" w:vSpace="181" w:wrap="around" w:vAnchor="page" w:hAnchor="page" w:x="1419" w:y="14097"/>
    </w:pPr>
  </w:style>
  <w:style w:type="paragraph" w:customStyle="1" w:styleId="199">
    <w:name w:val="其他实施日期"/>
    <w:basedOn w:val="159"/>
    <w:qFormat/>
    <w:uiPriority w:val="0"/>
    <w:pPr>
      <w:framePr w:w="3997" w:h="471" w:hRule="exact" w:vSpace="181" w:wrap="around" w:vAnchor="page" w:hAnchor="page" w:x="7089" w:y="14097"/>
    </w:pPr>
  </w:style>
  <w:style w:type="paragraph" w:customStyle="1" w:styleId="200">
    <w:name w:val="标准文件_文件编号"/>
    <w:basedOn w:val="61"/>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1">
    <w:name w:val="标准文件_替换文件编号"/>
    <w:basedOn w:val="200"/>
    <w:qFormat/>
    <w:uiPriority w:val="0"/>
    <w:pPr>
      <w:spacing w:before="57"/>
    </w:pPr>
    <w:rPr>
      <w:sz w:val="21"/>
    </w:rPr>
  </w:style>
  <w:style w:type="paragraph" w:customStyle="1" w:styleId="202">
    <w:name w:val="标准文件_文件名称"/>
    <w:basedOn w:val="61"/>
    <w:next w:val="61"/>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3">
    <w:name w:val="标准文件_附录图标号"/>
    <w:basedOn w:val="61"/>
    <w:next w:val="61"/>
    <w:qFormat/>
    <w:uiPriority w:val="0"/>
    <w:pPr>
      <w:numPr>
        <w:ilvl w:val="0"/>
        <w:numId w:val="6"/>
      </w:numPr>
      <w:spacing w:line="14" w:lineRule="exact"/>
      <w:ind w:firstLineChars="0"/>
      <w:jc w:val="center"/>
    </w:pPr>
    <w:rPr>
      <w:rFonts w:ascii="黑体" w:hAnsi="黑体" w:eastAsia="黑体"/>
      <w:vanish/>
      <w:sz w:val="2"/>
      <w:szCs w:val="21"/>
    </w:rPr>
  </w:style>
  <w:style w:type="paragraph" w:customStyle="1" w:styleId="204">
    <w:name w:val="标准文件_附录表标号"/>
    <w:basedOn w:val="61"/>
    <w:next w:val="61"/>
    <w:qFormat/>
    <w:uiPriority w:val="0"/>
    <w:pPr>
      <w:numPr>
        <w:ilvl w:val="0"/>
        <w:numId w:val="5"/>
      </w:numPr>
      <w:spacing w:line="14" w:lineRule="exact"/>
      <w:ind w:firstLineChars="0"/>
      <w:jc w:val="center"/>
    </w:pPr>
    <w:rPr>
      <w:rFonts w:eastAsia="黑体"/>
      <w:vanish/>
      <w:sz w:val="2"/>
    </w:rPr>
  </w:style>
  <w:style w:type="paragraph" w:customStyle="1" w:styleId="205">
    <w:name w:val="标准文件_引言一级条标题"/>
    <w:basedOn w:val="61"/>
    <w:next w:val="61"/>
    <w:qFormat/>
    <w:uiPriority w:val="0"/>
    <w:pPr>
      <w:numPr>
        <w:ilvl w:val="1"/>
        <w:numId w:val="8"/>
      </w:numPr>
      <w:spacing w:before="50" w:beforeLines="50" w:after="50" w:afterLines="50"/>
      <w:ind w:firstLineChars="0"/>
    </w:pPr>
    <w:rPr>
      <w:rFonts w:ascii="黑体" w:eastAsia="黑体"/>
    </w:rPr>
  </w:style>
  <w:style w:type="paragraph" w:customStyle="1" w:styleId="206">
    <w:name w:val="标准文件_引言二级条标题"/>
    <w:basedOn w:val="61"/>
    <w:next w:val="61"/>
    <w:qFormat/>
    <w:uiPriority w:val="0"/>
    <w:pPr>
      <w:numPr>
        <w:ilvl w:val="2"/>
        <w:numId w:val="8"/>
      </w:numPr>
      <w:spacing w:before="50" w:beforeLines="50" w:after="50" w:afterLines="50"/>
      <w:ind w:firstLineChars="0"/>
    </w:pPr>
    <w:rPr>
      <w:rFonts w:ascii="黑体" w:eastAsia="黑体"/>
    </w:rPr>
  </w:style>
  <w:style w:type="paragraph" w:customStyle="1" w:styleId="207">
    <w:name w:val="标准文件_引言三级条标题"/>
    <w:basedOn w:val="61"/>
    <w:next w:val="61"/>
    <w:qFormat/>
    <w:uiPriority w:val="0"/>
    <w:pPr>
      <w:numPr>
        <w:ilvl w:val="3"/>
        <w:numId w:val="8"/>
      </w:numPr>
      <w:spacing w:before="50" w:beforeLines="50" w:after="50" w:afterLines="50"/>
      <w:ind w:firstLineChars="0"/>
    </w:pPr>
    <w:rPr>
      <w:rFonts w:ascii="黑体" w:eastAsia="黑体"/>
    </w:rPr>
  </w:style>
  <w:style w:type="paragraph" w:customStyle="1" w:styleId="208">
    <w:name w:val="标准文件_引言四级条标题"/>
    <w:basedOn w:val="61"/>
    <w:next w:val="61"/>
    <w:qFormat/>
    <w:uiPriority w:val="0"/>
    <w:pPr>
      <w:numPr>
        <w:ilvl w:val="4"/>
        <w:numId w:val="8"/>
      </w:numPr>
      <w:spacing w:before="50" w:beforeLines="50" w:after="50" w:afterLines="50"/>
      <w:ind w:firstLineChars="0"/>
    </w:pPr>
    <w:rPr>
      <w:rFonts w:ascii="黑体" w:eastAsia="黑体"/>
    </w:rPr>
  </w:style>
  <w:style w:type="paragraph" w:customStyle="1" w:styleId="209">
    <w:name w:val="标准文件_引言五级条标题"/>
    <w:basedOn w:val="61"/>
    <w:next w:val="61"/>
    <w:qFormat/>
    <w:uiPriority w:val="0"/>
    <w:pPr>
      <w:numPr>
        <w:ilvl w:val="5"/>
        <w:numId w:val="8"/>
      </w:numPr>
      <w:spacing w:before="50" w:beforeLines="50" w:after="50" w:afterLines="50"/>
      <w:ind w:firstLineChars="0"/>
    </w:pPr>
    <w:rPr>
      <w:rFonts w:ascii="黑体" w:eastAsia="黑体"/>
    </w:rPr>
  </w:style>
  <w:style w:type="paragraph" w:customStyle="1" w:styleId="210">
    <w:name w:val="标准文件_注后"/>
    <w:basedOn w:val="61"/>
    <w:qFormat/>
    <w:uiPriority w:val="0"/>
    <w:pPr>
      <w:ind w:left="811" w:firstLine="0" w:firstLineChars="0"/>
    </w:pPr>
    <w:rPr>
      <w:sz w:val="18"/>
    </w:rPr>
  </w:style>
  <w:style w:type="paragraph" w:customStyle="1" w:styleId="211">
    <w:name w:val="标准文件_注X后"/>
    <w:basedOn w:val="61"/>
    <w:qFormat/>
    <w:uiPriority w:val="0"/>
    <w:pPr>
      <w:ind w:left="811" w:firstLine="0" w:firstLineChars="0"/>
    </w:pPr>
    <w:rPr>
      <w:sz w:val="18"/>
    </w:rPr>
  </w:style>
  <w:style w:type="paragraph" w:customStyle="1" w:styleId="212">
    <w:name w:val="标准文件_示例后"/>
    <w:basedOn w:val="61"/>
    <w:qFormat/>
    <w:uiPriority w:val="0"/>
    <w:pPr>
      <w:ind w:left="964" w:firstLine="0" w:firstLineChars="0"/>
    </w:pPr>
    <w:rPr>
      <w:sz w:val="18"/>
    </w:rPr>
  </w:style>
  <w:style w:type="paragraph" w:customStyle="1" w:styleId="213">
    <w:name w:val="标准文件_示例X后"/>
    <w:basedOn w:val="61"/>
    <w:link w:val="214"/>
    <w:qFormat/>
    <w:uiPriority w:val="0"/>
    <w:pPr>
      <w:ind w:left="1049" w:firstLine="0" w:firstLineChars="0"/>
    </w:pPr>
    <w:rPr>
      <w:sz w:val="18"/>
    </w:rPr>
  </w:style>
  <w:style w:type="character" w:customStyle="1" w:styleId="214">
    <w:name w:val="标准文件_示例X后 字符"/>
    <w:basedOn w:val="189"/>
    <w:link w:val="213"/>
    <w:qFormat/>
    <w:uiPriority w:val="0"/>
    <w:rPr>
      <w:rFonts w:ascii="宋体" w:hAnsi="Times New Roman" w:eastAsia="宋体" w:cs="Times New Roman"/>
      <w:sz w:val="18"/>
      <w:lang w:val="en-US" w:eastAsia="zh-CN" w:bidi="ar-SA"/>
    </w:rPr>
  </w:style>
  <w:style w:type="paragraph" w:customStyle="1" w:styleId="215">
    <w:name w:val="标准文件_索引项"/>
    <w:basedOn w:val="61"/>
    <w:next w:val="61"/>
    <w:qFormat/>
    <w:uiPriority w:val="0"/>
    <w:pPr>
      <w:tabs>
        <w:tab w:val="right" w:leader="dot" w:pos="9356"/>
      </w:tabs>
      <w:ind w:left="210" w:hanging="210" w:firstLineChars="0"/>
      <w:jc w:val="left"/>
    </w:pPr>
  </w:style>
  <w:style w:type="paragraph" w:customStyle="1" w:styleId="216">
    <w:name w:val="标准文件_附录一级无标题"/>
    <w:basedOn w:val="83"/>
    <w:qFormat/>
    <w:uiPriority w:val="0"/>
    <w:pPr>
      <w:spacing w:before="0" w:beforeLines="0" w:after="0" w:afterLines="0" w:line="276" w:lineRule="auto"/>
      <w:outlineLvl w:val="9"/>
    </w:pPr>
    <w:rPr>
      <w:rFonts w:ascii="宋体" w:eastAsia="宋体"/>
    </w:rPr>
  </w:style>
  <w:style w:type="paragraph" w:customStyle="1" w:styleId="217">
    <w:name w:val="标准文件_附录二级无标题"/>
    <w:basedOn w:val="84"/>
    <w:qFormat/>
    <w:uiPriority w:val="0"/>
    <w:pPr>
      <w:spacing w:before="0" w:beforeLines="0" w:after="0" w:afterLines="0" w:line="276" w:lineRule="auto"/>
      <w:outlineLvl w:val="9"/>
    </w:pPr>
    <w:rPr>
      <w:rFonts w:ascii="宋体" w:eastAsia="宋体"/>
    </w:rPr>
  </w:style>
  <w:style w:type="paragraph" w:customStyle="1" w:styleId="218">
    <w:name w:val="标准文件_附录三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四级无标题"/>
    <w:basedOn w:val="87"/>
    <w:qFormat/>
    <w:uiPriority w:val="0"/>
    <w:pPr>
      <w:spacing w:before="0" w:beforeLines="0" w:after="0" w:afterLines="0" w:line="276" w:lineRule="auto"/>
      <w:outlineLvl w:val="9"/>
    </w:pPr>
    <w:rPr>
      <w:rFonts w:ascii="宋体" w:eastAsia="宋体"/>
    </w:rPr>
  </w:style>
  <w:style w:type="paragraph" w:customStyle="1" w:styleId="220">
    <w:name w:val="标准文件_附录五级无标题"/>
    <w:basedOn w:val="89"/>
    <w:qFormat/>
    <w:uiPriority w:val="0"/>
    <w:pPr>
      <w:spacing w:before="0" w:beforeLines="0" w:after="0" w:afterLines="0" w:line="276" w:lineRule="auto"/>
      <w:outlineLvl w:val="9"/>
    </w:pPr>
    <w:rPr>
      <w:rFonts w:ascii="宋体" w:eastAsia="宋体"/>
    </w:rPr>
  </w:style>
  <w:style w:type="paragraph" w:customStyle="1" w:styleId="221">
    <w:name w:val="标准文件_引言一级无标题"/>
    <w:basedOn w:val="205"/>
    <w:next w:val="61"/>
    <w:qFormat/>
    <w:uiPriority w:val="0"/>
    <w:pPr>
      <w:spacing w:before="0" w:beforeLines="0" w:after="0" w:afterLines="0" w:line="276" w:lineRule="auto"/>
    </w:pPr>
    <w:rPr>
      <w:rFonts w:ascii="宋体" w:eastAsia="宋体"/>
    </w:rPr>
  </w:style>
  <w:style w:type="paragraph" w:customStyle="1" w:styleId="222">
    <w:name w:val="标准文件_引言二级无标题"/>
    <w:basedOn w:val="206"/>
    <w:next w:val="61"/>
    <w:qFormat/>
    <w:uiPriority w:val="0"/>
    <w:pPr>
      <w:spacing w:before="0" w:beforeLines="0" w:after="0" w:afterLines="0" w:line="276" w:lineRule="auto"/>
    </w:pPr>
    <w:rPr>
      <w:rFonts w:ascii="宋体" w:eastAsia="宋体"/>
    </w:rPr>
  </w:style>
  <w:style w:type="paragraph" w:customStyle="1" w:styleId="223">
    <w:name w:val="标准文件_引言三级无标题"/>
    <w:basedOn w:val="207"/>
    <w:qFormat/>
    <w:uiPriority w:val="0"/>
    <w:pPr>
      <w:spacing w:before="0" w:beforeLines="0" w:after="0" w:afterLines="0" w:line="276" w:lineRule="auto"/>
    </w:pPr>
    <w:rPr>
      <w:rFonts w:ascii="宋体" w:eastAsia="宋体"/>
    </w:rPr>
  </w:style>
  <w:style w:type="paragraph" w:customStyle="1" w:styleId="224">
    <w:name w:val="标准文件_引言四级无标题"/>
    <w:basedOn w:val="208"/>
    <w:next w:val="61"/>
    <w:qFormat/>
    <w:uiPriority w:val="0"/>
    <w:pPr>
      <w:spacing w:before="0" w:beforeLines="0" w:after="0" w:afterLines="0" w:line="276" w:lineRule="auto"/>
    </w:pPr>
    <w:rPr>
      <w:rFonts w:ascii="宋体" w:eastAsia="宋体"/>
    </w:rPr>
  </w:style>
  <w:style w:type="paragraph" w:customStyle="1" w:styleId="225">
    <w:name w:val="标准文件_引言五级无标题"/>
    <w:basedOn w:val="209"/>
    <w:next w:val="61"/>
    <w:qFormat/>
    <w:uiPriority w:val="0"/>
    <w:pPr>
      <w:spacing w:before="0" w:beforeLines="0" w:after="0" w:afterLines="0" w:line="276" w:lineRule="auto"/>
    </w:pPr>
    <w:rPr>
      <w:rFonts w:ascii="宋体" w:eastAsia="宋体"/>
    </w:rPr>
  </w:style>
  <w:style w:type="paragraph" w:customStyle="1" w:styleId="226">
    <w:name w:val="标准文件_索引标题"/>
    <w:basedOn w:val="68"/>
    <w:next w:val="61"/>
    <w:qFormat/>
    <w:uiPriority w:val="0"/>
  </w:style>
  <w:style w:type="paragraph" w:customStyle="1" w:styleId="227">
    <w:name w:val="标准文件_脚注内容"/>
    <w:basedOn w:val="61"/>
    <w:qFormat/>
    <w:uiPriority w:val="0"/>
    <w:pPr>
      <w:ind w:left="400" w:leftChars="200" w:hanging="200" w:hangingChars="200"/>
    </w:pPr>
    <w:rPr>
      <w:sz w:val="15"/>
    </w:rPr>
  </w:style>
  <w:style w:type="paragraph" w:customStyle="1" w:styleId="228">
    <w:name w:val="标准文件_术语条一"/>
    <w:basedOn w:val="167"/>
    <w:next w:val="61"/>
    <w:qFormat/>
    <w:uiPriority w:val="0"/>
    <w:rPr>
      <w:rFonts w:ascii="黑体" w:hAnsi="黑体" w:eastAsia="黑体"/>
    </w:rPr>
  </w:style>
  <w:style w:type="paragraph" w:customStyle="1" w:styleId="229">
    <w:name w:val="标准文件_术语条二"/>
    <w:basedOn w:val="170"/>
    <w:next w:val="61"/>
    <w:qFormat/>
    <w:uiPriority w:val="0"/>
    <w:rPr>
      <w:rFonts w:ascii="黑体" w:hAnsi="黑体" w:eastAsia="黑体"/>
    </w:rPr>
  </w:style>
  <w:style w:type="paragraph" w:customStyle="1" w:styleId="230">
    <w:name w:val="标准文件_术语条三"/>
    <w:basedOn w:val="169"/>
    <w:next w:val="61"/>
    <w:qFormat/>
    <w:uiPriority w:val="0"/>
    <w:rPr>
      <w:rFonts w:ascii="黑体" w:hAnsi="黑体" w:eastAsia="黑体"/>
    </w:rPr>
  </w:style>
  <w:style w:type="paragraph" w:customStyle="1" w:styleId="231">
    <w:name w:val="标准文件_术语条四"/>
    <w:basedOn w:val="172"/>
    <w:next w:val="61"/>
    <w:qFormat/>
    <w:uiPriority w:val="0"/>
    <w:rPr>
      <w:rFonts w:ascii="黑体" w:eastAsia="黑体"/>
    </w:rPr>
  </w:style>
  <w:style w:type="paragraph" w:customStyle="1" w:styleId="232">
    <w:name w:val="标准文件_术语条五"/>
    <w:basedOn w:val="168"/>
    <w:next w:val="61"/>
    <w:qFormat/>
    <w:uiPriority w:val="0"/>
    <w:rPr>
      <w:rFonts w:ascii="黑体" w:hAnsi="黑体" w:eastAsia="黑体"/>
    </w:rPr>
  </w:style>
  <w:style w:type="paragraph" w:customStyle="1" w:styleId="233">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4">
    <w:name w:val="发布"/>
    <w:basedOn w:val="32"/>
    <w:qFormat/>
    <w:uiPriority w:val="0"/>
    <w:rPr>
      <w:rFonts w:ascii="黑体" w:eastAsia="黑体"/>
      <w:spacing w:val="85"/>
      <w:w w:val="100"/>
      <w:position w:val="3"/>
      <w:sz w:val="28"/>
      <w:szCs w:val="28"/>
    </w:rPr>
  </w:style>
  <w:style w:type="character" w:customStyle="1" w:styleId="235">
    <w:name w:val="标准称谓 Char"/>
    <w:link w:val="55"/>
    <w:qFormat/>
    <w:uiPriority w:val="0"/>
    <w:rPr>
      <w:rFonts w:ascii="宋体" w:hAnsi="Times New Roman" w:eastAsia="宋体" w:cs="Times New Roman"/>
      <w:b/>
      <w:bCs/>
      <w:w w:val="148"/>
      <w:sz w:val="52"/>
      <w:lang w:val="en-US" w:eastAsia="zh-CN" w:bidi="ar-SA"/>
    </w:rPr>
  </w:style>
  <w:style w:type="character" w:customStyle="1" w:styleId="236">
    <w:name w:val="标准标志 Char"/>
    <w:link w:val="54"/>
    <w:qFormat/>
    <w:uiPriority w:val="0"/>
    <w:rPr>
      <w:rFonts w:ascii="Times New Roman" w:hAnsi="Times New Roman" w:eastAsia="宋体" w:cs="Times New Roman"/>
      <w:b/>
      <w:w w:val="130"/>
      <w:sz w:val="96"/>
      <w:lang w:val="en-US" w:eastAsia="zh-CN" w:bidi="ar-SA"/>
    </w:rPr>
  </w:style>
  <w:style w:type="character" w:customStyle="1" w:styleId="237">
    <w:name w:val="封面一致性程度标识 Char"/>
    <w:link w:val="131"/>
    <w:qFormat/>
    <w:uiPriority w:val="0"/>
    <w:rPr>
      <w:rFonts w:ascii="黑体" w:hAnsi="黑体" w:eastAsia="黑体" w:cs="黑体"/>
      <w:sz w:val="28"/>
      <w:lang w:val="en-US" w:eastAsia="zh-CN" w:bidi="ar-SA"/>
    </w:rPr>
  </w:style>
  <w:style w:type="paragraph" w:customStyle="1" w:styleId="238">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9">
    <w:name w:val="参考文献、索引标题"/>
    <w:basedOn w:val="1"/>
    <w:next w:val="238"/>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240">
    <w:name w:val="Revision"/>
    <w:hidden/>
    <w:unhideWhenUsed/>
    <w:qFormat/>
    <w:uiPriority w:val="99"/>
    <w:rPr>
      <w:rFonts w:ascii="Calibri" w:hAnsi="Calibri" w:eastAsia="宋体" w:cs="Times New Roman"/>
      <w:kern w:val="2"/>
      <w:sz w:val="21"/>
      <w:szCs w:val="21"/>
      <w:lang w:val="en-US" w:eastAsia="zh-CN" w:bidi="ar-SA"/>
    </w:rPr>
  </w:style>
  <w:style w:type="character" w:customStyle="1" w:styleId="241">
    <w:name w:val="批注文字 字符"/>
    <w:basedOn w:val="32"/>
    <w:link w:val="13"/>
    <w:semiHidden/>
    <w:qFormat/>
    <w:uiPriority w:val="99"/>
    <w:rPr>
      <w:rFonts w:ascii="Calibri" w:hAnsi="Calibri"/>
      <w:kern w:val="2"/>
      <w:sz w:val="21"/>
      <w:szCs w:val="21"/>
    </w:rPr>
  </w:style>
  <w:style w:type="character" w:customStyle="1" w:styleId="242">
    <w:name w:val="批注主题 字符"/>
    <w:basedOn w:val="241"/>
    <w:link w:val="29"/>
    <w:semiHidden/>
    <w:qFormat/>
    <w:uiPriority w:val="99"/>
    <w:rPr>
      <w:rFonts w:ascii="Calibri" w:hAnsi="Calibri"/>
      <w:b/>
      <w:bCs/>
      <w:kern w:val="2"/>
      <w:sz w:val="21"/>
      <w:szCs w:val="21"/>
    </w:rPr>
  </w:style>
  <w:style w:type="character" w:customStyle="1" w:styleId="243">
    <w:name w:val="Unresolved Mention"/>
    <w:basedOn w:val="32"/>
    <w:semiHidden/>
    <w:unhideWhenUsed/>
    <w:qFormat/>
    <w:uiPriority w:val="99"/>
    <w:rPr>
      <w:color w:val="605E5C"/>
      <w:shd w:val="clear" w:color="auto" w:fill="E1DFDD"/>
    </w:rPr>
  </w:style>
  <w:style w:type="paragraph" w:customStyle="1" w:styleId="244">
    <w:name w:val="WPSOffice手动目录 1"/>
    <w:qFormat/>
    <w:uiPriority w:val="0"/>
    <w:pPr>
      <w:ind w:leftChars="0"/>
    </w:pPr>
    <w:rPr>
      <w:rFonts w:ascii="Times New Roman" w:hAnsi="Times New Roman" w:eastAsia="宋体" w:cs="Times New Roman"/>
      <w:sz w:val="20"/>
      <w:szCs w:val="20"/>
    </w:rPr>
  </w:style>
  <w:style w:type="paragraph" w:customStyle="1" w:styleId="245">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34892;&#19994;&#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B8623DBB2C24B3899CB0B000E5C5DBB"/>
        <w:style w:val=""/>
        <w:category>
          <w:name w:val="常规"/>
          <w:gallery w:val="placeholder"/>
        </w:category>
        <w:types>
          <w:type w:val="bbPlcHdr"/>
        </w:types>
        <w:behaviors>
          <w:behavior w:val="content"/>
        </w:behaviors>
        <w:description w:val=""/>
        <w:guid w:val="{82DA0A6E-57A9-4F44-8F0C-2065C91B6EC0}"/>
      </w:docPartPr>
      <w:docPartBody>
        <w:p w14:paraId="7AD9FCD5">
          <w:pPr>
            <w:pStyle w:val="5"/>
          </w:pPr>
          <w:r>
            <w:rPr>
              <w:rStyle w:val="4"/>
              <w:rFonts w:hint="eastAsia"/>
            </w:rPr>
            <w:t>选择一项。</w:t>
          </w:r>
        </w:p>
      </w:docPartBody>
    </w:docPart>
    <w:docPart>
      <w:docPartPr>
        <w:name w:val="{67d0d06c-ef95-4110-8830-86c9be6c5241}"/>
        <w:style w:val=""/>
        <w:category>
          <w:name w:val="常规"/>
          <w:gallery w:val="placeholder"/>
        </w:category>
        <w:types>
          <w:type w:val="bbPlcHdr"/>
        </w:types>
        <w:behaviors>
          <w:behavior w:val="content"/>
        </w:behaviors>
        <w:description w:val=""/>
        <w:guid w:val="{67D0D06C-EF95-4110-8830-86C9BE6C5241}"/>
      </w:docPartPr>
      <w:docPartBody>
        <w:p w14:paraId="4470B628">
          <w:r>
            <w:rPr>
              <w:color w:val="808080"/>
            </w:rPr>
            <w:t>单击此处输入文字。</w:t>
          </w:r>
        </w:p>
      </w:docPartBody>
    </w:docPart>
    <w:docPart>
      <w:docPartPr>
        <w:name w:val="{8b93df19-d3a2-4cf6-af64-545a8cba65b9}"/>
        <w:style w:val=""/>
        <w:category>
          <w:name w:val="常规"/>
          <w:gallery w:val="placeholder"/>
        </w:category>
        <w:types>
          <w:type w:val="bbPlcHdr"/>
        </w:types>
        <w:behaviors>
          <w:behavior w:val="content"/>
        </w:behaviors>
        <w:description w:val=""/>
        <w:guid w:val="{8B93DF19-D3A2-4CF6-AF64-545A8CBA65B9}"/>
      </w:docPartPr>
      <w:docPartBody>
        <w:p w14:paraId="7CD04F22">
          <w:r>
            <w:rPr>
              <w:color w:val="808080"/>
            </w:rPr>
            <w:t>点击此处添加与国际标准一致性程度的标识</w:t>
          </w:r>
        </w:p>
      </w:docPartBody>
    </w:docPart>
    <w:docPart>
      <w:docPartPr>
        <w:name w:val="{0c871f9c-2089-4eac-b6ff-a01e24a2ff32}"/>
        <w:style w:val=""/>
        <w:category>
          <w:name w:val="常规"/>
          <w:gallery w:val="placeholder"/>
        </w:category>
        <w:types>
          <w:type w:val="bbPlcHdr"/>
        </w:types>
        <w:behaviors>
          <w:behavior w:val="content"/>
        </w:behaviors>
        <w:description w:val=""/>
        <w:guid w:val="{0C871F9C-2089-4EAC-B6FF-A01E24A2FF32}"/>
      </w:docPartPr>
      <w:docPartBody>
        <w:p w14:paraId="0F292B6B">
          <w:r>
            <w:rPr>
              <w:color w:val="808080"/>
            </w:rPr>
            <w:t>选择一项。</w:t>
          </w:r>
        </w:p>
      </w:docPartBody>
    </w:docPart>
    <w:docPart>
      <w:docPartPr>
        <w:name w:val="{ffc36ac9-555f-4fb4-b39b-c9c42afd0a0b}"/>
        <w:style w:val=""/>
        <w:category>
          <w:name w:val="常规"/>
          <w:gallery w:val="placeholder"/>
        </w:category>
        <w:types>
          <w:type w:val="bbPlcHdr"/>
        </w:types>
        <w:behaviors>
          <w:behavior w:val="content"/>
        </w:behaviors>
        <w:description w:val=""/>
        <w:guid w:val="{FFC36AC9-555F-4FB4-B39B-C9C42AFD0A0B}"/>
      </w:docPartPr>
      <w:docPartBody>
        <w:p w14:paraId="71E9D27C">
          <w:r>
            <w:rPr>
              <w:color w:val="808080"/>
            </w:rPr>
            <w:t>XXXX</w:t>
          </w:r>
        </w:p>
      </w:docPartBody>
    </w:docPart>
    <w:docPart>
      <w:docPartPr>
        <w:name w:val="{42e85895-5a69-4c5f-8435-6aa174df825e}"/>
        <w:style w:val=""/>
        <w:category>
          <w:name w:val="常规"/>
          <w:gallery w:val="placeholder"/>
        </w:category>
        <w:types>
          <w:type w:val="bbPlcHdr"/>
        </w:types>
        <w:behaviors>
          <w:behavior w:val="content"/>
        </w:behaviors>
        <w:description w:val=""/>
        <w:guid w:val="{42E85895-5A69-4C5F-8435-6AA174DF825E}"/>
      </w:docPartPr>
      <w:docPartBody>
        <w:p w14:paraId="525DAB74">
          <w:r>
            <w:rPr>
              <w:color w:val="808080"/>
            </w:rPr>
            <w:t>XXXX</w:t>
          </w:r>
        </w:p>
      </w:docPartBody>
    </w:docPart>
    <w:docPart>
      <w:docPartPr>
        <w:name w:val="{b7d6c8d2-2f40-43d5-8c2f-656491101695}"/>
        <w:style w:val=""/>
        <w:category>
          <w:name w:val="常规"/>
          <w:gallery w:val="placeholder"/>
        </w:category>
        <w:types>
          <w:type w:val="bbPlcHdr"/>
        </w:types>
        <w:behaviors>
          <w:behavior w:val="content"/>
        </w:behaviors>
        <w:description w:val=""/>
        <w:guid w:val="{B7D6C8D2-2F40-43D5-8C2F-656491101695}"/>
      </w:docPartPr>
      <w:docPartBody>
        <w:p w14:paraId="29070DE0">
          <w:r>
            <w:rPr>
              <w:rFonts w:hint="eastAsia"/>
              <w:color w:val="808080"/>
              <w:highlight w:val="lightGray"/>
            </w:rPr>
            <w:t xml:space="preserve">   </w:t>
          </w:r>
        </w:p>
      </w:docPartBody>
    </w:docPart>
    <w:docPart>
      <w:docPartPr>
        <w:name w:val="{ee073880-b451-4ff0-9253-5135824a1eff}"/>
        <w:style w:val=""/>
        <w:category>
          <w:name w:val="常规"/>
          <w:gallery w:val="placeholder"/>
        </w:category>
        <w:types>
          <w:type w:val="bbPlcHdr"/>
        </w:types>
        <w:behaviors>
          <w:behavior w:val="content"/>
        </w:behaviors>
        <w:description w:val=""/>
        <w:guid w:val="{EE073880-B451-4FF0-9253-5135824A1EFF}"/>
      </w:docPartPr>
      <w:docPartBody>
        <w:p w14:paraId="662B8DA0">
          <w:r>
            <w:rPr>
              <w:color w:val="808080"/>
            </w:rPr>
            <w:t>点击此处添加标准名称</w:t>
          </w:r>
        </w:p>
      </w:docPartBody>
    </w:docPart>
    <w:docPart>
      <w:docPartPr>
        <w:name w:val="{9ab45570-4d49-4a33-b76c-3b5a8a0b582b}"/>
        <w:style w:val=""/>
        <w:category>
          <w:name w:val="常规"/>
          <w:gallery w:val="placeholder"/>
        </w:category>
        <w:types>
          <w:type w:val="bbPlcHdr"/>
        </w:types>
        <w:behaviors>
          <w:behavior w:val="content"/>
        </w:behaviors>
        <w:description w:val=""/>
        <w:guid w:val="{9AB45570-4D49-4A33-B76C-3B5A8A0B582B}"/>
      </w:docPartPr>
      <w:docPartBody>
        <w:p w14:paraId="35F2B475">
          <w:r>
            <w:rPr>
              <w:rFonts w:hint="eastAsia"/>
            </w:rPr>
            <w:t>点击此处添加标准名称的英文译名</w:t>
          </w:r>
        </w:p>
      </w:docPartBody>
    </w:docPart>
    <w:docPart>
      <w:docPartPr>
        <w:name w:val="{6520bed0-204d-45ab-a9bc-07c512250680}"/>
        <w:style w:val=""/>
        <w:category>
          <w:name w:val="常规"/>
          <w:gallery w:val="placeholder"/>
        </w:category>
        <w:types>
          <w:type w:val="bbPlcHdr"/>
        </w:types>
        <w:behaviors>
          <w:behavior w:val="content"/>
        </w:behaviors>
        <w:description w:val=""/>
        <w:guid w:val="{6520BED0-204D-45AB-A9BC-07C512250680}"/>
      </w:docPartPr>
      <w:docPartBody>
        <w:p w14:paraId="1C2C336F">
          <w:r>
            <w:rPr>
              <w:color w:val="808080"/>
            </w:rPr>
            <w:t>XXXX</w:t>
          </w:r>
        </w:p>
      </w:docPartBody>
    </w:docPart>
    <w:docPart>
      <w:docPartPr>
        <w:name w:val="{8702d678-4b8d-4209-b0b4-982da1757ede}"/>
        <w:style w:val=""/>
        <w:category>
          <w:name w:val="常规"/>
          <w:gallery w:val="placeholder"/>
        </w:category>
        <w:types>
          <w:type w:val="bbPlcHdr"/>
        </w:types>
        <w:behaviors>
          <w:behavior w:val="content"/>
        </w:behaviors>
        <w:description w:val=""/>
        <w:guid w:val="{8702D678-4B8D-4209-B0B4-982DA1757EDE}"/>
      </w:docPartPr>
      <w:docPartBody>
        <w:p w14:paraId="72D9B6FE">
          <w:r>
            <w:rPr>
              <w:color w:val="808080"/>
            </w:rPr>
            <w:t>XX</w:t>
          </w:r>
        </w:p>
      </w:docPartBody>
    </w:docPart>
    <w:docPart>
      <w:docPartPr>
        <w:name w:val="{bbf84e9a-ea19-48ac-8602-fd706520c678}"/>
        <w:style w:val=""/>
        <w:category>
          <w:name w:val="常规"/>
          <w:gallery w:val="placeholder"/>
        </w:category>
        <w:types>
          <w:type w:val="bbPlcHdr"/>
        </w:types>
        <w:behaviors>
          <w:behavior w:val="content"/>
        </w:behaviors>
        <w:description w:val=""/>
        <w:guid w:val="{BBF84E9A-EA19-48AC-8602-FD706520C678}"/>
      </w:docPartPr>
      <w:docPartBody>
        <w:p w14:paraId="7E99E72F">
          <w:r>
            <w:rPr>
              <w:color w:val="808080"/>
            </w:rPr>
            <w:t>XX</w:t>
          </w:r>
        </w:p>
      </w:docPartBody>
    </w:docPart>
    <w:docPart>
      <w:docPartPr>
        <w:name w:val="{273c241a-3545-4cb8-b3e1-dccdf8af0dbb}"/>
        <w:style w:val=""/>
        <w:category>
          <w:name w:val="常规"/>
          <w:gallery w:val="placeholder"/>
        </w:category>
        <w:types>
          <w:type w:val="bbPlcHdr"/>
        </w:types>
        <w:behaviors>
          <w:behavior w:val="content"/>
        </w:behaviors>
        <w:description w:val=""/>
        <w:guid w:val="{273C241A-3545-4CB8-B3E1-DCCDF8AF0DBB}"/>
      </w:docPartPr>
      <w:docPartBody>
        <w:p w14:paraId="683DFD99">
          <w:r>
            <w:rPr>
              <w:color w:val="808080"/>
            </w:rPr>
            <w:t>XXXX</w:t>
          </w:r>
        </w:p>
      </w:docPartBody>
    </w:docPart>
    <w:docPart>
      <w:docPartPr>
        <w:name w:val="{decab8c0-5632-48ca-8dfa-65fd198c0a0f}"/>
        <w:style w:val=""/>
        <w:category>
          <w:name w:val="常规"/>
          <w:gallery w:val="placeholder"/>
        </w:category>
        <w:types>
          <w:type w:val="bbPlcHdr"/>
        </w:types>
        <w:behaviors>
          <w:behavior w:val="content"/>
        </w:behaviors>
        <w:description w:val=""/>
        <w:guid w:val="{DECAB8C0-5632-48CA-8DFA-65FD198C0A0F}"/>
      </w:docPartPr>
      <w:docPartBody>
        <w:p w14:paraId="0171AE19">
          <w:r>
            <w:rPr>
              <w:color w:val="808080"/>
            </w:rPr>
            <w:t>XX</w:t>
          </w:r>
        </w:p>
      </w:docPartBody>
    </w:docPart>
    <w:docPart>
      <w:docPartPr>
        <w:name w:val="{c4a20def-b4d2-4544-90c6-0a5a54de817a}"/>
        <w:style w:val=""/>
        <w:category>
          <w:name w:val="常规"/>
          <w:gallery w:val="placeholder"/>
        </w:category>
        <w:types>
          <w:type w:val="bbPlcHdr"/>
        </w:types>
        <w:behaviors>
          <w:behavior w:val="content"/>
        </w:behaviors>
        <w:description w:val=""/>
        <w:guid w:val="{C4A20DEF-B4D2-4544-90C6-0A5A54DE817A}"/>
      </w:docPartPr>
      <w:docPartBody>
        <w:p w14:paraId="68E7291A">
          <w:r>
            <w:rPr>
              <w:color w:val="808080"/>
            </w:rPr>
            <w:t>XX</w:t>
          </w:r>
        </w:p>
      </w:docPartBody>
    </w:docPart>
    <w:docPart>
      <w:docPartPr>
        <w:name w:val="{5effb42c-7e4b-4748-a553-1e3ed4a8a110}"/>
        <w:style w:val=""/>
        <w:category>
          <w:name w:val="常规"/>
          <w:gallery w:val="placeholder"/>
        </w:category>
        <w:types>
          <w:type w:val="bbPlcHdr"/>
        </w:types>
        <w:behaviors>
          <w:behavior w:val="content"/>
        </w:behaviors>
        <w:description w:val=""/>
        <w:guid w:val="{5EFFB42C-7E4B-4748-A553-1E3ED4A8A110}"/>
      </w:docPartPr>
      <w:docPartBody>
        <w:p w14:paraId="6347BD11">
          <w:r>
            <w:rPr>
              <w:color w:val="808080"/>
            </w:rPr>
            <w:t>WebOf79fewx</w:t>
          </w:r>
        </w:p>
      </w:docPartBody>
    </w:docPart>
    <w:docPart>
      <w:docPartPr>
        <w:name w:val="{6006c831-1dff-4344-a30e-bd1d19dbe4b1}"/>
        <w:style w:val=""/>
        <w:category>
          <w:name w:val="常规"/>
          <w:gallery w:val="placeholder"/>
        </w:category>
        <w:types>
          <w:type w:val="bbPlcHdr"/>
        </w:types>
        <w:behaviors>
          <w:behavior w:val="content"/>
        </w:behaviors>
        <w:description w:val=""/>
        <w:guid w:val="{6006C831-1DFF-4344-A30E-BD1D19DBE4B1}"/>
      </w:docPartPr>
      <w:docPartBody>
        <w:p w14:paraId="3BDB9293">
          <w:r>
            <w:rPr>
              <w:color w:val="808080"/>
            </w:rPr>
            <w:t>选择一项。</w:t>
          </w:r>
        </w:p>
      </w:docPartBody>
    </w:docPart>
    <w:docPart>
      <w:docPartPr>
        <w:name w:val="{1f1e0937-a82e-4ec8-9be4-fd84868de435}"/>
        <w:style w:val=""/>
        <w:category>
          <w:name w:val="常规"/>
          <w:gallery w:val="placeholder"/>
        </w:category>
        <w:types>
          <w:type w:val="bbPlcHdr"/>
        </w:types>
        <w:behaviors>
          <w:behavior w:val="content"/>
        </w:behaviors>
        <w:description w:val=""/>
        <w:guid w:val="{1F1E0937-A82E-4EC8-9BE4-FD84868DE435}"/>
      </w:docPartPr>
      <w:docPartBody>
        <w:p w14:paraId="7F356ED4">
          <w:r>
            <w:rPr>
              <w:rFonts w:hint="eastAsia" w:ascii="黑体" w:hAnsi="黑体" w:eastAsia="黑体" w:cs="黑体"/>
              <w:spacing w:val="227"/>
              <w:sz w:val="160"/>
              <w:szCs w:val="160"/>
            </w:rPr>
            <w:t>XX</w:t>
          </w:r>
        </w:p>
      </w:docPartBody>
    </w:docPart>
    <w:docPart>
      <w:docPartPr>
        <w:name w:val="{49969bb0-c0e8-49c0-a6f1-0eb642947298}"/>
        <w:style w:val=""/>
        <w:category>
          <w:name w:val="常规"/>
          <w:gallery w:val="placeholder"/>
        </w:category>
        <w:types>
          <w:type w:val="bbPlcHdr"/>
        </w:types>
        <w:behaviors>
          <w:behavior w:val="content"/>
        </w:behaviors>
        <w:description w:val=""/>
        <w:guid w:val="{49969BB0-C0E8-49C0-A6F1-0EB642947298}"/>
      </w:docPartPr>
      <w:docPartBody>
        <w:p w14:paraId="017D9E9B"/>
      </w:docPartBody>
    </w:docPart>
    <w:docPart>
      <w:docPartPr>
        <w:name w:val="{0b929a9d-a2f7-4fb8-8621-155619d1cec5}"/>
        <w:style w:val=""/>
        <w:category>
          <w:name w:val="常规"/>
          <w:gallery w:val="placeholder"/>
        </w:category>
        <w:types>
          <w:type w:val="bbPlcHdr"/>
        </w:types>
        <w:behaviors>
          <w:behavior w:val="content"/>
        </w:behaviors>
        <w:description w:val=""/>
        <w:guid w:val="{0B929A9D-A2F7-4FB8-8621-155619D1CEC5}"/>
      </w:docPartPr>
      <w:docPartBody>
        <w:p w14:paraId="2236A23D">
          <w:r>
            <w:rPr>
              <w:color w:val="808080"/>
            </w:rPr>
            <w:t>单击此处输入文字。</w:t>
          </w:r>
        </w:p>
      </w:docPartBody>
    </w:docPart>
    <w:docPart>
      <w:docPartPr>
        <w:name w:val="{7be65522-be42-417e-a61a-794d4bc9e243}"/>
        <w:style w:val=""/>
        <w:category>
          <w:name w:val="常规"/>
          <w:gallery w:val="placeholder"/>
        </w:category>
        <w:types>
          <w:type w:val="bbPlcHdr"/>
        </w:types>
        <w:behaviors>
          <w:behavior w:val="content"/>
        </w:behaviors>
        <w:description w:val=""/>
        <w:guid w:val="{7BE65522-BE42-417E-A61A-794D4BC9E243}"/>
      </w:docPartPr>
      <w:docPartBody>
        <w:p w14:paraId="7762D2AA">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23E"/>
    <w:rsid w:val="0032375B"/>
    <w:rsid w:val="003C3104"/>
    <w:rsid w:val="00C722F1"/>
    <w:rsid w:val="00EB2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8B8623DBB2C24B3899CB0B000E5C5DBB"/>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8FE12C-16EA-4F8F-A8A1-ED38DA65EEBC}">
  <ds:schemaRefs/>
</ds:datastoreItem>
</file>

<file path=docProps/app.xml><?xml version="1.0" encoding="utf-8"?>
<Properties xmlns="http://schemas.openxmlformats.org/officeDocument/2006/extended-properties" xmlns:vt="http://schemas.openxmlformats.org/officeDocument/2006/docPropsVTypes">
  <Template>C:\Program Files (x86)\StandardEditor\template\行业标准.dotx</Template>
  <Company>PCMI</Company>
  <Pages>12</Pages>
  <Words>5893</Words>
  <Characters>7115</Characters>
  <Lines>70</Lines>
  <Paragraphs>19</Paragraphs>
  <TotalTime>0</TotalTime>
  <ScaleCrop>false</ScaleCrop>
  <LinksUpToDate>false</LinksUpToDate>
  <CharactersWithSpaces>7451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2023-06-15T08:31:00Z</dcterms:created>
  <dc:creator>ekk12</dc:creator>
  <dc:description>&lt;config cover="true" show_menu="true" version="1.0.0" doctype="SDKXY"&gt;_x000d_
&lt;/config&gt;</dc:description>
  <cp:lastModifiedBy>怯伺儆枚</cp:lastModifiedBy>
  <cp:lastPrinted>2021-02-02T08:18:00Z</cp:lastPrinted>
  <dcterms:modified xsi:type="dcterms:W3CDTF">2026-04-23T09:47:08Z</dcterms:modified>
  <dc:title>行业标准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行业标准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1D03B73DEAB14508853E5D96B66906AB_13</vt:lpwstr>
  </property>
  <property fmtid="{D5CDD505-2E9C-101B-9397-08002B2CF9AE}" pid="16" name="KSOTemplateDocerSaveRecord">
    <vt:lpwstr>eyJoZGlkIjoiYzUxZGViZjc0ZGQ4MjQxYjk3MGQ5MjE3NTUxMjY3OGUiLCJ1c2VySWQiOiIxODA3NDgxNzQ5In0=</vt:lpwstr>
  </property>
</Properties>
</file>