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34361">
      <w:pPr>
        <w:framePr w:w="904" w:h="1540" w:hRule="exact" w:wrap="around" w:vAnchor="page" w:hAnchor="page" w:x="8621" w:y="194"/>
        <w:widowControl/>
        <w:shd w:val="solid" w:color="FFFFFF" w:fill="FFFFFF"/>
        <w:spacing w:line="0" w:lineRule="atLeast"/>
        <w:rPr>
          <w:rFonts w:hint="eastAsia" w:ascii="等线" w:hAnsi="等线" w:eastAsia="等线" w:cs="等线"/>
          <w:b/>
          <w:w w:val="130"/>
          <w:kern w:val="0"/>
          <w:sz w:val="100"/>
          <w:szCs w:val="100"/>
        </w:rPr>
      </w:pPr>
      <w:r>
        <w:rPr>
          <w:rFonts w:hint="eastAsia" w:ascii="等线" w:hAnsi="等线" w:eastAsia="等线" w:cs="等线"/>
          <w:b/>
          <w:w w:val="130"/>
          <w:kern w:val="0"/>
          <w:sz w:val="110"/>
          <w:szCs w:val="110"/>
        </w:rPr>
        <w:t>T</w:t>
      </w:r>
    </w:p>
    <w:p w14:paraId="7E5B73D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黑体" w:hAnsi="黑体" w:eastAsia="黑体" w:cs="黑体"/>
          <w:szCs w:val="22"/>
          <w:lang w:eastAsia="zh-CN"/>
        </w:rPr>
      </w:pPr>
    </w:p>
    <w:p w14:paraId="5BF4A1A2">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黑体" w:hAnsi="黑体" w:eastAsia="黑体" w:cs="黑体"/>
          <w:color w:val="FF0000"/>
          <w:szCs w:val="22"/>
          <w:lang w:val="en-US" w:eastAsia="zh-CN"/>
        </w:rPr>
      </w:pPr>
      <w:r>
        <w:rPr>
          <w:rFonts w:hint="eastAsia" w:ascii="黑体" w:hAnsi="黑体" w:eastAsia="黑体" w:cs="黑体"/>
          <w:szCs w:val="22"/>
        </w:rPr>
        <w:t xml:space="preserve">ICS  </w:t>
      </w:r>
      <w:r>
        <w:rPr>
          <w:rFonts w:hint="eastAsia" w:ascii="黑体" w:hAnsi="黑体" w:eastAsia="黑体" w:cs="黑体"/>
          <w:szCs w:val="22"/>
          <w:lang w:val="en-US" w:eastAsia="zh-CN"/>
        </w:rPr>
        <w:t>07.060</w:t>
      </w:r>
      <w:r>
        <w:rPr>
          <w:rFonts w:hint="eastAsia" w:ascii="黑体" w:hAnsi="黑体" w:eastAsia="黑体" w:cs="黑体"/>
          <w:color w:val="FF0000"/>
          <w:szCs w:val="22"/>
        </w:rPr>
        <w:t xml:space="preserve">   </w:t>
      </w:r>
      <w:r>
        <w:rPr>
          <w:rFonts w:hint="eastAsia" w:ascii="黑体" w:hAnsi="黑体" w:eastAsia="黑体" w:cs="黑体"/>
          <w:color w:val="FF0000"/>
          <w:szCs w:val="22"/>
          <w:lang w:val="en-US" w:eastAsia="zh-CN"/>
        </w:rPr>
        <w:t xml:space="preserve">    </w:t>
      </w:r>
    </w:p>
    <w:p w14:paraId="02484EC5">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黑体" w:hAnsi="黑体" w:eastAsia="黑体" w:cs="黑体"/>
          <w:szCs w:val="22"/>
          <w:lang w:val="en-US" w:eastAsia="zh-CN"/>
        </w:rPr>
      </w:pPr>
      <w:r>
        <w:rPr>
          <w:rFonts w:hint="eastAsia" w:ascii="黑体" w:hAnsi="黑体" w:eastAsia="黑体" w:cs="黑体"/>
          <w:szCs w:val="22"/>
        </w:rPr>
        <w:t xml:space="preserve">CCS  </w:t>
      </w:r>
      <w:r>
        <w:rPr>
          <w:rFonts w:hint="eastAsia" w:ascii="黑体" w:hAnsi="黑体" w:eastAsia="黑体" w:cs="黑体"/>
          <w:szCs w:val="22"/>
          <w:lang w:val="en-US" w:eastAsia="zh-CN"/>
        </w:rPr>
        <w:t>P 55</w:t>
      </w:r>
    </w:p>
    <w:p w14:paraId="13738536">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黑体" w:hAnsi="黑体" w:eastAsia="黑体" w:cs="黑体"/>
          <w:szCs w:val="22"/>
          <w:lang w:val="en-US" w:eastAsia="zh-CN"/>
        </w:rPr>
      </w:pPr>
    </w:p>
    <w:p w14:paraId="2ADCE863">
      <w:pPr>
        <w:spacing w:beforeAutospacing="0" w:line="360" w:lineRule="auto"/>
        <w:jc w:val="distribute"/>
        <w:rPr>
          <w:rFonts w:hint="eastAsia" w:ascii="隶属" w:hAnsi="隶属" w:eastAsia="隶属" w:cs="隶属"/>
          <w:b/>
          <w:bCs/>
          <w:sz w:val="84"/>
          <w:szCs w:val="84"/>
        </w:rPr>
      </w:pPr>
      <w:r>
        <w:rPr>
          <w:rFonts w:hint="eastAsia" w:ascii="黑体" w:hAnsi="黑体" w:eastAsia="黑体" w:cs="黑体"/>
          <w:b/>
          <w:bCs/>
          <w:sz w:val="84"/>
          <w:szCs w:val="84"/>
        </w:rPr>
        <w:t>团体标准</w:t>
      </w:r>
    </w:p>
    <w:p w14:paraId="344E3D92">
      <w:pPr>
        <w:wordWrap w:val="0"/>
        <w:spacing w:line="360" w:lineRule="auto"/>
        <w:ind w:right="0" w:rightChars="0"/>
        <w:jc w:val="right"/>
        <w:rPr>
          <w:rFonts w:hint="eastAsia" w:ascii="Times New Roman" w:hAnsi="Times New Roman" w:eastAsia="黑体" w:cs="Times New Roman"/>
          <w:szCs w:val="22"/>
          <w:lang w:eastAsia="zh-CN"/>
        </w:rPr>
      </w:pPr>
      <w:r>
        <w:rPr>
          <w:rFonts w:ascii="Times New Roman" w:hAnsi="Times New Roman" w:eastAsia="宋体" w:cs="Times New Roman"/>
          <w:color w:val="FF0000"/>
          <w:szCs w:val="22"/>
        </w:rPr>
        <w:t xml:space="preserve"> </w:t>
      </w:r>
      <w:r>
        <w:rPr>
          <w:rFonts w:ascii="Times New Roman" w:hAnsi="Times New Roman" w:eastAsia="宋体" w:cs="Times New Roman"/>
          <w:szCs w:val="22"/>
        </w:rPr>
        <w:t xml:space="preserve">  </w:t>
      </w:r>
      <w:r>
        <w:rPr>
          <w:rFonts w:hint="eastAsia" w:ascii="Times New Roman" w:hAnsi="Times New Roman" w:cs="Times New Roman"/>
          <w:szCs w:val="22"/>
          <w:lang w:val="en-US" w:eastAsia="zh-CN"/>
        </w:rPr>
        <w:t xml:space="preserve"> </w:t>
      </w:r>
      <w:r>
        <w:rPr>
          <w:rFonts w:hint="eastAsia" w:ascii="黑体" w:hAnsi="黑体" w:eastAsia="黑体" w:cs="黑体"/>
          <w:sz w:val="28"/>
          <w:szCs w:val="28"/>
        </w:rPr>
        <w:t xml:space="preserve"> T/</w:t>
      </w:r>
      <w:r>
        <w:rPr>
          <w:rFonts w:hint="eastAsia" w:ascii="黑体" w:hAnsi="黑体" w:eastAsia="黑体" w:cs="黑体"/>
          <w:sz w:val="28"/>
          <w:szCs w:val="28"/>
          <w:lang w:val="en-US" w:eastAsia="zh-CN"/>
        </w:rPr>
        <w:t>CWDPA</w:t>
      </w:r>
      <w:r>
        <w:rPr>
          <w:rFonts w:hint="eastAsia" w:ascii="黑体" w:hAnsi="黑体" w:eastAsia="黑体" w:cs="黑体"/>
          <w:sz w:val="28"/>
          <w:szCs w:val="28"/>
        </w:rPr>
        <w:t xml:space="preserve"> </w:t>
      </w:r>
      <w:r>
        <w:rPr>
          <w:rFonts w:hint="eastAsia" w:ascii="黑体" w:hAnsi="黑体" w:eastAsia="黑体" w:cs="黑体"/>
          <w:sz w:val="28"/>
          <w:szCs w:val="28"/>
          <w:lang w:val="en-US" w:eastAsia="zh-CN"/>
        </w:rPr>
        <w:t>XXX</w:t>
      </w:r>
      <w:r>
        <w:rPr>
          <w:rFonts w:hint="eastAsia" w:ascii="黑体" w:hAnsi="黑体" w:eastAsia="黑体" w:cs="黑体"/>
          <w:sz w:val="28"/>
          <w:szCs w:val="28"/>
        </w:rPr>
        <w:t>—202</w:t>
      </w:r>
      <w:r>
        <w:rPr>
          <w:rFonts w:hint="eastAsia" w:ascii="黑体" w:hAnsi="黑体" w:eastAsia="黑体" w:cs="黑体"/>
          <w:sz w:val="28"/>
          <w:szCs w:val="28"/>
          <w:lang w:val="en-US" w:eastAsia="zh-CN"/>
        </w:rPr>
        <w:t>6</w:t>
      </w:r>
    </w:p>
    <w:p w14:paraId="582FB557">
      <w:pPr>
        <w:spacing w:line="360" w:lineRule="auto"/>
        <w:jc w:val="left"/>
        <w:rPr>
          <w:rFonts w:ascii="Times New Roman" w:hAnsi="Times New Roman" w:eastAsia="宋体" w:cs="Times New Roman"/>
          <w:szCs w:val="22"/>
        </w:rPr>
      </w:pPr>
      <w:r>
        <w:rPr>
          <w:rFonts w:ascii="Times New Roman" w:hAnsi="Times New Roman" w:eastAsia="宋体" w:cs="Times New Roman"/>
          <w:szCs w:val="22"/>
        </w:rPr>
        <w:drawing>
          <wp:inline distT="0" distB="0" distL="114300" distR="114300">
            <wp:extent cx="5525770" cy="10795"/>
            <wp:effectExtent l="0" t="0" r="0" b="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4"/>
                    <a:stretch>
                      <a:fillRect/>
                    </a:stretch>
                  </pic:blipFill>
                  <pic:spPr>
                    <a:xfrm>
                      <a:off x="0" y="0"/>
                      <a:ext cx="5525770" cy="10795"/>
                    </a:xfrm>
                    <a:prstGeom prst="rect">
                      <a:avLst/>
                    </a:prstGeom>
                    <a:noFill/>
                    <a:ln>
                      <a:noFill/>
                    </a:ln>
                  </pic:spPr>
                </pic:pic>
              </a:graphicData>
            </a:graphic>
          </wp:inline>
        </w:drawing>
      </w:r>
    </w:p>
    <w:p w14:paraId="25AC21B8">
      <w:pPr>
        <w:spacing w:line="360" w:lineRule="auto"/>
        <w:rPr>
          <w:rFonts w:ascii="Times New Roman" w:hAnsi="Times New Roman" w:eastAsia="宋体" w:cs="Times New Roman"/>
          <w:szCs w:val="22"/>
        </w:rPr>
      </w:pPr>
    </w:p>
    <w:p w14:paraId="2E3D06D4">
      <w:pPr>
        <w:spacing w:line="360" w:lineRule="auto"/>
        <w:rPr>
          <w:rFonts w:ascii="Times New Roman" w:hAnsi="Times New Roman" w:eastAsia="宋体" w:cs="Times New Roman"/>
          <w:szCs w:val="22"/>
        </w:rPr>
      </w:pPr>
    </w:p>
    <w:p w14:paraId="118AED41">
      <w:pPr>
        <w:spacing w:line="360" w:lineRule="auto"/>
        <w:jc w:val="center"/>
        <w:rPr>
          <w:rFonts w:ascii="Times New Roman" w:hAnsi="Times New Roman" w:eastAsia="黑体" w:cs="Times New Roman"/>
          <w:sz w:val="52"/>
          <w:szCs w:val="52"/>
        </w:rPr>
      </w:pPr>
    </w:p>
    <w:p w14:paraId="6D94EED4">
      <w:pPr>
        <w:spacing w:line="360" w:lineRule="auto"/>
        <w:jc w:val="center"/>
        <w:rPr>
          <w:rFonts w:ascii="Times New Roman" w:hAnsi="Times New Roman" w:eastAsia="黑体" w:cs="Times New Roman"/>
          <w:sz w:val="52"/>
          <w:szCs w:val="52"/>
        </w:rPr>
      </w:pPr>
    </w:p>
    <w:p w14:paraId="6A36965D">
      <w:pPr>
        <w:spacing w:line="360" w:lineRule="auto"/>
        <w:jc w:val="center"/>
        <w:rPr>
          <w:rFonts w:hint="eastAsia" w:ascii="Times New Roman" w:hAnsi="Times New Roman" w:eastAsia="黑体" w:cs="Times New Roman"/>
          <w:sz w:val="52"/>
          <w:szCs w:val="52"/>
          <w:lang w:val="en-US" w:eastAsia="zh-CN"/>
        </w:rPr>
      </w:pPr>
      <w:r>
        <w:rPr>
          <w:rFonts w:hint="eastAsia" w:ascii="Times New Roman" w:hAnsi="Times New Roman" w:eastAsia="黑体" w:cs="Times New Roman"/>
          <w:sz w:val="52"/>
          <w:szCs w:val="52"/>
          <w:lang w:val="en-US" w:eastAsia="zh-CN"/>
        </w:rPr>
        <w:t>陆地水文野外监测数据质量管控技术规范</w:t>
      </w:r>
    </w:p>
    <w:p w14:paraId="1FA72F73">
      <w:pPr>
        <w:spacing w:line="360" w:lineRule="auto"/>
        <w:jc w:val="center"/>
        <w:rPr>
          <w:rFonts w:hint="eastAsia" w:ascii="黑体" w:hAnsi="黑体" w:eastAsia="黑体" w:cs="黑体"/>
          <w:sz w:val="44"/>
          <w:szCs w:val="48"/>
          <w:lang w:val="en-US" w:eastAsia="zh-CN"/>
        </w:rPr>
      </w:pPr>
      <w:r>
        <w:rPr>
          <w:rFonts w:hint="eastAsia" w:ascii="Times New Roman" w:hAnsi="Times New Roman" w:eastAsia="黑体" w:cs="Times New Roman"/>
          <w:sz w:val="28"/>
          <w:szCs w:val="28"/>
          <w:lang w:val="en-US" w:eastAsia="zh-CN"/>
        </w:rPr>
        <w:t>Specifications for quality control of field monitoring data in terrestrial hydrology</w:t>
      </w:r>
    </w:p>
    <w:p w14:paraId="5ECA8331">
      <w:pPr>
        <w:spacing w:line="360" w:lineRule="auto"/>
        <w:jc w:val="both"/>
        <w:rPr>
          <w:rFonts w:ascii="Times New Roman" w:hAnsi="Times New Roman" w:eastAsia="宋体" w:cs="Times New Roman"/>
          <w:szCs w:val="22"/>
        </w:rPr>
      </w:pPr>
    </w:p>
    <w:p w14:paraId="2EC7DA65">
      <w:pPr>
        <w:spacing w:line="360" w:lineRule="auto"/>
        <w:rPr>
          <w:rFonts w:ascii="Times New Roman" w:hAnsi="Times New Roman" w:eastAsia="宋体" w:cs="Times New Roman"/>
          <w:szCs w:val="22"/>
        </w:rPr>
      </w:pPr>
    </w:p>
    <w:p w14:paraId="4B93F211">
      <w:pPr>
        <w:spacing w:line="360" w:lineRule="auto"/>
        <w:rPr>
          <w:rFonts w:ascii="Times New Roman" w:hAnsi="Times New Roman" w:eastAsia="宋体" w:cs="Times New Roman"/>
          <w:szCs w:val="22"/>
        </w:rPr>
      </w:pPr>
    </w:p>
    <w:p w14:paraId="21EB70ED">
      <w:pPr>
        <w:spacing w:line="360" w:lineRule="auto"/>
        <w:rPr>
          <w:rFonts w:ascii="Times New Roman" w:hAnsi="Times New Roman" w:eastAsia="宋体" w:cs="Times New Roman"/>
          <w:szCs w:val="22"/>
        </w:rPr>
      </w:pPr>
    </w:p>
    <w:p w14:paraId="6B55877D">
      <w:pPr>
        <w:spacing w:line="360" w:lineRule="auto"/>
        <w:rPr>
          <w:rFonts w:ascii="Times New Roman" w:hAnsi="Times New Roman" w:eastAsia="宋体" w:cs="Times New Roman"/>
          <w:szCs w:val="22"/>
        </w:rPr>
      </w:pPr>
    </w:p>
    <w:p w14:paraId="10943405">
      <w:pPr>
        <w:spacing w:line="360" w:lineRule="auto"/>
        <w:jc w:val="left"/>
        <w:rPr>
          <w:rFonts w:ascii="Times New Roman" w:hAnsi="Times New Roman" w:eastAsia="黑体" w:cs="Times New Roman"/>
          <w:sz w:val="28"/>
          <w:szCs w:val="28"/>
        </w:rPr>
      </w:pPr>
    </w:p>
    <w:p w14:paraId="6B7B1810">
      <w:pPr>
        <w:spacing w:line="360" w:lineRule="auto"/>
        <w:jc w:val="left"/>
        <w:rPr>
          <w:rFonts w:ascii="Times New Roman" w:hAnsi="Times New Roman" w:eastAsia="黑体" w:cs="Times New Roman"/>
          <w:sz w:val="28"/>
          <w:szCs w:val="28"/>
        </w:rPr>
      </w:pPr>
    </w:p>
    <w:p w14:paraId="74FB4236">
      <w:pPr>
        <w:spacing w:line="360" w:lineRule="auto"/>
        <w:jc w:val="left"/>
        <w:rPr>
          <w:rFonts w:ascii="Times New Roman" w:hAnsi="Times New Roman" w:eastAsia="黑体" w:cs="Times New Roman"/>
          <w:sz w:val="28"/>
          <w:szCs w:val="28"/>
        </w:rPr>
      </w:pPr>
    </w:p>
    <w:p w14:paraId="6533516B">
      <w:pPr>
        <w:spacing w:line="360" w:lineRule="auto"/>
        <w:jc w:val="left"/>
        <w:rPr>
          <w:rFonts w:hint="eastAsia" w:ascii="黑体" w:hAnsi="黑体" w:eastAsia="黑体" w:cs="黑体"/>
          <w:sz w:val="52"/>
          <w:szCs w:val="52"/>
        </w:rPr>
      </w:pPr>
      <w:r>
        <w:rPr>
          <w:rFonts w:hint="eastAsia" w:ascii="黑体" w:hAnsi="黑体" w:eastAsia="黑体" w:cs="黑体"/>
          <w:sz w:val="28"/>
          <w:szCs w:val="28"/>
        </w:rPr>
        <w:t>202</w:t>
      </w:r>
      <w:r>
        <w:rPr>
          <w:rFonts w:hint="eastAsia" w:ascii="黑体" w:hAnsi="黑体" w:eastAsia="黑体" w:cs="黑体"/>
          <w:sz w:val="28"/>
          <w:szCs w:val="28"/>
          <w:lang w:val="en-US" w:eastAsia="zh-CN"/>
        </w:rPr>
        <w:t>6</w:t>
      </w:r>
      <w:r>
        <w:rPr>
          <w:rFonts w:hint="eastAsia" w:ascii="黑体" w:hAnsi="黑体" w:eastAsia="黑体" w:cs="黑体"/>
          <w:sz w:val="28"/>
          <w:szCs w:val="28"/>
        </w:rPr>
        <w:t>-</w:t>
      </w:r>
      <w:r>
        <w:rPr>
          <w:rFonts w:hint="eastAsia" w:ascii="黑体" w:hAnsi="黑体" w:eastAsia="黑体" w:cs="黑体"/>
          <w:sz w:val="28"/>
          <w:szCs w:val="28"/>
          <w:lang w:val="en-US" w:eastAsia="zh-CN"/>
        </w:rPr>
        <w:t>X</w:t>
      </w:r>
      <w:r>
        <w:rPr>
          <w:rFonts w:hint="eastAsia" w:ascii="黑体" w:hAnsi="黑体" w:eastAsia="黑体" w:cs="黑体"/>
          <w:sz w:val="28"/>
          <w:szCs w:val="28"/>
        </w:rPr>
        <w:t>-</w:t>
      </w:r>
      <w:r>
        <w:rPr>
          <w:rFonts w:hint="eastAsia" w:ascii="黑体" w:hAnsi="黑体" w:eastAsia="黑体" w:cs="黑体"/>
          <w:sz w:val="28"/>
          <w:szCs w:val="28"/>
          <w:lang w:val="en-US" w:eastAsia="zh-CN"/>
        </w:rPr>
        <w:t>XX</w:t>
      </w:r>
      <w:r>
        <w:rPr>
          <w:rFonts w:hint="eastAsia" w:ascii="黑体" w:hAnsi="黑体" w:eastAsia="黑体" w:cs="黑体"/>
          <w:sz w:val="28"/>
          <w:szCs w:val="28"/>
        </w:rPr>
        <w:t xml:space="preserve">发布                                </w:t>
      </w:r>
      <w:r>
        <w:rPr>
          <w:rFonts w:hint="eastAsia" w:ascii="黑体" w:hAnsi="黑体" w:eastAsia="黑体" w:cs="黑体"/>
          <w:sz w:val="28"/>
          <w:szCs w:val="28"/>
          <w:lang w:val="en-US" w:eastAsia="zh-CN"/>
        </w:rPr>
        <w:t xml:space="preserve">  </w:t>
      </w:r>
      <w:r>
        <w:rPr>
          <w:rFonts w:hint="eastAsia" w:ascii="黑体" w:hAnsi="黑体" w:eastAsia="黑体" w:cs="黑体"/>
          <w:sz w:val="28"/>
          <w:szCs w:val="28"/>
        </w:rPr>
        <w:t>202</w:t>
      </w:r>
      <w:r>
        <w:rPr>
          <w:rFonts w:hint="eastAsia" w:ascii="黑体" w:hAnsi="黑体" w:eastAsia="黑体" w:cs="黑体"/>
          <w:sz w:val="28"/>
          <w:szCs w:val="28"/>
          <w:lang w:val="en-US" w:eastAsia="zh-CN"/>
        </w:rPr>
        <w:t>6</w:t>
      </w:r>
      <w:r>
        <w:rPr>
          <w:rFonts w:hint="eastAsia" w:ascii="黑体" w:hAnsi="黑体" w:eastAsia="黑体" w:cs="黑体"/>
          <w:sz w:val="28"/>
          <w:szCs w:val="28"/>
        </w:rPr>
        <w:t>-</w:t>
      </w:r>
      <w:r>
        <w:rPr>
          <w:rFonts w:hint="eastAsia" w:ascii="黑体" w:hAnsi="黑体" w:eastAsia="黑体" w:cs="黑体"/>
          <w:sz w:val="28"/>
          <w:szCs w:val="28"/>
          <w:lang w:val="en-US" w:eastAsia="zh-CN"/>
        </w:rPr>
        <w:t>X</w:t>
      </w:r>
      <w:r>
        <w:rPr>
          <w:rFonts w:hint="eastAsia" w:ascii="黑体" w:hAnsi="黑体" w:eastAsia="黑体" w:cs="黑体"/>
          <w:sz w:val="28"/>
          <w:szCs w:val="28"/>
        </w:rPr>
        <w:t>-</w:t>
      </w:r>
      <w:r>
        <w:rPr>
          <w:rFonts w:hint="eastAsia" w:ascii="黑体" w:hAnsi="黑体" w:eastAsia="黑体" w:cs="黑体"/>
          <w:sz w:val="28"/>
          <w:szCs w:val="28"/>
          <w:lang w:val="en-US" w:eastAsia="zh-CN"/>
        </w:rPr>
        <w:t>XX</w:t>
      </w:r>
      <w:r>
        <w:rPr>
          <w:rFonts w:hint="eastAsia" w:ascii="黑体" w:hAnsi="黑体" w:eastAsia="黑体" w:cs="黑体"/>
          <w:sz w:val="28"/>
          <w:szCs w:val="28"/>
        </w:rPr>
        <w:t>实施</w:t>
      </w:r>
    </w:p>
    <w:p w14:paraId="067624B1">
      <w:pPr>
        <w:spacing w:line="360" w:lineRule="auto"/>
        <w:jc w:val="center"/>
        <w:rPr>
          <w:rFonts w:hint="eastAsia" w:ascii="黑体" w:hAnsi="黑体" w:eastAsia="黑体" w:cs="黑体"/>
          <w:szCs w:val="22"/>
        </w:rPr>
        <w:sectPr>
          <w:footerReference r:id="rId8" w:type="first"/>
          <w:footerReference r:id="rId6" w:type="default"/>
          <w:headerReference r:id="rId5" w:type="even"/>
          <w:footerReference r:id="rId7" w:type="even"/>
          <w:type w:val="continuous"/>
          <w:pgSz w:w="11906" w:h="16838"/>
          <w:pgMar w:top="590" w:right="1800" w:bottom="1157" w:left="1463" w:header="851" w:footer="992" w:gutter="0"/>
          <w:pgBorders>
            <w:top w:val="none" w:sz="0" w:space="0"/>
            <w:left w:val="none" w:sz="0" w:space="0"/>
            <w:bottom w:val="none" w:sz="0" w:space="0"/>
            <w:right w:val="none" w:sz="0" w:space="0"/>
          </w:pgBorders>
          <w:pgNumType w:fmt="upperRoman" w:start="2" w:chapStyle="1"/>
          <w:cols w:space="425" w:num="1"/>
          <w:titlePg/>
          <w:docGrid w:type="lines" w:linePitch="312" w:charSpace="0"/>
        </w:sectPr>
      </w:pPr>
      <w:r>
        <w:rPr>
          <w:rFonts w:hint="eastAsia" w:ascii="隶属" w:hAnsi="隶属" w:eastAsia="隶属" w:cs="隶属"/>
          <w:b/>
          <w:bCs/>
          <w:szCs w:val="22"/>
        </w:rPr>
        <mc:AlternateContent>
          <mc:Choice Requires="wps">
            <w:drawing>
              <wp:anchor distT="0" distB="0" distL="114300" distR="114300" simplePos="0" relativeHeight="251660288" behindDoc="0" locked="0" layoutInCell="1" allowOverlap="1">
                <wp:simplePos x="0" y="0"/>
                <wp:positionH relativeFrom="column">
                  <wp:posOffset>-19050</wp:posOffset>
                </wp:positionH>
                <wp:positionV relativeFrom="paragraph">
                  <wp:posOffset>1270</wp:posOffset>
                </wp:positionV>
                <wp:extent cx="5504815" cy="20955"/>
                <wp:effectExtent l="0" t="4445" r="635" b="12700"/>
                <wp:wrapNone/>
                <wp:docPr id="2" name="直接箭头连接符 2"/>
                <wp:cNvGraphicFramePr/>
                <a:graphic xmlns:a="http://schemas.openxmlformats.org/drawingml/2006/main">
                  <a:graphicData uri="http://schemas.microsoft.com/office/word/2010/wordprocessingShape">
                    <wps:wsp>
                      <wps:cNvCnPr/>
                      <wps:spPr>
                        <a:xfrm flipV="1">
                          <a:off x="0" y="0"/>
                          <a:ext cx="5504815" cy="20955"/>
                        </a:xfrm>
                        <a:prstGeom prst="straightConnector1">
                          <a:avLst/>
                        </a:prstGeom>
                        <a:ln w="952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5pt;margin-top:0.1pt;height:1.65pt;width:433.45pt;z-index:251660288;mso-width-relative:page;mso-height-relative:page;" filled="f" stroked="t" coordsize="21600,21600" o:gfxdata="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tHtugNUAAAAFAQAADwAAAAAAAAABACAAAAAiAAAA&#10;ZHJzL2Rvd25yZXYueG1sUEsBAhQAFAAAAAgAh07iQJRUPR8KAgAABAQAAA4AAAAAAAAAAQAgAAAA&#10;JAEAAGRycy9lMm9Eb2MueG1sUEsFBgAAAAAGAAYAWQEAAKAFAAAAAA==&#10;">
                <v:fill on="f" focussize="0,0"/>
                <v:stroke color="#000000" joinstyle="round"/>
                <v:imagedata o:title=""/>
                <o:lock v:ext="edit" aspectratio="f"/>
              </v:shape>
            </w:pict>
          </mc:Fallback>
        </mc:AlternateContent>
      </w:r>
      <w:r>
        <w:rPr>
          <w:rFonts w:hint="eastAsia" w:ascii="隶属" w:hAnsi="隶属" w:eastAsia="隶属" w:cs="隶属"/>
          <w:b/>
          <w:bCs/>
          <w:sz w:val="52"/>
          <w:szCs w:val="52"/>
          <w:lang w:eastAsia="zh-CN"/>
        </w:rPr>
        <w:t>中国西部开发促进会</w:t>
      </w:r>
      <w:r>
        <w:rPr>
          <w:rFonts w:hint="eastAsia" w:ascii="黑体" w:hAnsi="黑体" w:eastAsia="黑体" w:cs="黑体"/>
          <w:sz w:val="52"/>
          <w:szCs w:val="52"/>
        </w:rPr>
        <w:t xml:space="preserve"> </w:t>
      </w:r>
      <w:r>
        <w:rPr>
          <w:rFonts w:hint="eastAsia" w:ascii="黑体" w:hAnsi="黑体" w:eastAsia="黑体" w:cs="黑体"/>
          <w:sz w:val="28"/>
          <w:szCs w:val="28"/>
          <w:lang w:val="en-US" w:eastAsia="zh-CN"/>
        </w:rPr>
        <w:t>发 布</w:t>
      </w:r>
      <w:r>
        <w:rPr>
          <w:rFonts w:hint="eastAsia" w:ascii="黑体" w:hAnsi="黑体" w:eastAsia="黑体" w:cs="黑体"/>
          <w:sz w:val="52"/>
          <w:szCs w:val="52"/>
        </w:rPr>
        <w:t xml:space="preserve"> </w:t>
      </w:r>
    </w:p>
    <w:p w14:paraId="7EA1BE5F">
      <w:pPr>
        <w:pStyle w:val="94"/>
        <w:keepNext w:val="0"/>
        <w:keepLines w:val="0"/>
        <w:pageBreakBefore w:val="0"/>
        <w:widowControl w:val="0"/>
        <w:kinsoku/>
        <w:wordWrap/>
        <w:overflowPunct/>
        <w:topLinePunct w:val="0"/>
        <w:autoSpaceDE/>
        <w:autoSpaceDN/>
        <w:bidi w:val="0"/>
        <w:adjustRightInd w:val="0"/>
        <w:snapToGrid/>
        <w:spacing w:before="850" w:after="680" w:afterLines="0"/>
        <w:textAlignment w:val="auto"/>
      </w:pPr>
      <w:bookmarkStart w:id="0" w:name="BookMark1"/>
      <w:r>
        <w:rPr>
          <w:spacing w:val="320"/>
        </w:rPr>
        <w:t>目</w:t>
      </w:r>
      <w:r>
        <w:t>次</w:t>
      </w:r>
    </w:p>
    <w:p w14:paraId="5A7AB613">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TOC \o "1-1" \h \t "标准文件_一级条标题,2,标准文件_附录一级条标题,2," </w:instrText>
      </w:r>
      <w:r>
        <w:rPr>
          <w:rFonts w:hint="eastAsia" w:ascii="宋体" w:hAnsi="宋体" w:eastAsia="宋体" w:cs="宋体"/>
        </w:rPr>
        <w:fldChar w:fldCharType="separate"/>
      </w:r>
      <w:r>
        <w:rPr>
          <w:rFonts w:hint="eastAsia" w:ascii="宋体" w:hAnsi="宋体" w:eastAsia="宋体" w:cs="宋体"/>
        </w:rPr>
        <w:fldChar w:fldCharType="begin"/>
      </w:r>
      <w:r>
        <w:rPr>
          <w:rFonts w:hint="eastAsia" w:ascii="宋体" w:hAnsi="宋体" w:eastAsia="宋体" w:cs="宋体"/>
        </w:rPr>
        <w:instrText xml:space="preserve"> HYPERLINK \l _Toc859 </w:instrText>
      </w:r>
      <w:r>
        <w:rPr>
          <w:rFonts w:hint="eastAsia" w:ascii="宋体" w:hAnsi="宋体" w:eastAsia="宋体" w:cs="宋体"/>
        </w:rPr>
        <w:fldChar w:fldCharType="separate"/>
      </w:r>
      <w:r>
        <w:rPr>
          <w:rFonts w:hint="eastAsia" w:ascii="宋体" w:hAnsi="宋体" w:eastAsia="宋体" w:cs="宋体"/>
          <w:lang w:eastAsia="zh-CN"/>
        </w:rPr>
        <w:t>前</w:t>
      </w:r>
      <w:r>
        <w:rPr>
          <w:rFonts w:hint="eastAsia" w:ascii="宋体" w:hAnsi="宋体" w:eastAsia="宋体" w:cs="宋体"/>
        </w:rPr>
        <w:t>言</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_Toc859 \h </w:instrText>
      </w:r>
      <w:r>
        <w:rPr>
          <w:rFonts w:hint="eastAsia" w:ascii="宋体" w:hAnsi="宋体" w:eastAsia="宋体" w:cs="宋体"/>
        </w:rPr>
        <w:fldChar w:fldCharType="separate"/>
      </w:r>
      <w:r>
        <w:rPr>
          <w:rFonts w:hint="eastAsia" w:ascii="宋体" w:hAnsi="宋体" w:eastAsia="宋体" w:cs="宋体"/>
        </w:rPr>
        <w:t>II</w:t>
      </w:r>
      <w:r>
        <w:rPr>
          <w:rFonts w:hint="eastAsia" w:ascii="宋体" w:hAnsi="宋体" w:eastAsia="宋体" w:cs="宋体"/>
        </w:rPr>
        <w:fldChar w:fldCharType="end"/>
      </w:r>
      <w:r>
        <w:rPr>
          <w:rFonts w:hint="eastAsia" w:ascii="宋体" w:hAnsi="宋体" w:eastAsia="宋体" w:cs="宋体"/>
        </w:rPr>
        <w:fldChar w:fldCharType="end"/>
      </w:r>
    </w:p>
    <w:p w14:paraId="15338F08">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_Toc14382 </w:instrText>
      </w:r>
      <w:r>
        <w:rPr>
          <w:rFonts w:hint="eastAsia" w:ascii="宋体" w:hAnsi="宋体" w:eastAsia="宋体" w:cs="宋体"/>
        </w:rPr>
        <w:fldChar w:fldCharType="separate"/>
      </w:r>
      <w:r>
        <w:rPr>
          <w:rFonts w:hint="eastAsia" w:ascii="宋体" w:hAnsi="宋体" w:eastAsia="宋体" w:cs="宋体"/>
          <w:i w:val="0"/>
        </w:rPr>
        <w:t xml:space="preserve">1 </w:t>
      </w:r>
      <w:r>
        <w:rPr>
          <w:rFonts w:hint="eastAsia" w:ascii="宋体" w:hAnsi="宋体" w:eastAsia="宋体" w:cs="宋体"/>
        </w:rPr>
        <w:t>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_Toc14382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fldChar w:fldCharType="end"/>
      </w:r>
    </w:p>
    <w:p w14:paraId="7C355331">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_Toc27673 </w:instrText>
      </w:r>
      <w:r>
        <w:rPr>
          <w:rFonts w:hint="eastAsia" w:ascii="宋体" w:hAnsi="宋体" w:eastAsia="宋体" w:cs="宋体"/>
        </w:rPr>
        <w:fldChar w:fldCharType="separate"/>
      </w:r>
      <w:r>
        <w:rPr>
          <w:rFonts w:hint="eastAsia" w:ascii="宋体" w:hAnsi="宋体" w:eastAsia="宋体" w:cs="宋体"/>
          <w:i w:val="0"/>
        </w:rPr>
        <w:t xml:space="preserve">2 </w:t>
      </w:r>
      <w:r>
        <w:rPr>
          <w:rFonts w:hint="eastAsia" w:ascii="宋体" w:hAnsi="宋体" w:eastAsia="宋体" w:cs="宋体"/>
        </w:rPr>
        <w:t>规范性引用文件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_Toc27673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fldChar w:fldCharType="end"/>
      </w:r>
    </w:p>
    <w:p w14:paraId="398C66F6">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_Toc18063 </w:instrText>
      </w:r>
      <w:r>
        <w:rPr>
          <w:rFonts w:hint="eastAsia" w:ascii="宋体" w:hAnsi="宋体" w:eastAsia="宋体" w:cs="宋体"/>
        </w:rPr>
        <w:fldChar w:fldCharType="separate"/>
      </w:r>
      <w:r>
        <w:rPr>
          <w:rFonts w:hint="eastAsia" w:ascii="宋体" w:hAnsi="宋体" w:eastAsia="宋体" w:cs="宋体"/>
          <w:i w:val="0"/>
        </w:rPr>
        <w:t xml:space="preserve">3 </w:t>
      </w:r>
      <w:r>
        <w:rPr>
          <w:rFonts w:hint="eastAsia" w:ascii="宋体" w:hAnsi="宋体" w:eastAsia="宋体" w:cs="宋体"/>
          <w:szCs w:val="21"/>
        </w:rPr>
        <w:t>术语和定义</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_Toc18063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fldChar w:fldCharType="end"/>
      </w:r>
    </w:p>
    <w:p w14:paraId="78F0FA75">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_Toc5014 </w:instrText>
      </w:r>
      <w:r>
        <w:rPr>
          <w:rFonts w:hint="eastAsia" w:ascii="宋体" w:hAnsi="宋体" w:eastAsia="宋体" w:cs="宋体"/>
        </w:rPr>
        <w:fldChar w:fldCharType="separate"/>
      </w:r>
      <w:r>
        <w:rPr>
          <w:rFonts w:hint="eastAsia" w:ascii="宋体" w:hAnsi="宋体" w:eastAsia="宋体" w:cs="宋体"/>
          <w:i w:val="0"/>
          <w:szCs w:val="21"/>
        </w:rPr>
        <w:t xml:space="preserve">4 </w:t>
      </w:r>
      <w:r>
        <w:rPr>
          <w:rFonts w:hint="eastAsia" w:ascii="宋体" w:hAnsi="宋体" w:eastAsia="宋体" w:cs="宋体"/>
          <w:szCs w:val="21"/>
        </w:rPr>
        <w:t>基本要求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_Toc5014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fldChar w:fldCharType="end"/>
      </w:r>
    </w:p>
    <w:p w14:paraId="4A5E05BE">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_Toc1935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4.1 </w:t>
      </w:r>
      <w:r>
        <w:rPr>
          <w:rFonts w:hint="eastAsia" w:ascii="宋体" w:hAnsi="宋体" w:eastAsia="宋体" w:cs="宋体"/>
          <w:lang w:val="en-US" w:eastAsia="zh-CN"/>
        </w:rPr>
        <w:t>总体原则</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_Toc1935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fldChar w:fldCharType="end"/>
      </w:r>
    </w:p>
    <w:p w14:paraId="3C7194CD">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_Toc26373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4.2 </w:t>
      </w:r>
      <w:r>
        <w:rPr>
          <w:rFonts w:hint="eastAsia" w:ascii="宋体" w:hAnsi="宋体" w:eastAsia="宋体" w:cs="宋体"/>
          <w:lang w:val="en-US" w:eastAsia="zh-CN"/>
        </w:rPr>
        <w:t>人员要求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_Toc26373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14:paraId="76D877D9">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_Toc27184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4.3 </w:t>
      </w:r>
      <w:r>
        <w:rPr>
          <w:rFonts w:hint="eastAsia" w:ascii="宋体" w:hAnsi="宋体" w:eastAsia="宋体" w:cs="宋体"/>
          <w:lang w:val="en-US" w:eastAsia="zh-CN"/>
        </w:rPr>
        <w:t>设备要求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_Toc27184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14:paraId="53A4D1BB">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_Toc16632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4.4 </w:t>
      </w:r>
      <w:r>
        <w:rPr>
          <w:rFonts w:hint="eastAsia" w:ascii="宋体" w:hAnsi="宋体" w:eastAsia="宋体" w:cs="宋体"/>
          <w:lang w:val="en-US" w:eastAsia="zh-CN"/>
        </w:rPr>
        <w:t>环境要求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_Toc16632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14:paraId="31A145A8">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_Toc3313 </w:instrText>
      </w:r>
      <w:r>
        <w:rPr>
          <w:rFonts w:hint="eastAsia" w:ascii="宋体" w:hAnsi="宋体" w:eastAsia="宋体" w:cs="宋体"/>
        </w:rPr>
        <w:fldChar w:fldCharType="separate"/>
      </w:r>
      <w:r>
        <w:rPr>
          <w:rFonts w:hint="eastAsia" w:ascii="宋体" w:hAnsi="宋体" w:eastAsia="宋体" w:cs="宋体"/>
          <w:i w:val="0"/>
          <w:szCs w:val="21"/>
          <w:lang w:val="en-US" w:eastAsia="zh-CN"/>
        </w:rPr>
        <w:t xml:space="preserve">5 </w:t>
      </w:r>
      <w:r>
        <w:rPr>
          <w:rFonts w:hint="eastAsia" w:ascii="宋体" w:hAnsi="宋体" w:eastAsia="宋体" w:cs="宋体"/>
          <w:szCs w:val="21"/>
          <w:lang w:val="en-US" w:eastAsia="zh-CN"/>
        </w:rPr>
        <w:t>监测前期质量管控</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_Toc3313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14:paraId="7193F294">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_Toc9349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5.1 </w:t>
      </w:r>
      <w:r>
        <w:rPr>
          <w:rFonts w:hint="eastAsia" w:ascii="宋体" w:hAnsi="宋体" w:eastAsia="宋体" w:cs="宋体"/>
          <w:lang w:val="en-US" w:eastAsia="zh-CN"/>
        </w:rPr>
        <w:t>监测方案编制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_Toc9349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14:paraId="55F7A584">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_Toc26109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5.2 </w:t>
      </w:r>
      <w:r>
        <w:rPr>
          <w:rFonts w:hint="eastAsia" w:ascii="宋体" w:hAnsi="宋体" w:eastAsia="宋体" w:cs="宋体"/>
          <w:lang w:val="en-US" w:eastAsia="zh-CN"/>
        </w:rPr>
        <w:t>监测站点布设</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_Toc26109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2F405F45">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_Toc22762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5.3 </w:t>
      </w:r>
      <w:r>
        <w:rPr>
          <w:rFonts w:hint="eastAsia" w:ascii="宋体" w:hAnsi="宋体" w:eastAsia="宋体" w:cs="宋体"/>
          <w:lang w:val="en-US" w:eastAsia="zh-CN"/>
        </w:rPr>
        <w:t>设备准备与调试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_Toc22762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7D549CB7">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_Toc10832 </w:instrText>
      </w:r>
      <w:r>
        <w:rPr>
          <w:rFonts w:hint="eastAsia" w:ascii="宋体" w:hAnsi="宋体" w:eastAsia="宋体" w:cs="宋体"/>
        </w:rPr>
        <w:fldChar w:fldCharType="separate"/>
      </w:r>
      <w:r>
        <w:rPr>
          <w:rFonts w:hint="eastAsia" w:ascii="宋体" w:hAnsi="宋体" w:eastAsia="宋体" w:cs="宋体"/>
          <w:i w:val="0"/>
          <w:szCs w:val="21"/>
          <w:lang w:val="en-US" w:eastAsia="zh-CN"/>
        </w:rPr>
        <w:t xml:space="preserve">6 </w:t>
      </w:r>
      <w:r>
        <w:rPr>
          <w:rFonts w:hint="eastAsia" w:ascii="宋体" w:hAnsi="宋体" w:eastAsia="宋体" w:cs="宋体"/>
          <w:szCs w:val="21"/>
          <w:lang w:val="en-US" w:eastAsia="zh-CN"/>
        </w:rPr>
        <w:t>监测过程质量管控</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_Toc10832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0C894F87">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_Toc1799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6.1 </w:t>
      </w:r>
      <w:r>
        <w:rPr>
          <w:rFonts w:hint="eastAsia" w:ascii="宋体" w:hAnsi="宋体" w:eastAsia="宋体" w:cs="宋体"/>
          <w:lang w:val="en-US" w:eastAsia="zh-CN"/>
        </w:rPr>
        <w:t>现场采集质量管控</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_Toc1799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44060550">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_Toc20440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6.2 </w:t>
      </w:r>
      <w:r>
        <w:rPr>
          <w:rFonts w:hint="eastAsia" w:ascii="宋体" w:hAnsi="宋体" w:eastAsia="宋体" w:cs="宋体"/>
          <w:lang w:val="en-US" w:eastAsia="zh-CN"/>
        </w:rPr>
        <w:t>数据记录质量管控</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_Toc20440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rPr>
        <w:fldChar w:fldCharType="end"/>
      </w:r>
    </w:p>
    <w:p w14:paraId="7A14F75E">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_Toc9075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6.3 </w:t>
      </w:r>
      <w:r>
        <w:rPr>
          <w:rFonts w:hint="eastAsia" w:ascii="宋体" w:hAnsi="宋体" w:eastAsia="宋体" w:cs="宋体"/>
          <w:lang w:val="en-US" w:eastAsia="zh-CN"/>
        </w:rPr>
        <w:t>现场审核</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_Toc9075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66AE6FAB">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_Toc32169 </w:instrText>
      </w:r>
      <w:r>
        <w:rPr>
          <w:rFonts w:hint="eastAsia" w:ascii="宋体" w:hAnsi="宋体" w:eastAsia="宋体" w:cs="宋体"/>
        </w:rPr>
        <w:fldChar w:fldCharType="separate"/>
      </w:r>
      <w:r>
        <w:rPr>
          <w:rFonts w:hint="eastAsia" w:ascii="宋体" w:hAnsi="宋体" w:eastAsia="宋体" w:cs="宋体"/>
          <w:i w:val="0"/>
          <w:szCs w:val="21"/>
          <w:lang w:val="en-US" w:eastAsia="zh-CN"/>
        </w:rPr>
        <w:t xml:space="preserve">7 </w:t>
      </w:r>
      <w:r>
        <w:rPr>
          <w:rFonts w:hint="eastAsia" w:ascii="宋体" w:hAnsi="宋体" w:eastAsia="宋体" w:cs="宋体"/>
          <w:szCs w:val="21"/>
          <w:lang w:val="en-US" w:eastAsia="zh-CN"/>
        </w:rPr>
        <w:t>数据处理质量管控</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_Toc32169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7431B93C">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_Toc4708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7.1 </w:t>
      </w:r>
      <w:r>
        <w:rPr>
          <w:rFonts w:hint="eastAsia" w:ascii="宋体" w:hAnsi="宋体" w:eastAsia="宋体" w:cs="宋体"/>
          <w:lang w:val="en-US" w:eastAsia="zh-CN"/>
        </w:rPr>
        <w:t>数据整理</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_Toc4708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58CCE699">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_Toc17097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7.2 </w:t>
      </w:r>
      <w:r>
        <w:rPr>
          <w:rFonts w:hint="eastAsia" w:ascii="宋体" w:hAnsi="宋体" w:eastAsia="宋体" w:cs="宋体"/>
          <w:lang w:val="en-US" w:eastAsia="zh-CN"/>
        </w:rPr>
        <w:t>数据修正</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_Toc17097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50B56322">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_Toc7117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7.3 </w:t>
      </w:r>
      <w:r>
        <w:rPr>
          <w:rFonts w:hint="eastAsia" w:ascii="宋体" w:hAnsi="宋体" w:eastAsia="宋体" w:cs="宋体"/>
          <w:lang w:val="en-US" w:eastAsia="zh-CN"/>
        </w:rPr>
        <w:t>数据存储与传输</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_Toc7117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3E41C97F">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_Toc28762 </w:instrText>
      </w:r>
      <w:r>
        <w:rPr>
          <w:rFonts w:hint="eastAsia" w:ascii="宋体" w:hAnsi="宋体" w:eastAsia="宋体" w:cs="宋体"/>
        </w:rPr>
        <w:fldChar w:fldCharType="separate"/>
      </w:r>
      <w:r>
        <w:rPr>
          <w:rFonts w:hint="eastAsia" w:ascii="宋体" w:hAnsi="宋体" w:eastAsia="宋体" w:cs="宋体"/>
          <w:i w:val="0"/>
          <w:szCs w:val="21"/>
          <w:lang w:val="en-US" w:eastAsia="zh-CN"/>
        </w:rPr>
        <w:t xml:space="preserve">8 </w:t>
      </w:r>
      <w:r>
        <w:rPr>
          <w:rFonts w:hint="eastAsia" w:ascii="宋体" w:hAnsi="宋体" w:eastAsia="宋体" w:cs="宋体"/>
          <w:szCs w:val="21"/>
          <w:lang w:val="en-US" w:eastAsia="zh-CN"/>
        </w:rPr>
        <w:t>数据审核与验收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_Toc28762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6414EDE1">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_Toc14675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8.1 </w:t>
      </w:r>
      <w:r>
        <w:rPr>
          <w:rFonts w:hint="eastAsia" w:ascii="宋体" w:hAnsi="宋体" w:eastAsia="宋体" w:cs="宋体"/>
          <w:lang w:val="en-US" w:eastAsia="zh-CN"/>
        </w:rPr>
        <w:t>室内审核</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_Toc14675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rPr>
        <w:fldChar w:fldCharType="end"/>
      </w:r>
    </w:p>
    <w:p w14:paraId="3A229010">
      <w:pPr>
        <w:pStyle w:val="25"/>
        <w:tabs>
          <w:tab w:val="right" w:leader="dot" w:pos="9354"/>
          <w:tab w:val="clear" w:pos="934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_Toc6711 </w:instrText>
      </w:r>
      <w:r>
        <w:rPr>
          <w:rFonts w:hint="eastAsia" w:ascii="宋体" w:hAnsi="宋体" w:eastAsia="宋体" w:cs="宋体"/>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8.2 </w:t>
      </w:r>
      <w:r>
        <w:rPr>
          <w:rFonts w:hint="eastAsia" w:ascii="宋体" w:hAnsi="宋体" w:eastAsia="宋体" w:cs="宋体"/>
          <w:lang w:val="en-US" w:eastAsia="zh-CN"/>
        </w:rPr>
        <w:t>数据验收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_Toc6711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rPr>
        <w:fldChar w:fldCharType="end"/>
      </w:r>
    </w:p>
    <w:p w14:paraId="00C8CF75">
      <w:pPr>
        <w:pStyle w:val="20"/>
        <w:tabs>
          <w:tab w:val="right" w:leader="dot" w:pos="9354"/>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_Toc21774 </w:instrText>
      </w:r>
      <w:r>
        <w:rPr>
          <w:rFonts w:hint="eastAsia" w:ascii="宋体" w:hAnsi="宋体" w:eastAsia="宋体" w:cs="宋体"/>
        </w:rPr>
        <w:fldChar w:fldCharType="separate"/>
      </w:r>
      <w:r>
        <w:rPr>
          <w:rFonts w:hint="eastAsia" w:ascii="宋体" w:hAnsi="宋体" w:eastAsia="宋体" w:cs="宋体"/>
          <w:spacing w:val="100"/>
          <w:kern w:val="0"/>
          <w:szCs w:val="20"/>
          <w:lang w:val="en-US" w:eastAsia="zh-CN" w:bidi="ar-SA"/>
        </w:rPr>
        <w:t xml:space="preserve">附录A </w:t>
      </w:r>
      <w:r>
        <w:rPr>
          <w:rFonts w:hint="eastAsia" w:ascii="宋体" w:hAnsi="宋体" w:eastAsia="宋体" w:cs="宋体"/>
          <w:kern w:val="0"/>
          <w:szCs w:val="20"/>
          <w:lang w:val="en-US" w:eastAsia="zh-CN" w:bidi="ar-SA"/>
        </w:rPr>
        <w:t xml:space="preserve"> （规范性） </w:t>
      </w:r>
      <w:r>
        <w:rPr>
          <w:rFonts w:hint="eastAsia" w:ascii="宋体" w:hAnsi="宋体" w:eastAsia="宋体" w:cs="宋体"/>
          <w:lang w:val="en-US" w:eastAsia="zh-CN" w:bidi="ar-SA"/>
        </w:rPr>
        <w:t>陆地水文野外监测数据记录表</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_Toc21774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rPr>
        <w:fldChar w:fldCharType="end"/>
      </w:r>
    </w:p>
    <w:p w14:paraId="034B4C16">
      <w:pPr>
        <w:pStyle w:val="20"/>
        <w:tabs>
          <w:tab w:val="right" w:leader="dot" w:pos="9354"/>
        </w:tabs>
        <w:rPr>
          <w:rFonts w:hint="eastAsia" w:eastAsia="宋体"/>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r>
        <w:rPr>
          <w:rFonts w:hint="eastAsia" w:ascii="宋体" w:hAnsi="宋体" w:eastAsia="宋体" w:cs="宋体"/>
        </w:rPr>
        <w:fldChar w:fldCharType="end"/>
      </w:r>
    </w:p>
    <w:bookmarkEnd w:id="0"/>
    <w:p w14:paraId="77D679C7">
      <w:pPr>
        <w:pStyle w:val="92"/>
        <w:keepNext w:val="0"/>
        <w:keepLines w:val="0"/>
        <w:pageBreakBefore w:val="0"/>
        <w:widowControl/>
        <w:kinsoku/>
        <w:wordWrap/>
        <w:overflowPunct/>
        <w:topLinePunct w:val="0"/>
        <w:autoSpaceDE/>
        <w:autoSpaceDN/>
        <w:bidi w:val="0"/>
        <w:adjustRightInd/>
        <w:snapToGrid/>
        <w:spacing w:before="850" w:after="680" w:afterLines="0"/>
        <w:ind w:left="425" w:hanging="425"/>
        <w:textAlignment w:val="auto"/>
      </w:pPr>
      <w:bookmarkStart w:id="1" w:name="_Toc3964"/>
      <w:bookmarkStart w:id="2" w:name="_Toc859"/>
      <w:bookmarkStart w:id="3" w:name="BookMark2"/>
      <w:r>
        <w:rPr>
          <w:rFonts w:hint="eastAsia"/>
          <w:lang w:eastAsia="zh-CN"/>
        </w:rPr>
        <w:t>前</w:t>
      </w:r>
      <w:r>
        <w:t>言</w:t>
      </w:r>
      <w:bookmarkEnd w:id="1"/>
      <w:bookmarkEnd w:id="2"/>
    </w:p>
    <w:p w14:paraId="144B386C">
      <w:pPr>
        <w:pStyle w:val="59"/>
        <w:ind w:firstLine="420"/>
        <w:rPr>
          <w:rFonts w:hint="eastAsia"/>
        </w:rPr>
      </w:pPr>
      <w:r>
        <w:rPr>
          <w:rFonts w:hint="eastAsia"/>
        </w:rPr>
        <w:t>本文件按照GB/T 1.1—2020《标准化工作导则</w:t>
      </w:r>
      <w:r>
        <w:rPr>
          <w:rFonts w:hint="eastAsia"/>
          <w:lang w:val="en-US" w:eastAsia="zh-CN"/>
        </w:rPr>
        <w:t xml:space="preserve"> </w:t>
      </w:r>
      <w:r>
        <w:rPr>
          <w:rFonts w:hint="eastAsia"/>
        </w:rPr>
        <w:t xml:space="preserve"> 第1部分：标准化文件的结构和起草规则》的规定起草。</w:t>
      </w:r>
    </w:p>
    <w:p w14:paraId="4624CC82">
      <w:pPr>
        <w:pStyle w:val="59"/>
        <w:ind w:firstLine="420"/>
        <w:rPr>
          <w:rFonts w:hint="eastAsia"/>
        </w:rPr>
      </w:pPr>
      <w:r>
        <w:rPr>
          <w:rFonts w:hint="eastAsia"/>
        </w:rPr>
        <w:t>请注意本文件的某些内容可能涉及专利。本文件的发布机构不承担识别专利的责任。</w:t>
      </w:r>
    </w:p>
    <w:p w14:paraId="778D99D7">
      <w:pPr>
        <w:pStyle w:val="59"/>
        <w:ind w:firstLine="420"/>
        <w:rPr>
          <w:rFonts w:hint="eastAsia"/>
        </w:rPr>
      </w:pPr>
      <w:r>
        <w:rPr>
          <w:rFonts w:hint="eastAsia"/>
        </w:rPr>
        <w:t>本文件由</w:t>
      </w:r>
      <w:r>
        <w:rPr>
          <w:rFonts w:hint="eastAsia"/>
          <w:lang w:eastAsia="zh-CN"/>
        </w:rPr>
        <w:t>中国西部开发促进会</w:t>
      </w:r>
      <w:r>
        <w:rPr>
          <w:rFonts w:hint="eastAsia"/>
        </w:rPr>
        <w:t>提出</w:t>
      </w:r>
      <w:r>
        <w:rPr>
          <w:rFonts w:hint="eastAsia"/>
          <w:lang w:val="en-US" w:eastAsia="zh-CN"/>
        </w:rPr>
        <w:t>并</w:t>
      </w:r>
      <w:r>
        <w:rPr>
          <w:rFonts w:hint="eastAsia"/>
        </w:rPr>
        <w:t>归口。</w:t>
      </w:r>
    </w:p>
    <w:p w14:paraId="1D8903AA">
      <w:pPr>
        <w:pStyle w:val="59"/>
        <w:ind w:firstLine="420"/>
        <w:rPr>
          <w:rFonts w:hint="eastAsia"/>
          <w:lang w:eastAsia="zh-CN"/>
        </w:rPr>
      </w:pPr>
      <w:r>
        <w:rPr>
          <w:rFonts w:hint="eastAsia"/>
          <w:lang w:eastAsia="zh-CN"/>
        </w:rPr>
        <w:t>本文件起草单位：。</w:t>
      </w:r>
    </w:p>
    <w:p w14:paraId="5B31DD22">
      <w:pPr>
        <w:pStyle w:val="59"/>
        <w:ind w:firstLine="420"/>
        <w:rPr>
          <w:rFonts w:hint="eastAsia" w:eastAsia="宋体"/>
          <w:lang w:val="en-US" w:eastAsia="zh-CN"/>
        </w:rPr>
      </w:pPr>
      <w:r>
        <w:rPr>
          <w:rFonts w:hint="eastAsia"/>
        </w:rPr>
        <w:t>本文件</w:t>
      </w:r>
      <w:r>
        <w:rPr>
          <w:rFonts w:hint="eastAsia"/>
          <w:lang w:val="en-US" w:eastAsia="zh-CN"/>
        </w:rPr>
        <w:t>主要</w:t>
      </w:r>
      <w:r>
        <w:rPr>
          <w:rFonts w:hint="eastAsia"/>
        </w:rPr>
        <w:t>起草人：</w:t>
      </w:r>
      <w:r>
        <w:rPr>
          <w:rFonts w:hint="eastAsia"/>
          <w:lang w:eastAsia="zh-CN"/>
        </w:rPr>
        <w:t>。</w:t>
      </w:r>
    </w:p>
    <w:p w14:paraId="51F993DF">
      <w:pPr>
        <w:pStyle w:val="59"/>
        <w:rPr>
          <w:rFonts w:hint="default" w:eastAsia="宋体"/>
          <w:lang w:val="en-US" w:eastAsia="zh-CN"/>
        </w:rPr>
      </w:pPr>
      <w:r>
        <w:rPr>
          <w:rFonts w:hint="eastAsia"/>
        </w:rPr>
        <w:t>本文件</w:t>
      </w:r>
      <w:r>
        <w:rPr>
          <w:rFonts w:hint="eastAsia"/>
          <w:lang w:val="en-US" w:eastAsia="zh-CN"/>
        </w:rPr>
        <w:t>为首次发布。</w:t>
      </w:r>
    </w:p>
    <w:p w14:paraId="0BDC35C7">
      <w:pPr>
        <w:pStyle w:val="59"/>
        <w:ind w:firstLine="420"/>
      </w:pPr>
    </w:p>
    <w:p w14:paraId="1386D582">
      <w:pPr>
        <w:pStyle w:val="59"/>
        <w:rPr>
          <w:rFonts w:hint="default" w:eastAsia="宋体"/>
          <w:lang w:val="en-US" w:eastAsia="zh-CN"/>
        </w:rPr>
        <w:sectPr>
          <w:pgSz w:w="11906" w:h="16838"/>
          <w:pgMar w:top="1928" w:right="1134" w:bottom="1134" w:left="1134" w:header="1418" w:footer="1134" w:gutter="284"/>
          <w:pgNumType w:fmt="upperRoman"/>
          <w:cols w:space="425" w:num="1"/>
          <w:formProt w:val="0"/>
          <w:docGrid w:linePitch="312" w:charSpace="0"/>
        </w:sectPr>
      </w:pPr>
    </w:p>
    <w:bookmarkEnd w:id="3"/>
    <w:p w14:paraId="48FD2902">
      <w:pPr>
        <w:spacing w:line="20" w:lineRule="exact"/>
        <w:jc w:val="center"/>
        <w:rPr>
          <w:rFonts w:ascii="黑体" w:hAnsi="黑体" w:eastAsia="黑体"/>
          <w:sz w:val="32"/>
          <w:szCs w:val="32"/>
        </w:rPr>
      </w:pPr>
      <w:bookmarkStart w:id="4" w:name="BookMark4"/>
    </w:p>
    <w:p w14:paraId="486FBE09">
      <w:pPr>
        <w:spacing w:line="20" w:lineRule="exact"/>
        <w:jc w:val="center"/>
        <w:rPr>
          <w:rFonts w:ascii="黑体" w:hAnsi="黑体" w:eastAsia="黑体"/>
          <w:sz w:val="32"/>
          <w:szCs w:val="32"/>
        </w:rPr>
      </w:pPr>
    </w:p>
    <w:p w14:paraId="26074E06">
      <w:pPr>
        <w:pStyle w:val="92"/>
        <w:shd w:val="clear" w:color="FFFFFF" w:fill="FFFFFF"/>
        <w:spacing w:before="850" w:after="680" w:afterLines="0"/>
        <w:ind w:left="425" w:hanging="425"/>
        <w:outlineLvl w:val="9"/>
        <w:rPr>
          <w:rFonts w:hint="eastAsia" w:ascii="黑体" w:hAnsi="Times New Roman" w:eastAsia="黑体" w:cs="Times New Roman"/>
          <w:kern w:val="0"/>
          <w:sz w:val="32"/>
          <w:szCs w:val="20"/>
          <w:lang w:val="en-US" w:eastAsia="zh-CN" w:bidi="ar-SA"/>
        </w:rPr>
      </w:pPr>
      <w:bookmarkStart w:id="5" w:name="_Toc25846"/>
      <w:r>
        <w:rPr>
          <w:rFonts w:hint="eastAsia" w:ascii="黑体" w:hAnsi="Times New Roman" w:eastAsia="黑体" w:cs="Times New Roman"/>
          <w:kern w:val="0"/>
          <w:sz w:val="32"/>
          <w:szCs w:val="20"/>
          <w:lang w:val="en-US" w:eastAsia="zh-CN" w:bidi="ar-SA"/>
        </w:rPr>
        <w:t>陆地水文野外监测数据质量管控技术规范</w:t>
      </w:r>
      <w:bookmarkEnd w:id="5"/>
    </w:p>
    <w:p w14:paraId="5EC4DF4C">
      <w:pPr>
        <w:pStyle w:val="107"/>
        <w:spacing w:before="240" w:after="240"/>
        <w:ind w:left="0" w:firstLine="0"/>
      </w:pPr>
      <w:bookmarkStart w:id="6" w:name="_Toc16890"/>
      <w:bookmarkStart w:id="7" w:name="_Toc97195091"/>
      <w:bookmarkStart w:id="8" w:name="_Toc17233333"/>
      <w:bookmarkStart w:id="9" w:name="_Toc26718930"/>
      <w:bookmarkStart w:id="10" w:name="_Toc12505"/>
      <w:bookmarkStart w:id="11" w:name="_Toc12617"/>
      <w:bookmarkStart w:id="12" w:name="_Toc26986771"/>
      <w:bookmarkStart w:id="13" w:name="_Toc26648465"/>
      <w:bookmarkStart w:id="14" w:name="_Toc24884211"/>
      <w:bookmarkStart w:id="15" w:name="_Toc26986530"/>
      <w:bookmarkStart w:id="16" w:name="_Toc24884218"/>
      <w:bookmarkStart w:id="17" w:name="_Toc17233325"/>
      <w:bookmarkStart w:id="18" w:name="_Toc14382"/>
      <w:r>
        <w:rPr>
          <w:rFonts w:hint="eastAsia"/>
        </w:rPr>
        <w:t>范围</w:t>
      </w:r>
      <w:bookmarkEnd w:id="6"/>
      <w:bookmarkEnd w:id="7"/>
      <w:bookmarkEnd w:id="8"/>
      <w:bookmarkEnd w:id="9"/>
      <w:bookmarkEnd w:id="10"/>
      <w:bookmarkEnd w:id="11"/>
      <w:bookmarkEnd w:id="12"/>
      <w:bookmarkEnd w:id="13"/>
      <w:bookmarkEnd w:id="14"/>
      <w:bookmarkEnd w:id="15"/>
      <w:bookmarkEnd w:id="16"/>
      <w:bookmarkEnd w:id="17"/>
      <w:bookmarkEnd w:id="18"/>
    </w:p>
    <w:p w14:paraId="06BD657B">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bookmarkStart w:id="19" w:name="_Toc24884219"/>
      <w:bookmarkStart w:id="20" w:name="_Toc17233326"/>
      <w:bookmarkStart w:id="21" w:name="_Toc24884212"/>
      <w:bookmarkStart w:id="22" w:name="_Toc26648466"/>
      <w:bookmarkStart w:id="23" w:name="_Toc17233334"/>
      <w:r>
        <w:rPr>
          <w:rFonts w:hint="eastAsia" w:ascii="宋体" w:hAnsi="宋体" w:eastAsia="宋体" w:cs="宋体"/>
          <w:sz w:val="21"/>
          <w:lang w:val="en-US" w:eastAsia="zh-CN" w:bidi="ar-SA"/>
        </w:rPr>
        <w:t>本文件规定了陆地水文野外监测数据质量管控的</w:t>
      </w:r>
      <w:r>
        <w:rPr>
          <w:rFonts w:hint="eastAsia" w:ascii="宋体" w:hAnsi="宋体" w:cs="宋体"/>
          <w:sz w:val="21"/>
          <w:lang w:val="en-US" w:eastAsia="zh-CN" w:bidi="ar-SA"/>
        </w:rPr>
        <w:t>基本</w:t>
      </w:r>
      <w:r>
        <w:rPr>
          <w:rFonts w:hint="eastAsia" w:ascii="宋体" w:hAnsi="宋体" w:eastAsia="宋体" w:cs="宋体"/>
          <w:sz w:val="21"/>
          <w:lang w:val="en-US" w:eastAsia="zh-CN" w:bidi="ar-SA"/>
        </w:rPr>
        <w:t>要求、监测前期质量管控</w:t>
      </w:r>
      <w:r>
        <w:rPr>
          <w:rFonts w:hint="eastAsia" w:ascii="宋体" w:hAnsi="宋体" w:cs="宋体"/>
          <w:sz w:val="21"/>
          <w:lang w:val="en-US" w:eastAsia="zh-CN" w:bidi="ar-SA"/>
        </w:rPr>
        <w:t>、监测过程质量管控、数据处理质量管控、数据审核与验收。</w:t>
      </w:r>
    </w:p>
    <w:p w14:paraId="36CB17B1">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本文件适用于河流、湖泊、水库、沼泽等陆地水域水文要素（如水位、流量、降水量、蒸发量、水质等）野外监测数据的全生命周期质量管控，涵盖基本水文站、专用水文站和实验水文站的监测工作。</w:t>
      </w:r>
    </w:p>
    <w:p w14:paraId="6E83A890">
      <w:pPr>
        <w:pStyle w:val="107"/>
        <w:spacing w:before="240" w:after="240"/>
        <w:ind w:left="0" w:firstLine="0"/>
      </w:pPr>
      <w:bookmarkStart w:id="24" w:name="_Toc7537"/>
      <w:bookmarkStart w:id="25" w:name="_Toc26718931"/>
      <w:bookmarkStart w:id="26" w:name="_Toc8381"/>
      <w:bookmarkStart w:id="27" w:name="_Toc26986531"/>
      <w:bookmarkStart w:id="28" w:name="_Toc97195092"/>
      <w:bookmarkStart w:id="29" w:name="_Toc7490"/>
      <w:bookmarkStart w:id="30" w:name="_Toc26986772"/>
      <w:bookmarkStart w:id="31" w:name="_Toc27673"/>
      <w:r>
        <w:rPr>
          <w:rFonts w:hint="eastAsia"/>
        </w:rPr>
        <w:t>规范性引用文件</w:t>
      </w:r>
      <w:bookmarkEnd w:id="19"/>
      <w:bookmarkEnd w:id="20"/>
      <w:bookmarkEnd w:id="21"/>
      <w:bookmarkEnd w:id="22"/>
      <w:bookmarkEnd w:id="23"/>
      <w:bookmarkEnd w:id="24"/>
      <w:bookmarkEnd w:id="25"/>
      <w:bookmarkEnd w:id="26"/>
      <w:bookmarkEnd w:id="27"/>
      <w:bookmarkEnd w:id="28"/>
      <w:bookmarkEnd w:id="29"/>
      <w:bookmarkEnd w:id="30"/>
      <w:bookmarkEnd w:id="31"/>
    </w:p>
    <w:sdt>
      <w:sdtPr>
        <w:rPr>
          <w:rFonts w:ascii="Calibri" w:hAnsi="Calibri" w:eastAsia="宋体" w:cs="Times New Roman"/>
          <w:kern w:val="2"/>
          <w:sz w:val="21"/>
          <w:szCs w:val="21"/>
          <w:lang w:val="en-US" w:eastAsia="zh-CN" w:bidi="ar-SA"/>
        </w:rPr>
        <w:id w:val="147479123"/>
        <w:placeholder>
          <w:docPart w:val="{21713128-2fb3-42d3-bb50-8e93bba009cc}"/>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EndPr>
        <w:rPr>
          <w:rFonts w:hint="eastAsia" w:ascii="宋体" w:hAnsi="宋体" w:eastAsia="宋体" w:cs="宋体"/>
          <w:kern w:val="2"/>
          <w:sz w:val="21"/>
          <w:szCs w:val="21"/>
          <w:lang w:val="en-US" w:eastAsia="zh-CN" w:bidi="ar-SA"/>
        </w:rPr>
      </w:sdtEndPr>
      <w:sdtContent>
        <w:p w14:paraId="46BA7C37">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24B931C">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default" w:ascii="宋体" w:hAnsi="宋体" w:eastAsia="宋体" w:cs="宋体"/>
          <w:sz w:val="21"/>
          <w:lang w:val="en-US" w:eastAsia="zh-CN" w:bidi="ar-SA"/>
        </w:rPr>
      </w:pPr>
      <w:r>
        <w:rPr>
          <w:rFonts w:hint="eastAsia" w:ascii="宋体" w:hAnsi="宋体" w:eastAsia="宋体" w:cs="宋体"/>
          <w:sz w:val="21"/>
          <w:lang w:val="en-US" w:eastAsia="zh-CN" w:bidi="ar-SA"/>
        </w:rPr>
        <w:t>GB 31221</w:t>
      </w:r>
      <w:r>
        <w:rPr>
          <w:rFonts w:hint="eastAsia" w:ascii="宋体" w:hAnsi="宋体" w:cs="宋体"/>
          <w:sz w:val="21"/>
          <w:lang w:val="en-US" w:eastAsia="zh-CN" w:bidi="ar-SA"/>
        </w:rPr>
        <w:t xml:space="preserve">  气象探测环境保护规范 地面气象观测站</w:t>
      </w:r>
    </w:p>
    <w:p w14:paraId="02563C66">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default" w:ascii="宋体" w:hAnsi="宋体" w:eastAsia="宋体" w:cs="宋体"/>
          <w:sz w:val="21"/>
          <w:lang w:val="en-US" w:eastAsia="zh-CN" w:bidi="ar-SA"/>
        </w:rPr>
      </w:pPr>
      <w:r>
        <w:rPr>
          <w:rFonts w:hint="eastAsia" w:ascii="宋体" w:hAnsi="宋体" w:eastAsia="宋体" w:cs="宋体"/>
          <w:sz w:val="21"/>
          <w:lang w:val="en-US" w:eastAsia="zh-CN" w:bidi="ar-SA"/>
        </w:rPr>
        <w:t>GB/T 50095</w:t>
      </w:r>
      <w:r>
        <w:rPr>
          <w:rFonts w:hint="eastAsia" w:ascii="宋体" w:hAnsi="宋体" w:cs="宋体"/>
          <w:sz w:val="21"/>
          <w:lang w:val="en-US" w:eastAsia="zh-CN" w:bidi="ar-SA"/>
        </w:rPr>
        <w:t xml:space="preserve">  水文基本术语和符号标准(附条文说明)</w:t>
      </w:r>
    </w:p>
    <w:p w14:paraId="6E79F7CE">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default" w:ascii="宋体" w:hAnsi="宋体" w:eastAsia="宋体" w:cs="宋体"/>
          <w:sz w:val="21"/>
          <w:lang w:val="en-US" w:eastAsia="zh-CN" w:bidi="ar-SA"/>
        </w:rPr>
      </w:pPr>
      <w:r>
        <w:rPr>
          <w:rFonts w:hint="eastAsia" w:ascii="宋体" w:hAnsi="宋体" w:eastAsia="宋体" w:cs="宋体"/>
          <w:sz w:val="21"/>
          <w:lang w:val="en-US" w:eastAsia="zh-CN" w:bidi="ar-SA"/>
        </w:rPr>
        <w:t>GB 50179</w:t>
      </w:r>
      <w:r>
        <w:rPr>
          <w:rFonts w:hint="eastAsia" w:ascii="宋体" w:hAnsi="宋体" w:cs="宋体"/>
          <w:sz w:val="21"/>
          <w:lang w:val="en-US" w:eastAsia="zh-CN" w:bidi="ar-SA"/>
        </w:rPr>
        <w:t xml:space="preserve">  河流流量测验规范</w:t>
      </w:r>
    </w:p>
    <w:p w14:paraId="760638E0">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default" w:ascii="宋体" w:hAnsi="宋体" w:eastAsia="宋体" w:cs="宋体"/>
          <w:sz w:val="21"/>
          <w:lang w:val="en-US" w:eastAsia="zh-CN" w:bidi="ar-SA"/>
        </w:rPr>
      </w:pPr>
      <w:r>
        <w:rPr>
          <w:rFonts w:hint="eastAsia" w:ascii="宋体" w:hAnsi="宋体" w:eastAsia="宋体" w:cs="宋体"/>
          <w:sz w:val="21"/>
          <w:lang w:val="en-US" w:eastAsia="zh-CN" w:bidi="ar-SA"/>
        </w:rPr>
        <w:t>HJ/T 91</w:t>
      </w:r>
      <w:r>
        <w:rPr>
          <w:rFonts w:hint="eastAsia" w:ascii="宋体" w:hAnsi="宋体" w:cs="宋体"/>
          <w:sz w:val="21"/>
          <w:lang w:val="en-US" w:eastAsia="zh-CN" w:bidi="ar-SA"/>
        </w:rPr>
        <w:t xml:space="preserve">  地表水和污水监测技术规范</w:t>
      </w:r>
    </w:p>
    <w:p w14:paraId="2CE6DAA2">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cs="宋体"/>
          <w:sz w:val="21"/>
          <w:lang w:val="en-US" w:eastAsia="zh-CN" w:bidi="ar-SA"/>
        </w:rPr>
      </w:pPr>
      <w:r>
        <w:rPr>
          <w:rFonts w:hint="eastAsia" w:ascii="宋体" w:hAnsi="宋体" w:eastAsia="宋体" w:cs="宋体"/>
          <w:sz w:val="21"/>
          <w:lang w:val="en-US" w:eastAsia="zh-CN" w:bidi="ar-SA"/>
        </w:rPr>
        <w:t>SL/T 426</w:t>
      </w:r>
      <w:r>
        <w:rPr>
          <w:rFonts w:hint="eastAsia" w:ascii="宋体" w:hAnsi="宋体" w:cs="宋体"/>
          <w:sz w:val="21"/>
          <w:lang w:val="en-US" w:eastAsia="zh-CN" w:bidi="ar-SA"/>
        </w:rPr>
        <w:t xml:space="preserve">  水量计量设备基本技术条件</w:t>
      </w:r>
    </w:p>
    <w:p w14:paraId="33B3A250">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default" w:ascii="宋体" w:hAnsi="宋体" w:cs="宋体"/>
          <w:sz w:val="21"/>
          <w:lang w:val="en-US" w:eastAsia="zh-CN" w:bidi="ar-SA"/>
        </w:rPr>
      </w:pPr>
      <w:r>
        <w:rPr>
          <w:rFonts w:hint="default" w:ascii="宋体" w:hAnsi="宋体" w:cs="宋体"/>
          <w:sz w:val="21"/>
          <w:lang w:val="en-US" w:eastAsia="zh-CN" w:bidi="ar-SA"/>
        </w:rPr>
        <w:t>SL 651</w:t>
      </w:r>
      <w:r>
        <w:rPr>
          <w:rFonts w:hint="eastAsia" w:ascii="宋体" w:hAnsi="宋体" w:cs="宋体"/>
          <w:sz w:val="21"/>
          <w:lang w:val="en-US" w:eastAsia="zh-CN" w:bidi="ar-SA"/>
        </w:rPr>
        <w:t xml:space="preserve">  水文监测数据通信规约(附条文说明)</w:t>
      </w:r>
    </w:p>
    <w:p w14:paraId="7E0F02AA">
      <w:pPr>
        <w:pStyle w:val="107"/>
        <w:spacing w:before="240" w:after="240"/>
        <w:ind w:left="0" w:firstLine="0"/>
      </w:pPr>
      <w:bookmarkStart w:id="32" w:name="_Toc97195093"/>
      <w:bookmarkStart w:id="33" w:name="_Toc11143"/>
      <w:bookmarkStart w:id="34" w:name="_Toc21736"/>
      <w:bookmarkStart w:id="35" w:name="_Toc28612"/>
      <w:bookmarkStart w:id="36" w:name="_Toc18063"/>
      <w:r>
        <w:rPr>
          <w:rFonts w:hint="eastAsia"/>
          <w:szCs w:val="21"/>
        </w:rPr>
        <w:t>术语和定义</w:t>
      </w:r>
      <w:bookmarkEnd w:id="32"/>
      <w:bookmarkEnd w:id="33"/>
      <w:bookmarkEnd w:id="34"/>
      <w:bookmarkEnd w:id="35"/>
      <w:bookmarkEnd w:id="36"/>
    </w:p>
    <w:p w14:paraId="3A3BF7ED">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GB/T 5009</w:t>
      </w:r>
      <w:r>
        <w:rPr>
          <w:rFonts w:hint="eastAsia" w:ascii="宋体" w:hAnsi="宋体" w:cs="宋体"/>
          <w:sz w:val="21"/>
          <w:lang w:val="en-US" w:eastAsia="zh-CN" w:bidi="ar-SA"/>
        </w:rPr>
        <w:t>5界定的以及</w:t>
      </w:r>
      <w:r>
        <w:rPr>
          <w:rFonts w:hint="eastAsia" w:ascii="宋体" w:hAnsi="宋体" w:eastAsia="宋体" w:cs="宋体"/>
          <w:sz w:val="21"/>
          <w:lang w:val="en-US" w:eastAsia="zh-CN" w:bidi="ar-SA"/>
        </w:rPr>
        <w:t>下列术语和定义适用于本文件。</w:t>
      </w:r>
    </w:p>
    <w:p w14:paraId="4B6D3D92">
      <w:pPr>
        <w:pStyle w:val="108"/>
        <w:spacing w:before="120" w:after="120"/>
      </w:pPr>
      <w:bookmarkStart w:id="37" w:name="_Toc18481"/>
      <w:bookmarkEnd w:id="37"/>
      <w:bookmarkStart w:id="38" w:name="_Toc5316"/>
      <w:bookmarkEnd w:id="38"/>
      <w:bookmarkStart w:id="39" w:name="_Toc18955"/>
      <w:bookmarkEnd w:id="39"/>
      <w:bookmarkStart w:id="40" w:name="_Toc20220"/>
      <w:bookmarkEnd w:id="40"/>
      <w:bookmarkStart w:id="41" w:name="_Toc13410"/>
      <w:bookmarkEnd w:id="41"/>
      <w:bookmarkStart w:id="42" w:name="_Toc10258"/>
      <w:bookmarkEnd w:id="42"/>
      <w:bookmarkStart w:id="43" w:name="_Toc14843"/>
      <w:bookmarkEnd w:id="43"/>
      <w:bookmarkStart w:id="44" w:name="_Toc9949"/>
      <w:bookmarkEnd w:id="44"/>
      <w:bookmarkStart w:id="45" w:name="_Toc6073"/>
      <w:bookmarkEnd w:id="45"/>
      <w:bookmarkStart w:id="46" w:name="_Toc19450"/>
      <w:bookmarkEnd w:id="46"/>
      <w:bookmarkStart w:id="47" w:name="_Toc15595"/>
      <w:bookmarkEnd w:id="47"/>
      <w:bookmarkStart w:id="48" w:name="_Toc11047"/>
      <w:bookmarkEnd w:id="48"/>
    </w:p>
    <w:p w14:paraId="38DFE66D">
      <w:pPr>
        <w:keepNext w:val="0"/>
        <w:keepLines w:val="0"/>
        <w:pageBreakBefore w:val="0"/>
        <w:widowControl/>
        <w:numPr>
          <w:ilvl w:val="2"/>
          <w:numId w:val="0"/>
        </w:numPr>
        <w:kinsoku/>
        <w:wordWrap/>
        <w:overflowPunct/>
        <w:topLinePunct w:val="0"/>
        <w:autoSpaceDE/>
        <w:autoSpaceDN/>
        <w:bidi w:val="0"/>
        <w:adjustRightInd/>
        <w:snapToGrid/>
        <w:spacing w:before="0" w:beforeLines="0" w:after="0" w:afterLines="0" w:line="240" w:lineRule="auto"/>
        <w:ind w:firstLine="420" w:firstLineChars="200"/>
        <w:jc w:val="both"/>
        <w:textAlignment w:val="auto"/>
        <w:outlineLvl w:val="9"/>
        <w:rPr>
          <w:rFonts w:hint="default" w:ascii="Times New Roman" w:hAnsi="Times New Roman" w:eastAsia="黑体" w:cs="Times New Roman"/>
          <w:sz w:val="21"/>
          <w:lang w:val="en-US" w:eastAsia="zh-CN" w:bidi="ar-SA"/>
        </w:rPr>
      </w:pPr>
      <w:r>
        <w:rPr>
          <w:rFonts w:hint="eastAsia" w:ascii="黑体" w:hAnsi="黑体" w:eastAsia="黑体" w:cs="Times New Roman"/>
          <w:sz w:val="21"/>
          <w:lang w:val="en-US" w:eastAsia="zh-CN" w:bidi="ar-SA"/>
        </w:rPr>
        <w:t xml:space="preserve">陆地水文野外监测 </w:t>
      </w:r>
      <w:r>
        <w:rPr>
          <w:rFonts w:hint="eastAsia" w:ascii="Times New Roman" w:hAnsi="Times New Roman" w:eastAsia="黑体" w:cs="Times New Roman"/>
          <w:sz w:val="21"/>
          <w:lang w:val="en-US" w:eastAsia="zh-CN" w:bidi="ar-SA"/>
        </w:rPr>
        <w:t>terrestrial hydrology field monitoring</w:t>
      </w:r>
    </w:p>
    <w:p w14:paraId="5814A5D1">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在陆地范围内，通过人工或自动化设备，对地表水体（河流、湖泊、水库、沼泽等）、地下水体的水文要素及相关环境要素进行现场采集、记录的活动。</w:t>
      </w:r>
    </w:p>
    <w:p w14:paraId="2B2A1DE4">
      <w:pPr>
        <w:pStyle w:val="108"/>
        <w:spacing w:before="120" w:after="120"/>
      </w:pPr>
      <w:bookmarkStart w:id="49" w:name="_Toc28912"/>
      <w:bookmarkEnd w:id="49"/>
      <w:bookmarkStart w:id="50" w:name="_Toc15874"/>
      <w:bookmarkEnd w:id="50"/>
      <w:bookmarkStart w:id="51" w:name="_Toc16545"/>
      <w:bookmarkEnd w:id="51"/>
      <w:bookmarkStart w:id="52" w:name="_Toc13739"/>
      <w:bookmarkEnd w:id="52"/>
      <w:bookmarkStart w:id="53" w:name="_Toc3744"/>
      <w:bookmarkEnd w:id="53"/>
      <w:bookmarkStart w:id="54" w:name="_Toc28171"/>
      <w:bookmarkEnd w:id="54"/>
      <w:bookmarkStart w:id="55" w:name="_Toc6407"/>
      <w:bookmarkEnd w:id="55"/>
      <w:bookmarkStart w:id="56" w:name="_Toc13682"/>
      <w:bookmarkEnd w:id="56"/>
      <w:bookmarkStart w:id="57" w:name="_Toc23660"/>
      <w:bookmarkEnd w:id="57"/>
      <w:bookmarkStart w:id="58" w:name="_Toc30783"/>
      <w:bookmarkEnd w:id="58"/>
      <w:bookmarkStart w:id="59" w:name="_Toc15835"/>
      <w:bookmarkEnd w:id="59"/>
      <w:bookmarkStart w:id="60" w:name="_Toc30986"/>
      <w:bookmarkEnd w:id="60"/>
    </w:p>
    <w:p w14:paraId="660EA2A2">
      <w:pPr>
        <w:keepNext w:val="0"/>
        <w:keepLines w:val="0"/>
        <w:pageBreakBefore w:val="0"/>
        <w:widowControl/>
        <w:numPr>
          <w:ilvl w:val="2"/>
          <w:numId w:val="0"/>
        </w:numPr>
        <w:kinsoku/>
        <w:wordWrap/>
        <w:overflowPunct/>
        <w:topLinePunct w:val="0"/>
        <w:autoSpaceDE/>
        <w:autoSpaceDN/>
        <w:bidi w:val="0"/>
        <w:adjustRightInd/>
        <w:snapToGrid/>
        <w:spacing w:before="0" w:beforeLines="0" w:after="0" w:afterLines="0" w:line="240" w:lineRule="auto"/>
        <w:ind w:firstLine="420" w:firstLineChars="200"/>
        <w:jc w:val="both"/>
        <w:textAlignment w:val="auto"/>
        <w:outlineLvl w:val="9"/>
        <w:rPr>
          <w:rFonts w:hint="default" w:ascii="Times New Roman" w:hAnsi="Times New Roman" w:eastAsia="黑体" w:cs="Times New Roman"/>
          <w:sz w:val="21"/>
          <w:lang w:val="en-US" w:eastAsia="zh-CN" w:bidi="ar-SA"/>
        </w:rPr>
      </w:pPr>
      <w:bookmarkStart w:id="61" w:name="_Toc9173"/>
      <w:bookmarkEnd w:id="61"/>
      <w:bookmarkStart w:id="62" w:name="_Toc2032"/>
      <w:bookmarkEnd w:id="62"/>
      <w:r>
        <w:rPr>
          <w:rFonts w:hint="eastAsia" w:ascii="黑体" w:hAnsi="黑体" w:eastAsia="黑体" w:cs="Times New Roman"/>
          <w:sz w:val="21"/>
          <w:lang w:val="en-US" w:eastAsia="zh-CN" w:bidi="ar-SA"/>
        </w:rPr>
        <w:t xml:space="preserve">监测数据质量 </w:t>
      </w:r>
      <w:r>
        <w:rPr>
          <w:rFonts w:hint="eastAsia" w:ascii="Times New Roman" w:hAnsi="Times New Roman" w:eastAsia="黑体" w:cs="Times New Roman"/>
          <w:sz w:val="21"/>
          <w:lang w:val="en-US" w:eastAsia="zh-CN" w:bidi="ar-SA"/>
        </w:rPr>
        <w:t>monitoring data quality</w:t>
      </w:r>
    </w:p>
    <w:p w14:paraId="53244B7B">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监测数据满足规定用途应具备的准确性、完整性、一致性、时效性和可靠性的综合特性，是衡量监测数据实用价值的核心指标。</w:t>
      </w:r>
    </w:p>
    <w:p w14:paraId="5A65B95D">
      <w:pPr>
        <w:pStyle w:val="108"/>
        <w:spacing w:before="120" w:after="120"/>
        <w:rPr>
          <w:rFonts w:hint="eastAsia"/>
          <w:lang w:val="en-US" w:eastAsia="zh-CN"/>
        </w:rPr>
      </w:pPr>
      <w:bookmarkStart w:id="63" w:name="_Toc16767"/>
      <w:bookmarkEnd w:id="63"/>
      <w:bookmarkStart w:id="64" w:name="_Toc13289"/>
      <w:bookmarkEnd w:id="64"/>
      <w:bookmarkStart w:id="65" w:name="_Toc9318"/>
      <w:bookmarkEnd w:id="65"/>
      <w:bookmarkStart w:id="66" w:name="_Toc22593"/>
      <w:bookmarkEnd w:id="66"/>
      <w:bookmarkStart w:id="67" w:name="_Toc24883"/>
      <w:bookmarkEnd w:id="67"/>
      <w:bookmarkStart w:id="68" w:name="_Toc13145"/>
      <w:bookmarkEnd w:id="68"/>
    </w:p>
    <w:p w14:paraId="739E998C">
      <w:pPr>
        <w:keepNext w:val="0"/>
        <w:keepLines w:val="0"/>
        <w:pageBreakBefore w:val="0"/>
        <w:widowControl/>
        <w:numPr>
          <w:ilvl w:val="2"/>
          <w:numId w:val="0"/>
        </w:numPr>
        <w:kinsoku/>
        <w:wordWrap/>
        <w:overflowPunct/>
        <w:topLinePunct w:val="0"/>
        <w:autoSpaceDE/>
        <w:autoSpaceDN/>
        <w:bidi w:val="0"/>
        <w:adjustRightInd/>
        <w:snapToGrid/>
        <w:spacing w:before="0" w:beforeLines="0" w:after="0" w:afterLines="0" w:line="240" w:lineRule="auto"/>
        <w:ind w:firstLine="420" w:firstLineChars="200"/>
        <w:jc w:val="both"/>
        <w:textAlignment w:val="auto"/>
        <w:outlineLvl w:val="9"/>
        <w:rPr>
          <w:rFonts w:hint="default" w:ascii="Times New Roman" w:hAnsi="Times New Roman" w:eastAsia="黑体" w:cs="Times New Roman"/>
          <w:sz w:val="21"/>
          <w:lang w:val="en-US" w:eastAsia="zh-CN" w:bidi="ar-SA"/>
        </w:rPr>
      </w:pPr>
      <w:r>
        <w:rPr>
          <w:rFonts w:hint="default" w:ascii="Times New Roman" w:hAnsi="Times New Roman" w:eastAsia="黑体" w:cs="Times New Roman"/>
          <w:sz w:val="21"/>
          <w:lang w:val="en-US" w:eastAsia="zh-CN" w:bidi="ar-SA"/>
        </w:rPr>
        <w:t>数据审核 data review</w:t>
      </w:r>
    </w:p>
    <w:p w14:paraId="28EB9D0E">
      <w:pPr>
        <w:keepNext w:val="0"/>
        <w:keepLines w:val="0"/>
        <w:pageBreakBefore w:val="0"/>
        <w:widowControl w:val="0"/>
        <w:kinsoku/>
        <w:wordWrap/>
        <w:overflowPunct/>
        <w:topLinePunct w:val="0"/>
        <w:autoSpaceDE w:val="0"/>
        <w:autoSpaceDN w:val="0"/>
        <w:bidi w:val="0"/>
        <w:adjustRightInd w:val="0"/>
        <w:snapToGrid/>
        <w:spacing w:line="240" w:lineRule="auto"/>
        <w:ind w:firstLine="420" w:firstLineChars="200"/>
        <w:jc w:val="both"/>
        <w:textAlignment w:val="auto"/>
        <w:rPr>
          <w:rFonts w:hint="eastAsia" w:ascii="宋体" w:hAnsi="宋体" w:eastAsia="宋体" w:cs="宋体"/>
          <w:sz w:val="21"/>
          <w:lang w:val="en-US" w:eastAsia="zh-CN" w:bidi="ar-SA"/>
        </w:rPr>
      </w:pPr>
      <w:r>
        <w:rPr>
          <w:rFonts w:hint="eastAsia" w:ascii="宋体" w:hAnsi="宋体" w:eastAsia="宋体" w:cs="宋体"/>
          <w:sz w:val="21"/>
          <w:lang w:val="en-US" w:eastAsia="zh-CN" w:bidi="ar-SA"/>
        </w:rPr>
        <w:t>对监测数据的真实性、准确性、完整性、一致性进行检查、验证、修正的过程，分为现场审核、室内审核两个环节。</w:t>
      </w:r>
    </w:p>
    <w:p w14:paraId="4C6B687D">
      <w:pPr>
        <w:pStyle w:val="107"/>
        <w:spacing w:before="240" w:after="240"/>
        <w:ind w:left="0" w:firstLine="0"/>
        <w:rPr>
          <w:szCs w:val="21"/>
        </w:rPr>
      </w:pPr>
      <w:bookmarkStart w:id="69" w:name="_Toc31131"/>
      <w:bookmarkEnd w:id="69"/>
      <w:bookmarkStart w:id="70" w:name="_Toc1854"/>
      <w:bookmarkEnd w:id="70"/>
      <w:bookmarkStart w:id="71" w:name="_Toc32623"/>
      <w:bookmarkEnd w:id="71"/>
      <w:bookmarkStart w:id="72" w:name="_Toc28054"/>
      <w:bookmarkEnd w:id="72"/>
      <w:bookmarkStart w:id="73" w:name="_Toc18321"/>
      <w:bookmarkEnd w:id="73"/>
      <w:bookmarkStart w:id="74" w:name="_Toc14826"/>
      <w:bookmarkEnd w:id="74"/>
      <w:bookmarkStart w:id="75" w:name="_Toc22737"/>
      <w:bookmarkEnd w:id="75"/>
      <w:bookmarkStart w:id="76" w:name="_Toc18262"/>
      <w:bookmarkEnd w:id="76"/>
      <w:bookmarkStart w:id="77" w:name="_Toc15067"/>
      <w:bookmarkEnd w:id="77"/>
      <w:bookmarkStart w:id="78" w:name="_Toc5014"/>
      <w:r>
        <w:rPr>
          <w:rFonts w:hint="eastAsia"/>
          <w:szCs w:val="21"/>
        </w:rPr>
        <w:t>基本要求</w:t>
      </w:r>
      <w:bookmarkEnd w:id="78"/>
    </w:p>
    <w:p w14:paraId="3E1CA1A6">
      <w:pPr>
        <w:pStyle w:val="108"/>
        <w:spacing w:before="120" w:after="120"/>
        <w:ind w:left="0" w:firstLine="0"/>
        <w:rPr>
          <w:rFonts w:hint="eastAsia"/>
          <w:lang w:val="en-US" w:eastAsia="zh-CN"/>
        </w:rPr>
      </w:pPr>
      <w:bookmarkStart w:id="79" w:name="_Toc1935"/>
      <w:r>
        <w:rPr>
          <w:rFonts w:hint="eastAsia"/>
          <w:lang w:val="en-US" w:eastAsia="zh-CN"/>
        </w:rPr>
        <w:t>总体原则</w:t>
      </w:r>
      <w:bookmarkEnd w:id="79"/>
    </w:p>
    <w:p w14:paraId="1B37303E">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rPr>
      </w:pPr>
      <w:r>
        <w:rPr>
          <w:rFonts w:hint="eastAsia"/>
        </w:rPr>
        <w:t>监测数据质量管控应遵循“预防为主、全程管控、分级负责、科学规范”的原则，覆盖监测活动全流程，数据</w:t>
      </w:r>
      <w:r>
        <w:rPr>
          <w:rFonts w:hint="eastAsia"/>
          <w:lang w:val="en-US" w:eastAsia="zh-CN"/>
        </w:rPr>
        <w:t>应</w:t>
      </w:r>
      <w:r>
        <w:rPr>
          <w:rFonts w:hint="eastAsia"/>
        </w:rPr>
        <w:t>真实、准确、完整、可用。</w:t>
      </w:r>
    </w:p>
    <w:p w14:paraId="049A6F9B">
      <w:pPr>
        <w:pStyle w:val="108"/>
        <w:spacing w:before="120" w:after="120"/>
        <w:ind w:left="0" w:firstLine="0"/>
        <w:rPr>
          <w:rFonts w:hint="eastAsia"/>
          <w:lang w:val="en-US" w:eastAsia="zh-CN"/>
        </w:rPr>
      </w:pPr>
      <w:bookmarkStart w:id="80" w:name="_Toc26373"/>
      <w:r>
        <w:rPr>
          <w:rFonts w:hint="eastAsia"/>
          <w:lang w:val="en-US" w:eastAsia="zh-CN"/>
        </w:rPr>
        <w:t>人员要求</w:t>
      </w:r>
      <w:bookmarkEnd w:id="80"/>
    </w:p>
    <w:p w14:paraId="4A45F134">
      <w:pPr>
        <w:pStyle w:val="59"/>
        <w:ind w:left="0" w:leftChars="0" w:firstLine="0" w:firstLineChars="0"/>
        <w:rPr>
          <w:rFonts w:hint="eastAsia"/>
        </w:rPr>
      </w:pPr>
      <w:r>
        <w:rPr>
          <w:rFonts w:hint="eastAsia"/>
        </w:rPr>
        <w:t>4.2.1 监测人员应具备相应的水文监测专业知识和技能，经专业培训考核合格后上岗，掌握监测设备的操作方法和数据记录规范。</w:t>
      </w:r>
    </w:p>
    <w:p w14:paraId="0C1DA6BB">
      <w:pPr>
        <w:pStyle w:val="59"/>
        <w:ind w:left="0" w:leftChars="0" w:firstLine="0" w:firstLineChars="0"/>
        <w:rPr>
          <w:rFonts w:hint="eastAsia"/>
        </w:rPr>
      </w:pPr>
      <w:r>
        <w:rPr>
          <w:rFonts w:hint="eastAsia"/>
        </w:rPr>
        <w:t>4.2.2 监测人员应严格遵守职业道德，严禁伪造、篡改监测数据，如实记录监测过程中的各类信息（包括监测时间、地点、设备状态、环境条件等）。</w:t>
      </w:r>
    </w:p>
    <w:p w14:paraId="3B1223E7">
      <w:pPr>
        <w:pStyle w:val="59"/>
        <w:ind w:left="0" w:leftChars="0" w:firstLine="0" w:firstLineChars="0"/>
        <w:rPr>
          <w:rFonts w:hint="eastAsia"/>
        </w:rPr>
      </w:pPr>
      <w:r>
        <w:rPr>
          <w:rFonts w:hint="eastAsia"/>
        </w:rPr>
        <w:t>4.2.3 监测人员应定期进行继续教育和技能培训，每年培训时长不少于8学时，内容包括监测技术更新、标准规范修订、设备操作提升等。</w:t>
      </w:r>
    </w:p>
    <w:p w14:paraId="6F8A67EE">
      <w:pPr>
        <w:pStyle w:val="108"/>
        <w:spacing w:before="120" w:after="120"/>
        <w:ind w:left="0" w:firstLine="0"/>
        <w:rPr>
          <w:rFonts w:hint="eastAsia"/>
          <w:lang w:val="en-US" w:eastAsia="zh-CN"/>
        </w:rPr>
      </w:pPr>
      <w:bookmarkStart w:id="81" w:name="_Toc27184"/>
      <w:r>
        <w:rPr>
          <w:rFonts w:hint="eastAsia"/>
          <w:lang w:val="en-US" w:eastAsia="zh-CN"/>
        </w:rPr>
        <w:t>设备要求</w:t>
      </w:r>
      <w:bookmarkEnd w:id="81"/>
    </w:p>
    <w:p w14:paraId="5CF01D28">
      <w:pPr>
        <w:pStyle w:val="59"/>
        <w:ind w:left="0" w:leftChars="0" w:firstLine="0" w:firstLineChars="0"/>
        <w:rPr>
          <w:rFonts w:hint="eastAsia"/>
        </w:rPr>
      </w:pPr>
      <w:r>
        <w:rPr>
          <w:rFonts w:hint="eastAsia"/>
        </w:rPr>
        <w:t>4.3.1 监测设备应符合SL 426的要求，其精度、量程、稳定性等指标应满足监测任务需求，具体精度要求见表1。</w:t>
      </w:r>
    </w:p>
    <w:p w14:paraId="7A9AFEBC">
      <w:pPr>
        <w:pStyle w:val="237"/>
        <w:keepNext w:val="0"/>
        <w:keepLines w:val="0"/>
        <w:pageBreakBefore w:val="0"/>
        <w:widowControl/>
        <w:kinsoku/>
        <w:wordWrap/>
        <w:overflowPunct/>
        <w:topLinePunct w:val="0"/>
        <w:autoSpaceDE w:val="0"/>
        <w:autoSpaceDN w:val="0"/>
        <w:bidi w:val="0"/>
        <w:adjustRightInd/>
        <w:snapToGrid/>
        <w:spacing w:before="157" w:beforeLines="50" w:after="157" w:afterLines="50"/>
        <w:ind w:left="0" w:leftChars="0" w:firstLine="0" w:firstLineChars="0"/>
        <w:jc w:val="center"/>
        <w:textAlignment w:val="auto"/>
        <w:rPr>
          <w:rFonts w:hint="eastAsia"/>
        </w:rPr>
      </w:pPr>
      <w:r>
        <w:rPr>
          <w:rFonts w:hint="eastAsia" w:ascii="黑体" w:hAnsi="黑体" w:eastAsia="黑体" w:cs="黑体"/>
          <w:lang w:val="en-US" w:eastAsia="zh-CN"/>
        </w:rPr>
        <w:t>表1 监测设备精度要求</w:t>
      </w:r>
    </w:p>
    <w:tbl>
      <w:tblPr>
        <w:tblStyle w:val="3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8"/>
        <w:gridCol w:w="2512"/>
        <w:gridCol w:w="5520"/>
      </w:tblGrid>
      <w:tr w14:paraId="638A9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71FD7A3E">
            <w:pPr>
              <w:pStyle w:val="59"/>
              <w:ind w:left="0" w:leftChars="0" w:firstLine="0" w:firstLineChars="0"/>
              <w:jc w:val="center"/>
              <w:rPr>
                <w:sz w:val="18"/>
                <w:szCs w:val="18"/>
              </w:rPr>
            </w:pPr>
            <w:r>
              <w:rPr>
                <w:rFonts w:hint="eastAsia"/>
                <w:sz w:val="18"/>
                <w:szCs w:val="18"/>
              </w:rPr>
              <w:t>监测要素</w:t>
            </w:r>
          </w:p>
        </w:tc>
        <w:tc>
          <w:tcPr>
            <w:tcW w:w="1344" w:type="pct"/>
            <w:vAlign w:val="center"/>
          </w:tcPr>
          <w:p w14:paraId="614D3027">
            <w:pPr>
              <w:pStyle w:val="59"/>
              <w:ind w:left="0" w:leftChars="0" w:firstLine="0" w:firstLineChars="0"/>
              <w:jc w:val="center"/>
              <w:rPr>
                <w:sz w:val="18"/>
                <w:szCs w:val="18"/>
              </w:rPr>
            </w:pPr>
            <w:r>
              <w:rPr>
                <w:rFonts w:hint="eastAsia"/>
                <w:sz w:val="18"/>
                <w:szCs w:val="18"/>
              </w:rPr>
              <w:t>设备类型</w:t>
            </w:r>
          </w:p>
        </w:tc>
        <w:tc>
          <w:tcPr>
            <w:tcW w:w="2954" w:type="pct"/>
            <w:vAlign w:val="center"/>
          </w:tcPr>
          <w:p w14:paraId="2F7E016E">
            <w:pPr>
              <w:pStyle w:val="59"/>
              <w:ind w:left="0" w:leftChars="0" w:firstLine="0" w:firstLineChars="0"/>
              <w:jc w:val="center"/>
              <w:rPr>
                <w:sz w:val="18"/>
                <w:szCs w:val="18"/>
              </w:rPr>
            </w:pPr>
            <w:r>
              <w:rPr>
                <w:rFonts w:hint="eastAsia"/>
                <w:sz w:val="18"/>
                <w:szCs w:val="18"/>
              </w:rPr>
              <w:t>精度要求</w:t>
            </w:r>
          </w:p>
        </w:tc>
      </w:tr>
      <w:tr w14:paraId="2A122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4FB877FA">
            <w:pPr>
              <w:pStyle w:val="59"/>
              <w:ind w:left="0" w:leftChars="0" w:firstLine="0" w:firstLineChars="0"/>
              <w:jc w:val="center"/>
              <w:rPr>
                <w:sz w:val="18"/>
                <w:szCs w:val="18"/>
              </w:rPr>
            </w:pPr>
            <w:r>
              <w:rPr>
                <w:rFonts w:hint="eastAsia"/>
                <w:sz w:val="18"/>
                <w:szCs w:val="18"/>
              </w:rPr>
              <w:t>水位</w:t>
            </w:r>
          </w:p>
        </w:tc>
        <w:tc>
          <w:tcPr>
            <w:tcW w:w="1344" w:type="pct"/>
            <w:vAlign w:val="center"/>
          </w:tcPr>
          <w:p w14:paraId="00BCA43E">
            <w:pPr>
              <w:pStyle w:val="59"/>
              <w:ind w:left="0" w:leftChars="0" w:firstLine="0" w:firstLineChars="0"/>
              <w:jc w:val="center"/>
              <w:rPr>
                <w:sz w:val="18"/>
                <w:szCs w:val="18"/>
              </w:rPr>
            </w:pPr>
            <w:r>
              <w:rPr>
                <w:rFonts w:hint="eastAsia"/>
                <w:sz w:val="18"/>
                <w:szCs w:val="18"/>
              </w:rPr>
              <w:t>浮子式水位计、压力式水位计</w:t>
            </w:r>
          </w:p>
        </w:tc>
        <w:tc>
          <w:tcPr>
            <w:tcW w:w="2954" w:type="pct"/>
            <w:vAlign w:val="center"/>
          </w:tcPr>
          <w:p w14:paraId="7437DB9F">
            <w:pPr>
              <w:pStyle w:val="59"/>
              <w:ind w:left="0" w:leftChars="0" w:firstLine="0" w:firstLineChars="0"/>
              <w:jc w:val="center"/>
              <w:rPr>
                <w:sz w:val="18"/>
                <w:szCs w:val="18"/>
              </w:rPr>
            </w:pPr>
            <w:r>
              <w:rPr>
                <w:rFonts w:hint="eastAsia"/>
                <w:sz w:val="18"/>
                <w:szCs w:val="18"/>
              </w:rPr>
              <w:t>±0.01m（量程≤10m）；±0.1%FS（量程&gt;10m）</w:t>
            </w:r>
          </w:p>
        </w:tc>
      </w:tr>
      <w:tr w14:paraId="2D45A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528D68A4">
            <w:pPr>
              <w:pStyle w:val="59"/>
              <w:ind w:left="0" w:leftChars="0" w:firstLine="0" w:firstLineChars="0"/>
              <w:jc w:val="center"/>
              <w:rPr>
                <w:sz w:val="18"/>
                <w:szCs w:val="18"/>
              </w:rPr>
            </w:pPr>
            <w:r>
              <w:rPr>
                <w:rFonts w:hint="eastAsia"/>
                <w:sz w:val="18"/>
                <w:szCs w:val="18"/>
              </w:rPr>
              <w:t>流量</w:t>
            </w:r>
          </w:p>
        </w:tc>
        <w:tc>
          <w:tcPr>
            <w:tcW w:w="1344" w:type="pct"/>
            <w:vAlign w:val="center"/>
          </w:tcPr>
          <w:p w14:paraId="79C1F75F">
            <w:pPr>
              <w:pStyle w:val="59"/>
              <w:ind w:left="0" w:leftChars="0" w:firstLine="0" w:firstLineChars="0"/>
              <w:jc w:val="center"/>
              <w:rPr>
                <w:sz w:val="18"/>
                <w:szCs w:val="18"/>
              </w:rPr>
            </w:pPr>
            <w:r>
              <w:rPr>
                <w:rFonts w:hint="eastAsia"/>
                <w:sz w:val="18"/>
                <w:szCs w:val="18"/>
              </w:rPr>
              <w:t>流速仪、声学多普勒流量计</w:t>
            </w:r>
          </w:p>
        </w:tc>
        <w:tc>
          <w:tcPr>
            <w:tcW w:w="2954" w:type="pct"/>
            <w:vAlign w:val="center"/>
          </w:tcPr>
          <w:p w14:paraId="0E39DC7A">
            <w:pPr>
              <w:pStyle w:val="59"/>
              <w:ind w:left="0" w:leftChars="0" w:firstLine="0" w:firstLineChars="0"/>
              <w:jc w:val="center"/>
              <w:rPr>
                <w:sz w:val="18"/>
                <w:szCs w:val="18"/>
              </w:rPr>
            </w:pPr>
            <w:r>
              <w:rPr>
                <w:rFonts w:hint="eastAsia"/>
                <w:sz w:val="18"/>
                <w:szCs w:val="18"/>
              </w:rPr>
              <w:t>相对误差≤±5%（常规监测）；≤±3%（精密监测）</w:t>
            </w:r>
          </w:p>
        </w:tc>
      </w:tr>
      <w:tr w14:paraId="76095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19A31D9C">
            <w:pPr>
              <w:pStyle w:val="59"/>
              <w:ind w:left="0" w:leftChars="0" w:firstLine="0" w:firstLineChars="0"/>
              <w:jc w:val="center"/>
              <w:rPr>
                <w:sz w:val="18"/>
                <w:szCs w:val="18"/>
              </w:rPr>
            </w:pPr>
            <w:r>
              <w:rPr>
                <w:rFonts w:hint="eastAsia"/>
                <w:sz w:val="18"/>
                <w:szCs w:val="18"/>
              </w:rPr>
              <w:t>降水量</w:t>
            </w:r>
          </w:p>
        </w:tc>
        <w:tc>
          <w:tcPr>
            <w:tcW w:w="1344" w:type="pct"/>
            <w:vAlign w:val="center"/>
          </w:tcPr>
          <w:p w14:paraId="225D9C89">
            <w:pPr>
              <w:pStyle w:val="59"/>
              <w:ind w:left="0" w:leftChars="0" w:firstLine="0" w:firstLineChars="0"/>
              <w:jc w:val="center"/>
              <w:rPr>
                <w:sz w:val="18"/>
                <w:szCs w:val="18"/>
              </w:rPr>
            </w:pPr>
            <w:r>
              <w:rPr>
                <w:rFonts w:hint="eastAsia"/>
                <w:sz w:val="18"/>
                <w:szCs w:val="18"/>
              </w:rPr>
              <w:t>翻斗式雨量计、虹吸式雨量计</w:t>
            </w:r>
          </w:p>
        </w:tc>
        <w:tc>
          <w:tcPr>
            <w:tcW w:w="2954" w:type="pct"/>
            <w:vAlign w:val="center"/>
          </w:tcPr>
          <w:p w14:paraId="3D78DBE7">
            <w:pPr>
              <w:pStyle w:val="59"/>
              <w:ind w:left="0" w:leftChars="0" w:firstLine="0" w:firstLineChars="0"/>
              <w:jc w:val="center"/>
              <w:rPr>
                <w:sz w:val="18"/>
                <w:szCs w:val="18"/>
              </w:rPr>
            </w:pPr>
            <w:r>
              <w:rPr>
                <w:rFonts w:hint="eastAsia"/>
                <w:sz w:val="18"/>
                <w:szCs w:val="18"/>
              </w:rPr>
              <w:t>分辨率≤0.1mm，误差≤±4%（雨量≤10mm）；≤±2%（雨量</w:t>
            </w:r>
            <w:r>
              <w:rPr>
                <w:rFonts w:hint="eastAsia"/>
                <w:sz w:val="18"/>
                <w:szCs w:val="18"/>
                <w:lang w:val="en-US" w:eastAsia="zh-CN"/>
              </w:rPr>
              <w:t>＞</w:t>
            </w:r>
            <w:r>
              <w:rPr>
                <w:rFonts w:hint="eastAsia"/>
                <w:sz w:val="18"/>
                <w:szCs w:val="18"/>
              </w:rPr>
              <w:t>10mm）</w:t>
            </w:r>
          </w:p>
        </w:tc>
      </w:tr>
      <w:tr w14:paraId="792D1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10A5BEF2">
            <w:pPr>
              <w:pStyle w:val="59"/>
              <w:ind w:left="0" w:leftChars="0" w:firstLine="0" w:firstLineChars="0"/>
              <w:jc w:val="center"/>
              <w:rPr>
                <w:sz w:val="18"/>
                <w:szCs w:val="18"/>
              </w:rPr>
            </w:pPr>
            <w:r>
              <w:rPr>
                <w:rFonts w:hint="eastAsia"/>
                <w:sz w:val="18"/>
                <w:szCs w:val="18"/>
              </w:rPr>
              <w:t>蒸发量</w:t>
            </w:r>
          </w:p>
        </w:tc>
        <w:tc>
          <w:tcPr>
            <w:tcW w:w="1344" w:type="pct"/>
            <w:vAlign w:val="center"/>
          </w:tcPr>
          <w:p w14:paraId="0262DAC0">
            <w:pPr>
              <w:pStyle w:val="59"/>
              <w:ind w:left="0" w:leftChars="0" w:firstLine="0" w:firstLineChars="0"/>
              <w:jc w:val="center"/>
              <w:rPr>
                <w:sz w:val="18"/>
                <w:szCs w:val="18"/>
              </w:rPr>
            </w:pPr>
            <w:r>
              <w:rPr>
                <w:rFonts w:hint="eastAsia"/>
                <w:sz w:val="18"/>
                <w:szCs w:val="18"/>
              </w:rPr>
              <w:t>蒸发器、蒸发皿</w:t>
            </w:r>
          </w:p>
        </w:tc>
        <w:tc>
          <w:tcPr>
            <w:tcW w:w="2954" w:type="pct"/>
            <w:vAlign w:val="center"/>
          </w:tcPr>
          <w:p w14:paraId="00AB3931">
            <w:pPr>
              <w:pStyle w:val="59"/>
              <w:ind w:left="0" w:leftChars="0" w:firstLine="0" w:firstLineChars="0"/>
              <w:jc w:val="center"/>
              <w:rPr>
                <w:sz w:val="18"/>
                <w:szCs w:val="18"/>
              </w:rPr>
            </w:pPr>
            <w:r>
              <w:rPr>
                <w:rFonts w:hint="eastAsia"/>
                <w:sz w:val="18"/>
                <w:szCs w:val="18"/>
              </w:rPr>
              <w:t>误差≤±0.1mm</w:t>
            </w:r>
          </w:p>
        </w:tc>
      </w:tr>
      <w:tr w14:paraId="5C47C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13F22538">
            <w:pPr>
              <w:pStyle w:val="59"/>
              <w:ind w:left="0" w:leftChars="0" w:firstLine="0" w:firstLineChars="0"/>
              <w:jc w:val="center"/>
              <w:rPr>
                <w:sz w:val="18"/>
                <w:szCs w:val="18"/>
              </w:rPr>
            </w:pPr>
            <w:r>
              <w:rPr>
                <w:rFonts w:hint="eastAsia"/>
                <w:sz w:val="18"/>
                <w:szCs w:val="18"/>
              </w:rPr>
              <w:t>地下水水位</w:t>
            </w:r>
          </w:p>
        </w:tc>
        <w:tc>
          <w:tcPr>
            <w:tcW w:w="1344" w:type="pct"/>
            <w:vAlign w:val="center"/>
          </w:tcPr>
          <w:p w14:paraId="03CB96BA">
            <w:pPr>
              <w:pStyle w:val="59"/>
              <w:ind w:left="0" w:leftChars="0" w:firstLine="0" w:firstLineChars="0"/>
              <w:jc w:val="center"/>
              <w:rPr>
                <w:sz w:val="18"/>
                <w:szCs w:val="18"/>
              </w:rPr>
            </w:pPr>
            <w:r>
              <w:rPr>
                <w:rFonts w:hint="eastAsia"/>
                <w:sz w:val="18"/>
                <w:szCs w:val="18"/>
              </w:rPr>
              <w:t>测绳、地下水水位计</w:t>
            </w:r>
          </w:p>
        </w:tc>
        <w:tc>
          <w:tcPr>
            <w:tcW w:w="2954" w:type="pct"/>
            <w:vAlign w:val="center"/>
          </w:tcPr>
          <w:p w14:paraId="061E0153">
            <w:pPr>
              <w:pStyle w:val="59"/>
              <w:ind w:left="0" w:leftChars="0" w:firstLine="0" w:firstLineChars="0"/>
              <w:jc w:val="center"/>
              <w:rPr>
                <w:sz w:val="18"/>
                <w:szCs w:val="18"/>
              </w:rPr>
            </w:pPr>
            <w:r>
              <w:rPr>
                <w:rFonts w:hint="eastAsia"/>
                <w:sz w:val="18"/>
                <w:szCs w:val="18"/>
              </w:rPr>
              <w:t>±0.02m</w:t>
            </w:r>
          </w:p>
        </w:tc>
      </w:tr>
      <w:tr w14:paraId="6F072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0" w:type="pct"/>
            <w:vAlign w:val="center"/>
          </w:tcPr>
          <w:p w14:paraId="393E8E5A">
            <w:pPr>
              <w:pStyle w:val="59"/>
              <w:ind w:left="0" w:leftChars="0" w:firstLine="0" w:firstLineChars="0"/>
              <w:jc w:val="center"/>
              <w:rPr>
                <w:sz w:val="18"/>
                <w:szCs w:val="18"/>
              </w:rPr>
            </w:pPr>
            <w:r>
              <w:rPr>
                <w:rFonts w:hint="eastAsia"/>
                <w:sz w:val="18"/>
                <w:szCs w:val="18"/>
              </w:rPr>
              <w:t>水质（pH值）</w:t>
            </w:r>
          </w:p>
        </w:tc>
        <w:tc>
          <w:tcPr>
            <w:tcW w:w="1344" w:type="pct"/>
            <w:vAlign w:val="center"/>
          </w:tcPr>
          <w:p w14:paraId="25F72C74">
            <w:pPr>
              <w:pStyle w:val="59"/>
              <w:ind w:left="0" w:leftChars="0" w:firstLine="0" w:firstLineChars="0"/>
              <w:jc w:val="center"/>
              <w:rPr>
                <w:sz w:val="18"/>
                <w:szCs w:val="18"/>
              </w:rPr>
            </w:pPr>
            <w:r>
              <w:rPr>
                <w:rFonts w:hint="eastAsia"/>
                <w:sz w:val="18"/>
                <w:szCs w:val="18"/>
              </w:rPr>
              <w:t>pH计</w:t>
            </w:r>
          </w:p>
        </w:tc>
        <w:tc>
          <w:tcPr>
            <w:tcW w:w="2954" w:type="pct"/>
            <w:vAlign w:val="center"/>
          </w:tcPr>
          <w:p w14:paraId="64FAD0B4">
            <w:pPr>
              <w:pStyle w:val="59"/>
              <w:ind w:left="0" w:leftChars="0" w:firstLine="0" w:firstLineChars="0"/>
              <w:jc w:val="center"/>
              <w:rPr>
                <w:sz w:val="18"/>
                <w:szCs w:val="18"/>
              </w:rPr>
            </w:pPr>
            <w:r>
              <w:rPr>
                <w:rFonts w:hint="eastAsia"/>
                <w:sz w:val="18"/>
                <w:szCs w:val="18"/>
              </w:rPr>
              <w:t>±0.02pH</w:t>
            </w:r>
          </w:p>
        </w:tc>
        <w:bookmarkStart w:id="82" w:name="_Toc4950"/>
      </w:tr>
    </w:tbl>
    <w:p w14:paraId="5636B8BB">
      <w:pPr>
        <w:pStyle w:val="59"/>
        <w:ind w:left="0" w:leftChars="0" w:firstLine="0" w:firstLineChars="0"/>
        <w:rPr>
          <w:rFonts w:hint="eastAsia"/>
          <w:lang w:val="en-US" w:eastAsia="zh-CN"/>
        </w:rPr>
      </w:pPr>
      <w:r>
        <w:rPr>
          <w:rFonts w:hint="eastAsia"/>
          <w:lang w:val="en-US" w:eastAsia="zh-CN"/>
        </w:rPr>
        <w:t>4.3.2 监测设备应定期进行校准和检定，校准周期应符合表2的规定，未按规定校准或检定不合格的设备，严禁用于监测工作。</w:t>
      </w:r>
    </w:p>
    <w:p w14:paraId="05FDE576">
      <w:pPr>
        <w:pStyle w:val="237"/>
        <w:keepNext w:val="0"/>
        <w:keepLines w:val="0"/>
        <w:pageBreakBefore w:val="0"/>
        <w:widowControl/>
        <w:kinsoku/>
        <w:wordWrap/>
        <w:overflowPunct/>
        <w:topLinePunct w:val="0"/>
        <w:autoSpaceDE w:val="0"/>
        <w:autoSpaceDN w:val="0"/>
        <w:bidi w:val="0"/>
        <w:adjustRightInd/>
        <w:snapToGrid/>
        <w:spacing w:before="157" w:beforeLines="50" w:after="157" w:afterLines="50"/>
        <w:ind w:left="0" w:leftChars="0" w:firstLine="0" w:firstLineChars="0"/>
        <w:jc w:val="center"/>
        <w:textAlignment w:val="auto"/>
        <w:rPr>
          <w:rFonts w:hint="default"/>
          <w:lang w:val="en-US" w:eastAsia="zh-CN"/>
        </w:rPr>
      </w:pPr>
      <w:r>
        <w:rPr>
          <w:rFonts w:hint="eastAsia" w:ascii="黑体" w:hAnsi="黑体" w:eastAsia="黑体" w:cs="黑体"/>
          <w:lang w:val="en-US" w:eastAsia="zh-CN"/>
        </w:rPr>
        <w:t>表2 监测设备校准周期要求</w:t>
      </w:r>
    </w:p>
    <w:tbl>
      <w:tblPr>
        <w:tblStyle w:val="30"/>
        <w:tblW w:w="511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78"/>
        <w:gridCol w:w="4779"/>
      </w:tblGrid>
      <w:tr w14:paraId="16FDD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500" w:type="pct"/>
            <w:vAlign w:val="center"/>
          </w:tcPr>
          <w:p w14:paraId="5FF00A03">
            <w:pPr>
              <w:pStyle w:val="59"/>
              <w:ind w:left="0" w:leftChars="0" w:firstLine="0" w:firstLineChars="0"/>
              <w:jc w:val="center"/>
              <w:rPr>
                <w:sz w:val="18"/>
                <w:szCs w:val="18"/>
              </w:rPr>
            </w:pPr>
            <w:r>
              <w:rPr>
                <w:rFonts w:hint="eastAsia"/>
                <w:sz w:val="18"/>
                <w:szCs w:val="18"/>
                <w:lang w:val="en-US" w:eastAsia="zh-CN"/>
              </w:rPr>
              <w:t>设备类型</w:t>
            </w:r>
          </w:p>
        </w:tc>
        <w:tc>
          <w:tcPr>
            <w:tcW w:w="2500" w:type="pct"/>
            <w:vAlign w:val="center"/>
          </w:tcPr>
          <w:p w14:paraId="71CABE4B">
            <w:pPr>
              <w:pStyle w:val="59"/>
              <w:ind w:left="0" w:leftChars="0" w:firstLine="0" w:firstLineChars="0"/>
              <w:jc w:val="center"/>
              <w:rPr>
                <w:sz w:val="18"/>
                <w:szCs w:val="18"/>
              </w:rPr>
            </w:pPr>
            <w:r>
              <w:rPr>
                <w:rFonts w:hint="eastAsia"/>
                <w:sz w:val="18"/>
                <w:szCs w:val="18"/>
                <w:lang w:val="en-US" w:eastAsia="zh-CN"/>
              </w:rPr>
              <w:t>校准周期</w:t>
            </w:r>
          </w:p>
        </w:tc>
      </w:tr>
      <w:tr w14:paraId="4D354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500" w:type="pct"/>
            <w:vAlign w:val="center"/>
          </w:tcPr>
          <w:p w14:paraId="7317D10C">
            <w:pPr>
              <w:pStyle w:val="59"/>
              <w:ind w:left="0" w:leftChars="0" w:firstLine="0" w:firstLineChars="0"/>
              <w:jc w:val="center"/>
              <w:rPr>
                <w:sz w:val="18"/>
                <w:szCs w:val="18"/>
              </w:rPr>
            </w:pPr>
            <w:r>
              <w:rPr>
                <w:rFonts w:hint="eastAsia"/>
                <w:sz w:val="18"/>
                <w:szCs w:val="18"/>
                <w:lang w:val="en-US" w:eastAsia="zh-CN"/>
              </w:rPr>
              <w:t>水位计、流量计</w:t>
            </w:r>
          </w:p>
        </w:tc>
        <w:tc>
          <w:tcPr>
            <w:tcW w:w="2500" w:type="pct"/>
            <w:vAlign w:val="center"/>
          </w:tcPr>
          <w:p w14:paraId="311F7E2C">
            <w:pPr>
              <w:pStyle w:val="59"/>
              <w:ind w:left="0" w:leftChars="0" w:firstLine="0" w:firstLineChars="0"/>
              <w:jc w:val="center"/>
              <w:rPr>
                <w:sz w:val="18"/>
                <w:szCs w:val="18"/>
              </w:rPr>
            </w:pPr>
            <w:r>
              <w:rPr>
                <w:rFonts w:hint="eastAsia"/>
                <w:sz w:val="18"/>
                <w:szCs w:val="18"/>
                <w:lang w:val="en-US" w:eastAsia="zh-CN"/>
              </w:rPr>
              <w:t>每年1次</w:t>
            </w:r>
          </w:p>
        </w:tc>
      </w:tr>
      <w:tr w14:paraId="5A0A3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500" w:type="pct"/>
            <w:vAlign w:val="center"/>
          </w:tcPr>
          <w:p w14:paraId="7916870B">
            <w:pPr>
              <w:pStyle w:val="59"/>
              <w:ind w:left="0" w:leftChars="0" w:firstLine="0" w:firstLineChars="0"/>
              <w:jc w:val="center"/>
              <w:rPr>
                <w:sz w:val="18"/>
                <w:szCs w:val="18"/>
              </w:rPr>
            </w:pPr>
            <w:r>
              <w:rPr>
                <w:rFonts w:hint="eastAsia"/>
                <w:sz w:val="18"/>
                <w:szCs w:val="18"/>
                <w:lang w:val="en-US" w:eastAsia="zh-CN"/>
              </w:rPr>
              <w:t>雨量计、蒸发器</w:t>
            </w:r>
          </w:p>
        </w:tc>
        <w:tc>
          <w:tcPr>
            <w:tcW w:w="2500" w:type="pct"/>
            <w:vAlign w:val="center"/>
          </w:tcPr>
          <w:p w14:paraId="08E09421">
            <w:pPr>
              <w:pStyle w:val="59"/>
              <w:ind w:left="0" w:leftChars="0" w:firstLine="0" w:firstLineChars="0"/>
              <w:jc w:val="center"/>
              <w:rPr>
                <w:sz w:val="18"/>
                <w:szCs w:val="18"/>
              </w:rPr>
            </w:pPr>
            <w:r>
              <w:rPr>
                <w:rFonts w:hint="eastAsia"/>
                <w:sz w:val="18"/>
                <w:szCs w:val="18"/>
                <w:lang w:val="en-US" w:eastAsia="zh-CN"/>
              </w:rPr>
              <w:t>每6个月1次</w:t>
            </w:r>
          </w:p>
        </w:tc>
      </w:tr>
      <w:tr w14:paraId="70CBE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500" w:type="pct"/>
            <w:vAlign w:val="center"/>
          </w:tcPr>
          <w:p w14:paraId="749EB660">
            <w:pPr>
              <w:pStyle w:val="59"/>
              <w:ind w:left="0" w:leftChars="0" w:firstLine="0" w:firstLineChars="0"/>
              <w:jc w:val="center"/>
              <w:rPr>
                <w:sz w:val="18"/>
                <w:szCs w:val="18"/>
              </w:rPr>
            </w:pPr>
            <w:r>
              <w:rPr>
                <w:rFonts w:hint="eastAsia"/>
                <w:sz w:val="18"/>
                <w:szCs w:val="18"/>
                <w:lang w:val="en-US" w:eastAsia="zh-CN"/>
              </w:rPr>
              <w:t>水质监测仪器（pH计、溶解氧仪等）</w:t>
            </w:r>
          </w:p>
        </w:tc>
        <w:tc>
          <w:tcPr>
            <w:tcW w:w="2500" w:type="pct"/>
            <w:vAlign w:val="center"/>
          </w:tcPr>
          <w:p w14:paraId="71FDBEFE">
            <w:pPr>
              <w:pStyle w:val="59"/>
              <w:ind w:left="0" w:leftChars="0" w:firstLine="0" w:firstLineChars="0"/>
              <w:jc w:val="center"/>
              <w:rPr>
                <w:sz w:val="18"/>
                <w:szCs w:val="18"/>
              </w:rPr>
            </w:pPr>
            <w:r>
              <w:rPr>
                <w:rFonts w:hint="eastAsia"/>
                <w:sz w:val="18"/>
                <w:szCs w:val="18"/>
                <w:lang w:val="en-US" w:eastAsia="zh-CN"/>
              </w:rPr>
              <w:t>每3个月1次</w:t>
            </w:r>
          </w:p>
        </w:tc>
      </w:tr>
      <w:tr w14:paraId="67C01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500" w:type="pct"/>
            <w:vAlign w:val="center"/>
          </w:tcPr>
          <w:p w14:paraId="1EA71FF1">
            <w:pPr>
              <w:pStyle w:val="59"/>
              <w:ind w:left="0" w:leftChars="0" w:firstLine="0" w:firstLineChars="0"/>
              <w:jc w:val="center"/>
              <w:rPr>
                <w:sz w:val="18"/>
                <w:szCs w:val="18"/>
              </w:rPr>
            </w:pPr>
            <w:r>
              <w:rPr>
                <w:rFonts w:hint="eastAsia"/>
                <w:sz w:val="18"/>
                <w:szCs w:val="18"/>
                <w:lang w:val="en-US" w:eastAsia="zh-CN"/>
              </w:rPr>
              <w:t>地下水水位计</w:t>
            </w:r>
          </w:p>
        </w:tc>
        <w:tc>
          <w:tcPr>
            <w:tcW w:w="2500" w:type="pct"/>
            <w:vAlign w:val="center"/>
          </w:tcPr>
          <w:p w14:paraId="299593E5">
            <w:pPr>
              <w:pStyle w:val="59"/>
              <w:ind w:left="0" w:leftChars="0" w:firstLine="0" w:firstLineChars="0"/>
              <w:jc w:val="center"/>
              <w:rPr>
                <w:sz w:val="18"/>
                <w:szCs w:val="18"/>
              </w:rPr>
            </w:pPr>
            <w:r>
              <w:rPr>
                <w:rFonts w:hint="eastAsia"/>
                <w:sz w:val="18"/>
                <w:szCs w:val="18"/>
                <w:lang w:val="en-US" w:eastAsia="zh-CN"/>
              </w:rPr>
              <w:t>每年1次</w:t>
            </w:r>
          </w:p>
        </w:tc>
      </w:tr>
    </w:tbl>
    <w:p w14:paraId="303ABC46">
      <w:pPr>
        <w:pStyle w:val="59"/>
        <w:ind w:left="0" w:leftChars="0" w:firstLine="0" w:firstLineChars="0"/>
        <w:rPr>
          <w:rFonts w:hint="eastAsia"/>
          <w:lang w:val="en-US" w:eastAsia="zh-CN"/>
        </w:rPr>
      </w:pPr>
      <w:r>
        <w:rPr>
          <w:rFonts w:hint="eastAsia"/>
          <w:lang w:val="en-US" w:eastAsia="zh-CN"/>
        </w:rPr>
        <w:t>4.3.3 监测设备应定期进行维护保养，日常维护包括清洁、检查、调试，及时排除设备故障，并建立设备维护档案，记录维护时间、维护内容、故障情况及处理结果。</w:t>
      </w:r>
    </w:p>
    <w:p w14:paraId="14FF41BC">
      <w:pPr>
        <w:pStyle w:val="108"/>
        <w:spacing w:before="120" w:after="120"/>
        <w:ind w:left="0" w:firstLine="0"/>
        <w:rPr>
          <w:rFonts w:hint="eastAsia"/>
          <w:lang w:val="en-US" w:eastAsia="zh-CN"/>
        </w:rPr>
      </w:pPr>
      <w:bookmarkStart w:id="83" w:name="_Toc16632"/>
      <w:r>
        <w:rPr>
          <w:rFonts w:hint="eastAsia"/>
          <w:lang w:val="en-US" w:eastAsia="zh-CN"/>
        </w:rPr>
        <w:t>环境要求</w:t>
      </w:r>
      <w:bookmarkEnd w:id="83"/>
    </w:p>
    <w:p w14:paraId="6E945A4C">
      <w:pPr>
        <w:pStyle w:val="59"/>
        <w:ind w:left="0" w:leftChars="0" w:firstLine="0" w:firstLineChars="0"/>
        <w:rPr>
          <w:rFonts w:hint="eastAsia"/>
          <w:lang w:val="en-US" w:eastAsia="zh-CN"/>
        </w:rPr>
      </w:pPr>
      <w:r>
        <w:rPr>
          <w:rFonts w:hint="eastAsia"/>
          <w:lang w:val="en-US" w:eastAsia="zh-CN"/>
        </w:rPr>
        <w:t>4.4.1 地面气象观测站的监测环境应符合GB 31221的规定，观测场周边障碍物高度与观测场边缘的距离应大于障碍物高度的10倍以上。</w:t>
      </w:r>
    </w:p>
    <w:p w14:paraId="42009140">
      <w:pPr>
        <w:pStyle w:val="59"/>
        <w:ind w:left="0" w:leftChars="0" w:firstLine="0" w:firstLineChars="0"/>
        <w:rPr>
          <w:rFonts w:hint="eastAsia"/>
          <w:lang w:val="en-US" w:eastAsia="zh-CN"/>
        </w:rPr>
      </w:pPr>
      <w:r>
        <w:rPr>
          <w:rFonts w:hint="eastAsia"/>
          <w:lang w:val="en-US" w:eastAsia="zh-CN"/>
        </w:rPr>
        <w:t>4.4.2 监测过程中应记录环境条件（如气温、风速、天气状况等），当环境条件超出监测设备适用范围时，应暂停监测，并注明原因，待环境条件恢复后再继续监测。</w:t>
      </w:r>
    </w:p>
    <w:bookmarkEnd w:id="82"/>
    <w:p w14:paraId="453C7DC0">
      <w:pPr>
        <w:pStyle w:val="107"/>
        <w:spacing w:before="240" w:after="240"/>
        <w:ind w:left="0" w:firstLine="0"/>
        <w:rPr>
          <w:szCs w:val="21"/>
          <w:lang w:val="en-US" w:eastAsia="zh-CN"/>
        </w:rPr>
      </w:pPr>
      <w:bookmarkStart w:id="84" w:name="_Toc3313"/>
      <w:r>
        <w:rPr>
          <w:rFonts w:hint="eastAsia"/>
          <w:szCs w:val="21"/>
          <w:lang w:val="en-US" w:eastAsia="zh-CN"/>
        </w:rPr>
        <w:t>监测前期质量管控</w:t>
      </w:r>
      <w:bookmarkEnd w:id="84"/>
    </w:p>
    <w:p w14:paraId="01F4FACC">
      <w:pPr>
        <w:pStyle w:val="108"/>
        <w:spacing w:before="120" w:after="120"/>
        <w:ind w:left="0" w:firstLine="0"/>
        <w:rPr>
          <w:lang w:val="en-US" w:eastAsia="zh-CN"/>
        </w:rPr>
      </w:pPr>
      <w:bookmarkStart w:id="85" w:name="_Toc9349"/>
      <w:r>
        <w:rPr>
          <w:rFonts w:hint="eastAsia"/>
          <w:lang w:val="en-US" w:eastAsia="zh-CN"/>
        </w:rPr>
        <w:t>监测方案编制</w:t>
      </w:r>
      <w:bookmarkEnd w:id="85"/>
    </w:p>
    <w:p w14:paraId="7250A27A">
      <w:pPr>
        <w:pStyle w:val="59"/>
        <w:ind w:left="0" w:leftChars="0" w:firstLine="0" w:firstLineChars="0"/>
        <w:rPr>
          <w:rFonts w:hint="eastAsia"/>
          <w:lang w:val="en-US" w:eastAsia="zh-CN"/>
        </w:rPr>
      </w:pPr>
      <w:r>
        <w:rPr>
          <w:rFonts w:hint="eastAsia"/>
          <w:lang w:val="en-US" w:eastAsia="zh-CN"/>
        </w:rPr>
        <w:t>5.1.1 监测前应编制详细的监测方案，明确监测目的、监测范围、监测要素、监测频次、监测方法、监测设备、人员配置、质量控制措施等内容。</w:t>
      </w:r>
    </w:p>
    <w:p w14:paraId="6125071A">
      <w:pPr>
        <w:pStyle w:val="59"/>
        <w:ind w:left="0" w:leftChars="0" w:firstLine="0" w:firstLineChars="0"/>
        <w:rPr>
          <w:rFonts w:hint="eastAsia"/>
          <w:lang w:val="en-US" w:eastAsia="zh-CN"/>
        </w:rPr>
      </w:pPr>
      <w:r>
        <w:rPr>
          <w:rFonts w:hint="eastAsia"/>
          <w:lang w:val="en-US" w:eastAsia="zh-CN"/>
        </w:rPr>
        <w:t>5.1.2 监测方案中应明确监测数据的精度要求、完整性要求和一致性要求，结合监测对象的水文特征，确定异常数据的判断标准和处理流程。</w:t>
      </w:r>
    </w:p>
    <w:p w14:paraId="58FD43C2">
      <w:pPr>
        <w:pStyle w:val="59"/>
        <w:ind w:left="0" w:leftChars="0" w:firstLine="0" w:firstLineChars="0"/>
        <w:rPr>
          <w:rFonts w:hint="eastAsia"/>
          <w:lang w:val="en-US" w:eastAsia="zh-CN"/>
        </w:rPr>
      </w:pPr>
      <w:r>
        <w:rPr>
          <w:rFonts w:hint="eastAsia"/>
          <w:lang w:val="en-US" w:eastAsia="zh-CN"/>
        </w:rPr>
        <w:t>5.1.3 监测方案应经技术审核合格后实施，审核内容包括方案的科学性、合理性、可行性，审核记录留存归档。</w:t>
      </w:r>
    </w:p>
    <w:p w14:paraId="736EA25F">
      <w:pPr>
        <w:pStyle w:val="108"/>
        <w:spacing w:before="120" w:after="120"/>
        <w:ind w:left="0" w:firstLine="0"/>
        <w:rPr>
          <w:lang w:val="en-US" w:eastAsia="zh-CN"/>
        </w:rPr>
      </w:pPr>
      <w:bookmarkStart w:id="86" w:name="_Toc26109"/>
      <w:r>
        <w:rPr>
          <w:rFonts w:hint="eastAsia"/>
          <w:lang w:val="en-US" w:eastAsia="zh-CN"/>
        </w:rPr>
        <w:t>监测站点布设</w:t>
      </w:r>
      <w:bookmarkEnd w:id="86"/>
    </w:p>
    <w:p w14:paraId="0E8F699E">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5.2.1 河流监测站点布设</w:t>
      </w:r>
    </w:p>
    <w:p w14:paraId="4F0B7187">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ascii="宋体" w:hAnsi="宋体" w:eastAsia="宋体" w:cs="宋体"/>
          <w:lang w:val="en-US" w:eastAsia="zh-CN"/>
        </w:rPr>
      </w:pPr>
      <w:r>
        <w:rPr>
          <w:rFonts w:hint="eastAsia" w:ascii="宋体" w:hAnsi="宋体" w:eastAsia="宋体" w:cs="宋体"/>
          <w:lang w:val="en-US" w:eastAsia="zh-CN"/>
        </w:rPr>
        <w:t>河流监测站点布设要求如下：</w:t>
      </w:r>
    </w:p>
    <w:p w14:paraId="6188DAC9">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a）干流监测站点间距宜为50km～100km，支流监测站点间距宜为30km～50km；</w:t>
      </w:r>
    </w:p>
    <w:p w14:paraId="1F777232">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b</w:t>
      </w:r>
      <w:r>
        <w:rPr>
          <w:rFonts w:hint="eastAsia" w:ascii="宋体" w:hAnsi="宋体" w:eastAsia="宋体" w:cs="宋体"/>
          <w:lang w:val="en-US" w:eastAsia="zh-CN"/>
        </w:rPr>
        <w:t>）中小河流监测站点间距可根据流域面积调整，流域面积≤1000km²时，间距宜为10km～30km；</w:t>
      </w:r>
    </w:p>
    <w:p w14:paraId="2BAA79E3">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c</w:t>
      </w:r>
      <w:r>
        <w:rPr>
          <w:rFonts w:hint="eastAsia" w:ascii="宋体" w:hAnsi="宋体" w:eastAsia="宋体" w:cs="宋体"/>
          <w:lang w:val="en-US" w:eastAsia="zh-CN"/>
        </w:rPr>
        <w:t>）监测断面应选择在河道顺直、河床稳定、水流均匀、无急弯、无浅滩的河段。</w:t>
      </w:r>
    </w:p>
    <w:p w14:paraId="270CA5D8">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5.2.2 地下水监测站点布设</w:t>
      </w:r>
    </w:p>
    <w:p w14:paraId="7B717A89">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地下水监测站点布设要求如下：</w:t>
      </w:r>
    </w:p>
    <w:p w14:paraId="3C4257FC">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a）平原区每100km²～200km²布设1个监测点，山丘区每50km²～100km²布设1个监测点；</w:t>
      </w:r>
    </w:p>
    <w:p w14:paraId="7E2B1FA8">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b</w:t>
      </w:r>
      <w:r>
        <w:rPr>
          <w:rFonts w:hint="eastAsia" w:ascii="宋体" w:hAnsi="宋体" w:eastAsia="宋体" w:cs="宋体"/>
          <w:lang w:val="en-US" w:eastAsia="zh-CN"/>
        </w:rPr>
        <w:t>）地下水开采集中区、地下水漏斗区等重点区域，监测点密度可提高至每50km²布设1个</w:t>
      </w:r>
    </w:p>
    <w:p w14:paraId="08FDF2CC">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c</w:t>
      </w:r>
      <w:r>
        <w:rPr>
          <w:rFonts w:hint="eastAsia" w:ascii="宋体" w:hAnsi="宋体" w:eastAsia="宋体" w:cs="宋体"/>
          <w:lang w:val="en-US" w:eastAsia="zh-CN"/>
        </w:rPr>
        <w:t>）监测井深度应根据含水层埋深确定，浅层地下水监测井深度宜为5m～20m，深层地下水监测井深度宜为20m～100m。</w:t>
      </w:r>
    </w:p>
    <w:bookmarkEnd w:id="4"/>
    <w:p w14:paraId="0D1DAA70">
      <w:pPr>
        <w:pStyle w:val="108"/>
        <w:spacing w:before="120" w:after="120"/>
        <w:ind w:left="0" w:firstLine="0"/>
        <w:rPr>
          <w:rFonts w:hint="eastAsia"/>
          <w:lang w:val="en-US" w:eastAsia="zh-CN"/>
        </w:rPr>
      </w:pPr>
      <w:bookmarkStart w:id="87" w:name="_Toc22762"/>
      <w:r>
        <w:rPr>
          <w:rFonts w:hint="eastAsia"/>
          <w:lang w:val="en-US" w:eastAsia="zh-CN"/>
        </w:rPr>
        <w:t>设备准备与调试</w:t>
      </w:r>
      <w:bookmarkEnd w:id="87"/>
    </w:p>
    <w:p w14:paraId="4D2AA358">
      <w:pPr>
        <w:pStyle w:val="59"/>
        <w:ind w:left="0" w:leftChars="0" w:firstLine="0" w:firstLineChars="0"/>
        <w:rPr>
          <w:rFonts w:hint="eastAsia"/>
          <w:lang w:val="en-US" w:eastAsia="zh-CN"/>
        </w:rPr>
      </w:pPr>
      <w:r>
        <w:rPr>
          <w:rFonts w:hint="eastAsia"/>
          <w:lang w:val="en-US" w:eastAsia="zh-CN"/>
        </w:rPr>
        <w:t>5.3.1 监测前应根据监测方案选择合适的监测设备，检查设备的外观、性能、量程等，设备应符合监测要求，设备合格证、校准证书等资料齐全。</w:t>
      </w:r>
    </w:p>
    <w:p w14:paraId="41E10D2D">
      <w:pPr>
        <w:pStyle w:val="59"/>
        <w:ind w:left="0" w:leftChars="0" w:firstLine="0" w:firstLineChars="0"/>
        <w:rPr>
          <w:rFonts w:hint="eastAsia"/>
          <w:lang w:val="en-US" w:eastAsia="zh-CN"/>
        </w:rPr>
      </w:pPr>
      <w:r>
        <w:rPr>
          <w:rFonts w:hint="eastAsia"/>
          <w:lang w:val="en-US" w:eastAsia="zh-CN"/>
        </w:rPr>
        <w:t>5.3.2 对监测设备进行现场调试，包括设备安装、参数设置、数据采集测试等，设备应运行正常，数据采集准确、稳定。</w:t>
      </w:r>
    </w:p>
    <w:p w14:paraId="56D2B6B2">
      <w:pPr>
        <w:pStyle w:val="59"/>
        <w:ind w:left="0" w:leftChars="0" w:firstLine="0" w:firstLineChars="0"/>
        <w:rPr>
          <w:rFonts w:hint="eastAsia"/>
          <w:lang w:val="en-US" w:eastAsia="zh-CN"/>
        </w:rPr>
      </w:pPr>
      <w:r>
        <w:rPr>
          <w:rFonts w:hint="eastAsia"/>
          <w:lang w:val="en-US" w:eastAsia="zh-CN"/>
        </w:rPr>
        <w:t>5.3.3 对于自动化监测设备，应测试数据传输功能，数据传输成功率应不低于98%。</w:t>
      </w:r>
    </w:p>
    <w:p w14:paraId="4ACB32F4">
      <w:pPr>
        <w:pStyle w:val="107"/>
        <w:spacing w:before="240" w:after="240"/>
        <w:ind w:left="0" w:firstLine="0"/>
        <w:rPr>
          <w:rFonts w:hint="default"/>
          <w:szCs w:val="21"/>
          <w:lang w:val="en-US" w:eastAsia="zh-CN"/>
        </w:rPr>
      </w:pPr>
      <w:bookmarkStart w:id="88" w:name="_Toc10832"/>
      <w:r>
        <w:rPr>
          <w:rFonts w:hint="default"/>
          <w:szCs w:val="21"/>
          <w:lang w:val="en-US" w:eastAsia="zh-CN"/>
        </w:rPr>
        <w:t>监测过程质量管控</w:t>
      </w:r>
      <w:bookmarkEnd w:id="88"/>
    </w:p>
    <w:p w14:paraId="373B2493">
      <w:pPr>
        <w:pStyle w:val="108"/>
        <w:spacing w:before="120" w:after="120"/>
        <w:ind w:left="0" w:firstLine="0"/>
        <w:rPr>
          <w:rFonts w:hint="default"/>
          <w:lang w:val="en-US" w:eastAsia="zh-CN"/>
        </w:rPr>
      </w:pPr>
      <w:bookmarkStart w:id="89" w:name="_Toc1799"/>
      <w:r>
        <w:rPr>
          <w:rFonts w:hint="default"/>
          <w:lang w:val="en-US" w:eastAsia="zh-CN"/>
        </w:rPr>
        <w:t>现场采集质量管控</w:t>
      </w:r>
      <w:bookmarkEnd w:id="89"/>
    </w:p>
    <w:p w14:paraId="50F30BFA">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6.1.1 水位监测</w:t>
      </w:r>
    </w:p>
    <w:p w14:paraId="22A3AFD3">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ascii="宋体" w:hAnsi="宋体" w:eastAsia="宋体" w:cs="宋体"/>
          <w:lang w:val="en-US" w:eastAsia="zh-CN"/>
        </w:rPr>
      </w:pPr>
      <w:r>
        <w:rPr>
          <w:rFonts w:hint="eastAsia" w:ascii="宋体" w:hAnsi="宋体" w:eastAsia="宋体" w:cs="宋体"/>
          <w:lang w:val="en-US" w:eastAsia="zh-CN"/>
        </w:rPr>
        <w:t>水位监测要求如下：</w:t>
      </w:r>
    </w:p>
    <w:p w14:paraId="1DB35FCD">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a）人工监测时，读数精确至0.01m，每天监测1～2次，洪水期每1～6小时监测1次，监测数据应与水位计记录数据核对，偏差不应超过0.02m；</w:t>
      </w:r>
    </w:p>
    <w:p w14:paraId="3387CEF0">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b</w:t>
      </w:r>
      <w:r>
        <w:rPr>
          <w:rFonts w:hint="eastAsia" w:ascii="宋体" w:hAnsi="宋体" w:eastAsia="宋体" w:cs="宋体"/>
          <w:lang w:val="en-US" w:eastAsia="zh-CN"/>
        </w:rPr>
        <w:t>）自动化监测时，采样频次宜为10～30分钟1次，数据记录精确至0.01m。</w:t>
      </w:r>
    </w:p>
    <w:p w14:paraId="26EE34DB">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6.1.2 流量监测</w:t>
      </w:r>
    </w:p>
    <w:p w14:paraId="6E97A353">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按照GB 50179的要求进行，采用流速仪法时，测速垂线数量不少于5条，每条垂线上测速点数量根据水深确定，流量计算误差不应超过±5%。</w:t>
      </w:r>
    </w:p>
    <w:p w14:paraId="4CE689C7">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6.1.4 降水量监测</w:t>
      </w:r>
    </w:p>
    <w:p w14:paraId="179F95BB">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降水量监测要求如下：</w:t>
      </w:r>
    </w:p>
    <w:p w14:paraId="651F1558">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a）雨量计应安装在空旷、无遮挡的位置，高度距地面1.2m～1.5m，人工监测时，每天8时、20时各监测1次，记录精确至0.1mm；</w:t>
      </w:r>
    </w:p>
    <w:p w14:paraId="75FD6D09">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hAnsi="宋体" w:cs="宋体"/>
          <w:lang w:val="en-US" w:eastAsia="zh-CN"/>
        </w:rPr>
        <w:t>b</w:t>
      </w:r>
      <w:r>
        <w:rPr>
          <w:rFonts w:hint="eastAsia" w:ascii="宋体" w:hAnsi="宋体" w:eastAsia="宋体" w:cs="宋体"/>
          <w:lang w:val="en-US" w:eastAsia="zh-CN"/>
        </w:rPr>
        <w:t>）自动化监测时，采样频次为1分钟1次，数据累计后记录。</w:t>
      </w:r>
    </w:p>
    <w:p w14:paraId="2089D1BA">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6.1.5 地下水水位监测</w:t>
      </w:r>
    </w:p>
    <w:p w14:paraId="75E1F2CE">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监测时应待水位稳定后再读数，读数精确至0.01m，每月监测1～2次，地下水开采期每5～10天监测1次，监测数据应记录监测井的井口高程，便于换算地下水位埋深。</w:t>
      </w:r>
    </w:p>
    <w:p w14:paraId="34C9E649">
      <w:pPr>
        <w:pStyle w:val="59"/>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6.1.6 水质监测</w:t>
      </w:r>
    </w:p>
    <w:p w14:paraId="4AF45D33">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按照HJ/T 91的要求进行，采样容器应清洗干净、无污染，采样时应去除水面漂浮物，采样深度为水面下0.5m处，采样后及时密封，标注采样时间、地点、采样人员等信息，在规定时间内送检。</w:t>
      </w:r>
    </w:p>
    <w:p w14:paraId="19BC5F99">
      <w:pPr>
        <w:pStyle w:val="108"/>
        <w:spacing w:before="120" w:after="120"/>
        <w:ind w:left="0" w:firstLine="0"/>
        <w:rPr>
          <w:rFonts w:hint="default"/>
          <w:lang w:val="en-US" w:eastAsia="zh-CN"/>
        </w:rPr>
      </w:pPr>
      <w:bookmarkStart w:id="90" w:name="_Toc20440"/>
      <w:r>
        <w:rPr>
          <w:rFonts w:hint="default"/>
          <w:lang w:val="en-US" w:eastAsia="zh-CN"/>
        </w:rPr>
        <w:t>数据记录质量管控</w:t>
      </w:r>
      <w:bookmarkEnd w:id="90"/>
    </w:p>
    <w:p w14:paraId="5E0B9DCF">
      <w:pPr>
        <w:pStyle w:val="59"/>
        <w:ind w:left="0" w:leftChars="0" w:firstLine="0" w:firstLineChars="0"/>
        <w:rPr>
          <w:rFonts w:hint="default"/>
          <w:lang w:val="en-US" w:eastAsia="zh-CN"/>
        </w:rPr>
      </w:pPr>
      <w:r>
        <w:rPr>
          <w:rFonts w:hint="default"/>
          <w:lang w:val="en-US" w:eastAsia="zh-CN"/>
        </w:rPr>
        <w:t>6.2.1 监测数据记录应采用统一的记录表格，记录表格格式见附录A。</w:t>
      </w:r>
    </w:p>
    <w:p w14:paraId="2F953C45">
      <w:pPr>
        <w:pStyle w:val="59"/>
        <w:ind w:left="0" w:leftChars="0" w:firstLine="0" w:firstLineChars="0"/>
        <w:rPr>
          <w:rFonts w:hint="default"/>
          <w:lang w:val="en-US" w:eastAsia="zh-CN"/>
        </w:rPr>
      </w:pPr>
      <w:r>
        <w:rPr>
          <w:rFonts w:hint="default"/>
          <w:lang w:val="en-US" w:eastAsia="zh-CN"/>
        </w:rPr>
        <w:t>6.2.2 记录数据时，应采用规范的计量单位</w:t>
      </w:r>
      <w:r>
        <w:rPr>
          <w:rFonts w:hint="eastAsia"/>
          <w:lang w:val="en-US" w:eastAsia="zh-CN"/>
        </w:rPr>
        <w:t>，</w:t>
      </w:r>
      <w:r>
        <w:rPr>
          <w:rFonts w:hint="default"/>
          <w:lang w:val="en-US" w:eastAsia="zh-CN"/>
        </w:rPr>
        <w:t>计量单位</w:t>
      </w:r>
      <w:r>
        <w:rPr>
          <w:rFonts w:hint="eastAsia"/>
          <w:lang w:val="en-US" w:eastAsia="zh-CN"/>
        </w:rPr>
        <w:t>应</w:t>
      </w:r>
      <w:r>
        <w:rPr>
          <w:rFonts w:hint="default"/>
          <w:lang w:val="en-US" w:eastAsia="zh-CN"/>
        </w:rPr>
        <w:t>符合GB/T 50095的</w:t>
      </w:r>
      <w:r>
        <w:rPr>
          <w:rFonts w:hint="eastAsia"/>
          <w:lang w:val="en-US" w:eastAsia="zh-CN"/>
        </w:rPr>
        <w:t>规定。</w:t>
      </w:r>
    </w:p>
    <w:p w14:paraId="692BB20C">
      <w:pPr>
        <w:pStyle w:val="59"/>
        <w:ind w:left="0" w:leftChars="0" w:firstLine="0" w:firstLineChars="0"/>
        <w:rPr>
          <w:rFonts w:hint="default"/>
          <w:lang w:val="en-US" w:eastAsia="zh-CN"/>
        </w:rPr>
      </w:pPr>
      <w:r>
        <w:rPr>
          <w:rFonts w:hint="default"/>
          <w:lang w:val="en-US" w:eastAsia="zh-CN"/>
        </w:rPr>
        <w:t>6.2.</w:t>
      </w:r>
      <w:r>
        <w:rPr>
          <w:rFonts w:hint="eastAsia"/>
          <w:lang w:val="en-US" w:eastAsia="zh-CN"/>
        </w:rPr>
        <w:t>3</w:t>
      </w:r>
      <w:r>
        <w:rPr>
          <w:rFonts w:hint="default"/>
          <w:lang w:val="en-US" w:eastAsia="zh-CN"/>
        </w:rPr>
        <w:t xml:space="preserve"> 自动化监测数据应自动记录并存储，同时备份至本地和云端，数据</w:t>
      </w:r>
      <w:r>
        <w:rPr>
          <w:rFonts w:hint="eastAsia"/>
          <w:lang w:val="en-US" w:eastAsia="zh-CN"/>
        </w:rPr>
        <w:t>应</w:t>
      </w:r>
      <w:r>
        <w:rPr>
          <w:rFonts w:hint="default"/>
          <w:lang w:val="en-US" w:eastAsia="zh-CN"/>
        </w:rPr>
        <w:t>不丢失、可追溯。</w:t>
      </w:r>
    </w:p>
    <w:p w14:paraId="6BE10B91">
      <w:pPr>
        <w:pStyle w:val="108"/>
        <w:spacing w:before="120" w:after="120"/>
        <w:ind w:left="0" w:firstLine="0"/>
        <w:rPr>
          <w:rFonts w:hint="default"/>
          <w:lang w:val="en-US" w:eastAsia="zh-CN"/>
        </w:rPr>
      </w:pPr>
      <w:bookmarkStart w:id="91" w:name="_Toc9075"/>
      <w:r>
        <w:rPr>
          <w:rFonts w:hint="default"/>
          <w:lang w:val="en-US" w:eastAsia="zh-CN"/>
        </w:rPr>
        <w:t>现场审核</w:t>
      </w:r>
      <w:bookmarkEnd w:id="91"/>
    </w:p>
    <w:p w14:paraId="594E1CE8">
      <w:pPr>
        <w:pStyle w:val="59"/>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default"/>
          <w:lang w:val="en-US" w:eastAsia="zh-CN"/>
        </w:rPr>
        <w:t>6.3.</w:t>
      </w:r>
      <w:r>
        <w:rPr>
          <w:rFonts w:hint="eastAsia"/>
          <w:lang w:val="en-US" w:eastAsia="zh-CN"/>
        </w:rPr>
        <w:t>1</w:t>
      </w:r>
      <w:r>
        <w:rPr>
          <w:rFonts w:hint="default"/>
          <w:lang w:val="en-US" w:eastAsia="zh-CN"/>
        </w:rPr>
        <w:t xml:space="preserve"> 完整性审核</w:t>
      </w:r>
    </w:p>
    <w:p w14:paraId="430CCE0B">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ascii="宋体" w:hAnsi="宋体" w:eastAsia="宋体" w:cs="宋体"/>
          <w:lang w:val="en-US" w:eastAsia="zh-CN"/>
        </w:rPr>
      </w:pPr>
      <w:r>
        <w:rPr>
          <w:rFonts w:hint="default" w:ascii="宋体" w:hAnsi="宋体" w:eastAsia="宋体" w:cs="宋体"/>
          <w:lang w:val="en-US" w:eastAsia="zh-CN"/>
        </w:rPr>
        <w:t>检查监测数据是否齐全，有无缺失、漏测、断记等情况，监测频次是否符合监测方案要求，记录内容是否完整。</w:t>
      </w:r>
    </w:p>
    <w:p w14:paraId="63B9292C">
      <w:pPr>
        <w:pStyle w:val="59"/>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default"/>
          <w:lang w:val="en-US" w:eastAsia="zh-CN"/>
        </w:rPr>
        <w:t>6.3.</w:t>
      </w:r>
      <w:r>
        <w:rPr>
          <w:rFonts w:hint="eastAsia"/>
          <w:lang w:val="en-US" w:eastAsia="zh-CN"/>
        </w:rPr>
        <w:t>2</w:t>
      </w:r>
      <w:r>
        <w:rPr>
          <w:rFonts w:hint="default"/>
          <w:lang w:val="en-US" w:eastAsia="zh-CN"/>
        </w:rPr>
        <w:t xml:space="preserve"> 准确性审核</w:t>
      </w:r>
    </w:p>
    <w:p w14:paraId="676FD1B5">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检查监测数据是否在正常范围内，是否符合水文规律，数据精度是否满足要求，与相邻监测时段的数据进行对比，判断数据是否合理。</w:t>
      </w:r>
    </w:p>
    <w:p w14:paraId="1C227EBB">
      <w:pPr>
        <w:pStyle w:val="59"/>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default"/>
          <w:lang w:val="en-US" w:eastAsia="zh-CN"/>
        </w:rPr>
        <w:t>6.3.</w:t>
      </w:r>
      <w:r>
        <w:rPr>
          <w:rFonts w:hint="eastAsia"/>
          <w:lang w:val="en-US" w:eastAsia="zh-CN"/>
        </w:rPr>
        <w:t>3</w:t>
      </w:r>
      <w:r>
        <w:rPr>
          <w:rFonts w:hint="default"/>
          <w:lang w:val="en-US" w:eastAsia="zh-CN"/>
        </w:rPr>
        <w:t xml:space="preserve"> 一致性审核</w:t>
      </w:r>
    </w:p>
    <w:p w14:paraId="649CE4B9">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检查同一监测设备不同时段的监测数据是否一致，不同监测设备对同一监测对象的监测数据是否吻合，若存在偏差，应分析原因，及时处理。</w:t>
      </w:r>
    </w:p>
    <w:p w14:paraId="761D8854">
      <w:pPr>
        <w:pStyle w:val="59"/>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default"/>
          <w:lang w:val="en-US" w:eastAsia="zh-CN"/>
        </w:rPr>
        <w:t>6.3.</w:t>
      </w:r>
      <w:r>
        <w:rPr>
          <w:rFonts w:hint="eastAsia"/>
          <w:lang w:val="en-US" w:eastAsia="zh-CN"/>
        </w:rPr>
        <w:t>4</w:t>
      </w:r>
      <w:r>
        <w:rPr>
          <w:rFonts w:hint="default"/>
          <w:lang w:val="en-US" w:eastAsia="zh-CN"/>
        </w:rPr>
        <w:t xml:space="preserve"> </w:t>
      </w:r>
      <w:r>
        <w:rPr>
          <w:rFonts w:hint="eastAsia"/>
          <w:lang w:val="en-US" w:eastAsia="zh-CN"/>
        </w:rPr>
        <w:t>审核记录</w:t>
      </w:r>
    </w:p>
    <w:p w14:paraId="3090622A">
      <w:pPr>
        <w:pStyle w:val="59"/>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现场审核合格后，监测人员</w:t>
      </w:r>
      <w:r>
        <w:rPr>
          <w:rFonts w:hint="eastAsia"/>
          <w:lang w:val="en-US" w:eastAsia="zh-CN"/>
        </w:rPr>
        <w:t>应</w:t>
      </w:r>
      <w:r>
        <w:rPr>
          <w:rFonts w:hint="default"/>
          <w:lang w:val="en-US" w:eastAsia="zh-CN"/>
        </w:rPr>
        <w:t>签字确认；审核不合格的，应重新采集数据，直至审核合格</w:t>
      </w:r>
      <w:r>
        <w:rPr>
          <w:rFonts w:hint="eastAsia"/>
          <w:lang w:val="en-US" w:eastAsia="zh-CN"/>
        </w:rPr>
        <w:t>，</w:t>
      </w:r>
      <w:r>
        <w:rPr>
          <w:rFonts w:hint="default"/>
          <w:lang w:val="en-US" w:eastAsia="zh-CN"/>
        </w:rPr>
        <w:t>现场审核记录</w:t>
      </w:r>
      <w:r>
        <w:rPr>
          <w:rFonts w:hint="eastAsia"/>
          <w:lang w:val="en-US" w:eastAsia="zh-CN"/>
        </w:rPr>
        <w:t>应</w:t>
      </w:r>
      <w:r>
        <w:rPr>
          <w:rFonts w:hint="default"/>
          <w:lang w:val="en-US" w:eastAsia="zh-CN"/>
        </w:rPr>
        <w:t>留存归档。</w:t>
      </w:r>
    </w:p>
    <w:p w14:paraId="157E5939">
      <w:pPr>
        <w:pStyle w:val="107"/>
        <w:spacing w:before="240" w:after="240"/>
        <w:ind w:left="0" w:firstLine="0"/>
        <w:rPr>
          <w:rFonts w:hint="eastAsia"/>
          <w:szCs w:val="21"/>
          <w:lang w:val="en-US" w:eastAsia="zh-CN"/>
        </w:rPr>
      </w:pPr>
      <w:bookmarkStart w:id="92" w:name="_Toc32169"/>
      <w:r>
        <w:rPr>
          <w:rFonts w:hint="eastAsia"/>
          <w:szCs w:val="21"/>
          <w:lang w:val="en-US" w:eastAsia="zh-CN"/>
        </w:rPr>
        <w:t>数据处理质量管控</w:t>
      </w:r>
      <w:bookmarkEnd w:id="92"/>
    </w:p>
    <w:p w14:paraId="23163D14">
      <w:pPr>
        <w:pStyle w:val="108"/>
        <w:spacing w:before="120" w:after="120"/>
        <w:ind w:left="0" w:firstLine="0"/>
        <w:rPr>
          <w:rFonts w:hint="eastAsia"/>
          <w:lang w:val="en-US" w:eastAsia="zh-CN"/>
        </w:rPr>
      </w:pPr>
      <w:bookmarkStart w:id="93" w:name="_Toc4708"/>
      <w:r>
        <w:rPr>
          <w:rFonts w:hint="eastAsia"/>
          <w:lang w:val="en-US" w:eastAsia="zh-CN"/>
        </w:rPr>
        <w:t>数据整理</w:t>
      </w:r>
      <w:bookmarkEnd w:id="93"/>
    </w:p>
    <w:p w14:paraId="4699926B">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7.1.1 监测数据采集完成后，应及时进行整理，将手工记录的数据录入计算机，录入过程中应认真核对，录入数据</w:t>
      </w:r>
      <w:r>
        <w:rPr>
          <w:rFonts w:hint="eastAsia" w:hAnsi="宋体" w:cs="宋体"/>
          <w:lang w:val="en-US" w:eastAsia="zh-CN"/>
        </w:rPr>
        <w:t>应</w:t>
      </w:r>
      <w:r>
        <w:rPr>
          <w:rFonts w:hint="eastAsia" w:ascii="宋体" w:hAnsi="宋体" w:eastAsia="宋体" w:cs="宋体"/>
          <w:lang w:val="en-US" w:eastAsia="zh-CN"/>
        </w:rPr>
        <w:t>与原始记录一致。</w:t>
      </w:r>
    </w:p>
    <w:p w14:paraId="2F2D289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7.1.2 对录入的数据进行分类整理，按监测站点、监测要素、监测时段进行分类归档，建立数据台账。</w:t>
      </w:r>
    </w:p>
    <w:p w14:paraId="2EB128D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7.1.3 整理过程中，若发现原始记录有误或数据缺失，应及时与现场监测人员沟通，核实情况，补充完善数据；若无法补充，应注明原因，留存相关说明资料。</w:t>
      </w:r>
    </w:p>
    <w:p w14:paraId="1F10E985">
      <w:pPr>
        <w:pStyle w:val="108"/>
        <w:spacing w:before="120" w:after="120"/>
        <w:ind w:left="0" w:firstLine="0"/>
        <w:rPr>
          <w:rFonts w:hint="eastAsia"/>
          <w:lang w:val="en-US" w:eastAsia="zh-CN"/>
        </w:rPr>
      </w:pPr>
      <w:bookmarkStart w:id="94" w:name="_Toc17097"/>
      <w:r>
        <w:rPr>
          <w:rFonts w:hint="eastAsia"/>
          <w:lang w:val="en-US" w:eastAsia="zh-CN"/>
        </w:rPr>
        <w:t>数据修正</w:t>
      </w:r>
      <w:bookmarkEnd w:id="94"/>
    </w:p>
    <w:p w14:paraId="32D9F6C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7.2.</w:t>
      </w:r>
      <w:r>
        <w:rPr>
          <w:rFonts w:hint="eastAsia" w:hAnsi="宋体" w:cs="宋体"/>
          <w:lang w:val="en-US" w:eastAsia="zh-CN"/>
        </w:rPr>
        <w:t>1</w:t>
      </w:r>
      <w:r>
        <w:rPr>
          <w:rFonts w:hint="eastAsia" w:ascii="宋体" w:hAnsi="宋体" w:eastAsia="宋体" w:cs="宋体"/>
          <w:lang w:val="en-US" w:eastAsia="zh-CN"/>
        </w:rPr>
        <w:t xml:space="preserve"> 系统误差修正</w:t>
      </w:r>
    </w:p>
    <w:p w14:paraId="272CCB6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420" w:firstLineChars="200"/>
        <w:textAlignment w:val="auto"/>
        <w:rPr>
          <w:rFonts w:hint="default" w:ascii="宋体" w:hAnsi="宋体" w:eastAsia="宋体" w:cs="宋体"/>
          <w:lang w:val="en-US" w:eastAsia="zh-CN"/>
        </w:rPr>
      </w:pPr>
      <w:r>
        <w:rPr>
          <w:rFonts w:hint="eastAsia" w:ascii="宋体" w:hAnsi="宋体" w:eastAsia="宋体" w:cs="宋体"/>
          <w:lang w:val="en-US" w:eastAsia="zh-CN"/>
        </w:rPr>
        <w:t>对于设备校准偏差、监测方法误差等系统误差，应根据校准证书、监测方法要求，采用线性修正、非线性修正等方法进行修正</w:t>
      </w:r>
      <w:r>
        <w:rPr>
          <w:rFonts w:hint="eastAsia" w:hAnsi="宋体" w:cs="宋体"/>
          <w:lang w:val="en-US" w:eastAsia="zh-CN"/>
        </w:rPr>
        <w:t>。</w:t>
      </w:r>
    </w:p>
    <w:p w14:paraId="1063E24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7.2.</w:t>
      </w:r>
      <w:r>
        <w:rPr>
          <w:rFonts w:hint="eastAsia" w:hAnsi="宋体" w:cs="宋体"/>
          <w:lang w:val="en-US" w:eastAsia="zh-CN"/>
        </w:rPr>
        <w:t xml:space="preserve">2 </w:t>
      </w:r>
      <w:r>
        <w:rPr>
          <w:rFonts w:hint="eastAsia" w:ascii="宋体" w:hAnsi="宋体" w:eastAsia="宋体" w:cs="宋体"/>
          <w:lang w:val="en-US" w:eastAsia="zh-CN"/>
        </w:rPr>
        <w:t>随机误差修正</w:t>
      </w:r>
    </w:p>
    <w:p w14:paraId="23C825B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对于随机误差，可采用多次测量取平均值的方法进行修正，测量次数不少于3次，平均值计算精确至小数点后两位。</w:t>
      </w:r>
    </w:p>
    <w:p w14:paraId="1EBABB1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7.2.</w:t>
      </w:r>
      <w:r>
        <w:rPr>
          <w:rFonts w:hint="eastAsia" w:hAnsi="宋体" w:cs="宋体"/>
          <w:lang w:val="en-US" w:eastAsia="zh-CN"/>
        </w:rPr>
        <w:t xml:space="preserve">3 </w:t>
      </w:r>
      <w:r>
        <w:rPr>
          <w:rFonts w:hint="eastAsia" w:ascii="宋体" w:hAnsi="宋体" w:eastAsia="宋体" w:cs="宋体"/>
          <w:lang w:val="en-US" w:eastAsia="zh-CN"/>
        </w:rPr>
        <w:t>过失误差修正</w:t>
      </w:r>
    </w:p>
    <w:p w14:paraId="647F71B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对于因人为操作失误、设备故障等导致的过失误差，应剔除异常数据，重新采集数据；若无法重新采集，应注明原因，将异常数据标注为无效数据，不</w:t>
      </w:r>
      <w:r>
        <w:rPr>
          <w:rFonts w:hint="eastAsia" w:hAnsi="宋体" w:cs="宋体"/>
          <w:lang w:val="en-US" w:eastAsia="zh-CN"/>
        </w:rPr>
        <w:t>应</w:t>
      </w:r>
      <w:r>
        <w:rPr>
          <w:rFonts w:hint="eastAsia" w:ascii="宋体" w:hAnsi="宋体" w:eastAsia="宋体" w:cs="宋体"/>
          <w:lang w:val="en-US" w:eastAsia="zh-CN"/>
        </w:rPr>
        <w:t>用于后续分析。</w:t>
      </w:r>
    </w:p>
    <w:p w14:paraId="60DE9625">
      <w:pPr>
        <w:pStyle w:val="108"/>
        <w:spacing w:before="120" w:after="120"/>
        <w:ind w:left="0" w:firstLine="0"/>
        <w:rPr>
          <w:rFonts w:hint="eastAsia"/>
          <w:lang w:val="en-US" w:eastAsia="zh-CN"/>
        </w:rPr>
      </w:pPr>
      <w:bookmarkStart w:id="95" w:name="_Toc7117"/>
      <w:r>
        <w:rPr>
          <w:rFonts w:hint="eastAsia"/>
          <w:lang w:val="en-US" w:eastAsia="zh-CN"/>
        </w:rPr>
        <w:t>数据存储与传输</w:t>
      </w:r>
      <w:bookmarkEnd w:id="95"/>
    </w:p>
    <w:p w14:paraId="3DD38C0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7.3.1 监测数据应采用双重存储方式，本地存储可采用硬盘、U盘等存储设备，云端存储应选择安全、可靠的云存储平台</w:t>
      </w:r>
      <w:r>
        <w:rPr>
          <w:rFonts w:hint="eastAsia" w:hAnsi="宋体" w:cs="宋体"/>
          <w:lang w:val="en-US" w:eastAsia="zh-CN"/>
        </w:rPr>
        <w:t>。</w:t>
      </w:r>
    </w:p>
    <w:p w14:paraId="071D05F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7.3.2 数据存储格式应采用通用格式（如Excel、CSV、数据库格式等），存储数据应包括原始监测数据、修正后数据、审核记录、设备信息等。</w:t>
      </w:r>
    </w:p>
    <w:p w14:paraId="7520DCD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eastAsia" w:ascii="宋体" w:hAnsi="宋体" w:eastAsia="宋体" w:cs="宋体"/>
          <w:lang w:val="en-US" w:eastAsia="zh-CN"/>
        </w:rPr>
      </w:pPr>
      <w:r>
        <w:rPr>
          <w:rFonts w:hint="eastAsia" w:ascii="宋体" w:hAnsi="宋体" w:eastAsia="宋体" w:cs="宋体"/>
          <w:lang w:val="en-US" w:eastAsia="zh-CN"/>
        </w:rPr>
        <w:t>7.3.3 数据传输应符合SL 651的要求，采用加密传输方式，传输成功率不低于98%，传输延迟不超过30分钟。</w:t>
      </w:r>
    </w:p>
    <w:p w14:paraId="398AFD3D">
      <w:pPr>
        <w:pStyle w:val="107"/>
        <w:spacing w:before="240" w:after="240"/>
        <w:ind w:left="0" w:firstLine="0"/>
        <w:rPr>
          <w:rFonts w:hint="default"/>
          <w:szCs w:val="21"/>
          <w:lang w:val="en-US" w:eastAsia="zh-CN"/>
        </w:rPr>
      </w:pPr>
      <w:bookmarkStart w:id="96" w:name="_Toc28762"/>
      <w:r>
        <w:rPr>
          <w:rFonts w:hint="default"/>
          <w:szCs w:val="21"/>
          <w:lang w:val="en-US" w:eastAsia="zh-CN"/>
        </w:rPr>
        <w:t>数据审核与验收</w:t>
      </w:r>
      <w:bookmarkEnd w:id="96"/>
    </w:p>
    <w:p w14:paraId="0BB011F1">
      <w:pPr>
        <w:pStyle w:val="108"/>
        <w:spacing w:before="120" w:after="120"/>
        <w:ind w:left="0" w:firstLine="0"/>
        <w:rPr>
          <w:rFonts w:hint="default"/>
          <w:lang w:val="en-US" w:eastAsia="zh-CN"/>
        </w:rPr>
      </w:pPr>
      <w:bookmarkStart w:id="97" w:name="_Toc14675"/>
      <w:r>
        <w:rPr>
          <w:rFonts w:hint="default"/>
          <w:lang w:val="en-US" w:eastAsia="zh-CN"/>
        </w:rPr>
        <w:t>室内审核</w:t>
      </w:r>
      <w:bookmarkEnd w:id="97"/>
    </w:p>
    <w:p w14:paraId="531175A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8.1.1 室内审核由专业审核人员负责，审核内容包括原始记录的完整性、规范性，录入数据的准确性，数据修正的合理性，异常数据的处理情况等。</w:t>
      </w:r>
    </w:p>
    <w:p w14:paraId="013F9CE8">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8.1.2 室内审核应采用“双人审核”制度，两名审核人员分别对数据进行审核，审核合格后，签字确认</w:t>
      </w:r>
      <w:r>
        <w:rPr>
          <w:rFonts w:hint="eastAsia" w:hAnsi="宋体" w:cs="宋体"/>
          <w:lang w:val="en-US" w:eastAsia="zh-CN"/>
        </w:rPr>
        <w:t>。</w:t>
      </w:r>
      <w:r>
        <w:rPr>
          <w:rFonts w:hint="default" w:ascii="宋体" w:hAnsi="宋体" w:eastAsia="宋体" w:cs="宋体"/>
          <w:lang w:val="en-US" w:eastAsia="zh-CN"/>
        </w:rPr>
        <w:t>8.1.3 室内审核应建立审核记录，记录审核时间、审核内容、审核结果、审核人员、整改情况等信息，审核记录留存归档，作为数据质量评价的依据。</w:t>
      </w:r>
    </w:p>
    <w:p w14:paraId="2AD1FDBA">
      <w:pPr>
        <w:pStyle w:val="108"/>
        <w:spacing w:before="120" w:after="120"/>
        <w:ind w:left="0" w:firstLine="0"/>
        <w:rPr>
          <w:rFonts w:hint="default"/>
          <w:lang w:val="en-US" w:eastAsia="zh-CN"/>
        </w:rPr>
      </w:pPr>
      <w:bookmarkStart w:id="98" w:name="_Toc6711"/>
      <w:r>
        <w:rPr>
          <w:rFonts w:hint="default"/>
          <w:lang w:val="en-US" w:eastAsia="zh-CN"/>
        </w:rPr>
        <w:t>数据验收</w:t>
      </w:r>
      <w:bookmarkEnd w:id="98"/>
    </w:p>
    <w:p w14:paraId="191E421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8.2.1 监测数据经室内审核合格后，应进行验收，验收内容包括监测方案的执行情况、监测数据的质量、数据整理和修正的规范性、归档资料的完整性。</w:t>
      </w:r>
    </w:p>
    <w:p w14:paraId="76BBEB2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8.2.2 验收</w:t>
      </w:r>
      <w:r>
        <w:rPr>
          <w:rFonts w:hint="eastAsia" w:hAnsi="宋体" w:cs="宋体"/>
          <w:lang w:val="en-US" w:eastAsia="zh-CN"/>
        </w:rPr>
        <w:t>应</w:t>
      </w:r>
      <w:r>
        <w:rPr>
          <w:rFonts w:hint="default" w:ascii="宋体" w:hAnsi="宋体" w:eastAsia="宋体" w:cs="宋体"/>
          <w:lang w:val="en-US" w:eastAsia="zh-CN"/>
        </w:rPr>
        <w:t>采用定量评价和定性评价相结合的方式，定量评价指标见表3</w:t>
      </w:r>
      <w:r>
        <w:rPr>
          <w:rFonts w:hint="eastAsia" w:hAnsi="宋体" w:cs="宋体"/>
          <w:lang w:val="en-US" w:eastAsia="zh-CN"/>
        </w:rPr>
        <w:t>，</w:t>
      </w:r>
      <w:r>
        <w:rPr>
          <w:rFonts w:hint="default" w:ascii="宋体" w:hAnsi="宋体" w:eastAsia="宋体" w:cs="宋体"/>
          <w:lang w:val="en-US" w:eastAsia="zh-CN"/>
        </w:rPr>
        <w:t>定性评价指标包括监测方案的科学性、监测过程的规范性、归档资料的完整性。</w:t>
      </w:r>
    </w:p>
    <w:p w14:paraId="3E95B552">
      <w:pPr>
        <w:pStyle w:val="237"/>
        <w:keepNext w:val="0"/>
        <w:keepLines w:val="0"/>
        <w:pageBreakBefore w:val="0"/>
        <w:widowControl/>
        <w:kinsoku/>
        <w:wordWrap/>
        <w:overflowPunct/>
        <w:topLinePunct w:val="0"/>
        <w:autoSpaceDE w:val="0"/>
        <w:autoSpaceDN w:val="0"/>
        <w:bidi w:val="0"/>
        <w:adjustRightInd/>
        <w:snapToGrid/>
        <w:spacing w:before="157" w:beforeLines="50" w:after="157" w:afterLines="50"/>
        <w:ind w:left="0" w:leftChars="0" w:firstLine="0" w:firstLineChars="0"/>
        <w:jc w:val="center"/>
        <w:textAlignment w:val="auto"/>
        <w:rPr>
          <w:rFonts w:hint="default" w:ascii="宋体" w:hAnsi="宋体" w:eastAsia="宋体" w:cs="宋体"/>
          <w:lang w:val="en-US" w:eastAsia="zh-CN"/>
        </w:rPr>
      </w:pPr>
      <w:r>
        <w:rPr>
          <w:rFonts w:hint="eastAsia" w:ascii="黑体" w:hAnsi="黑体" w:eastAsia="黑体" w:cs="黑体"/>
          <w:lang w:val="en-US" w:eastAsia="zh-CN"/>
        </w:rPr>
        <w:t>表3 定量评价指标</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5"/>
        <w:gridCol w:w="2336"/>
        <w:gridCol w:w="2337"/>
        <w:gridCol w:w="2336"/>
      </w:tblGrid>
      <w:tr w14:paraId="4337E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338" w:type="dxa"/>
            <w:vAlign w:val="center"/>
          </w:tcPr>
          <w:p w14:paraId="50871EE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评价指标</w:t>
            </w:r>
          </w:p>
        </w:tc>
        <w:tc>
          <w:tcPr>
            <w:tcW w:w="2338" w:type="dxa"/>
            <w:vAlign w:val="center"/>
          </w:tcPr>
          <w:p w14:paraId="3F62936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优秀标准</w:t>
            </w:r>
          </w:p>
        </w:tc>
        <w:tc>
          <w:tcPr>
            <w:tcW w:w="2339" w:type="dxa"/>
            <w:vAlign w:val="center"/>
          </w:tcPr>
          <w:p w14:paraId="21BDF25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合格标准</w:t>
            </w:r>
          </w:p>
        </w:tc>
        <w:tc>
          <w:tcPr>
            <w:tcW w:w="2339" w:type="dxa"/>
            <w:vAlign w:val="center"/>
          </w:tcPr>
          <w:p w14:paraId="1FBD4CA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不合格标准</w:t>
            </w:r>
          </w:p>
        </w:tc>
      </w:tr>
      <w:tr w14:paraId="32A7E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338" w:type="dxa"/>
            <w:vAlign w:val="center"/>
          </w:tcPr>
          <w:p w14:paraId="0DD982A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数据完整率</w:t>
            </w:r>
          </w:p>
        </w:tc>
        <w:tc>
          <w:tcPr>
            <w:tcW w:w="2338" w:type="dxa"/>
            <w:vAlign w:val="center"/>
          </w:tcPr>
          <w:p w14:paraId="569ECD9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≥99%</w:t>
            </w:r>
          </w:p>
        </w:tc>
        <w:tc>
          <w:tcPr>
            <w:tcW w:w="2339" w:type="dxa"/>
            <w:vAlign w:val="center"/>
          </w:tcPr>
          <w:p w14:paraId="6603436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95%</w:t>
            </w:r>
            <w:r>
              <w:rPr>
                <w:rFonts w:hint="eastAsia" w:hAnsi="宋体" w:cs="宋体"/>
                <w:sz w:val="18"/>
                <w:szCs w:val="18"/>
                <w:lang w:val="en-US" w:eastAsia="zh-CN"/>
              </w:rPr>
              <w:t>～</w:t>
            </w:r>
            <w:r>
              <w:rPr>
                <w:rFonts w:hint="default" w:ascii="宋体" w:hAnsi="宋体" w:eastAsia="宋体" w:cs="宋体"/>
                <w:sz w:val="18"/>
                <w:szCs w:val="18"/>
                <w:lang w:val="en-US" w:eastAsia="zh-CN"/>
              </w:rPr>
              <w:t>98%</w:t>
            </w:r>
          </w:p>
        </w:tc>
        <w:tc>
          <w:tcPr>
            <w:tcW w:w="2339" w:type="dxa"/>
            <w:vAlign w:val="center"/>
          </w:tcPr>
          <w:p w14:paraId="5D6715D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eastAsia" w:hAnsi="宋体" w:cs="宋体"/>
                <w:sz w:val="18"/>
                <w:szCs w:val="18"/>
                <w:lang w:val="en-US" w:eastAsia="zh-CN"/>
              </w:rPr>
              <w:t>＜</w:t>
            </w:r>
            <w:r>
              <w:rPr>
                <w:rFonts w:hint="default" w:ascii="宋体" w:hAnsi="宋体" w:eastAsia="宋体" w:cs="宋体"/>
                <w:sz w:val="18"/>
                <w:szCs w:val="18"/>
                <w:lang w:val="en-US" w:eastAsia="zh-CN"/>
              </w:rPr>
              <w:t>95%</w:t>
            </w:r>
          </w:p>
        </w:tc>
      </w:tr>
      <w:tr w14:paraId="00AD7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338" w:type="dxa"/>
            <w:vAlign w:val="center"/>
          </w:tcPr>
          <w:p w14:paraId="7EFA5BB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数据准确率</w:t>
            </w:r>
          </w:p>
        </w:tc>
        <w:tc>
          <w:tcPr>
            <w:tcW w:w="2338" w:type="dxa"/>
            <w:vAlign w:val="center"/>
          </w:tcPr>
          <w:p w14:paraId="4784CC6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≥98%</w:t>
            </w:r>
          </w:p>
        </w:tc>
        <w:tc>
          <w:tcPr>
            <w:tcW w:w="2339" w:type="dxa"/>
            <w:vAlign w:val="center"/>
          </w:tcPr>
          <w:p w14:paraId="0A243E6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95%</w:t>
            </w:r>
            <w:r>
              <w:rPr>
                <w:rFonts w:hint="eastAsia" w:hAnsi="宋体" w:cs="宋体"/>
                <w:sz w:val="18"/>
                <w:szCs w:val="18"/>
                <w:lang w:val="en-US" w:eastAsia="zh-CN"/>
              </w:rPr>
              <w:t>～</w:t>
            </w:r>
            <w:r>
              <w:rPr>
                <w:rFonts w:hint="default" w:ascii="宋体" w:hAnsi="宋体" w:eastAsia="宋体" w:cs="宋体"/>
                <w:sz w:val="18"/>
                <w:szCs w:val="18"/>
                <w:lang w:val="en-US" w:eastAsia="zh-CN"/>
              </w:rPr>
              <w:t>97%</w:t>
            </w:r>
          </w:p>
        </w:tc>
        <w:tc>
          <w:tcPr>
            <w:tcW w:w="2339" w:type="dxa"/>
            <w:vAlign w:val="center"/>
          </w:tcPr>
          <w:p w14:paraId="17F6B4F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eastAsia" w:hAnsi="宋体" w:cs="宋体"/>
                <w:sz w:val="18"/>
                <w:szCs w:val="18"/>
                <w:lang w:val="en-US" w:eastAsia="zh-CN"/>
              </w:rPr>
              <w:t>＜</w:t>
            </w:r>
            <w:r>
              <w:rPr>
                <w:rFonts w:hint="default" w:ascii="宋体" w:hAnsi="宋体" w:eastAsia="宋体" w:cs="宋体"/>
                <w:sz w:val="18"/>
                <w:szCs w:val="18"/>
                <w:lang w:val="en-US" w:eastAsia="zh-CN"/>
              </w:rPr>
              <w:t>95%</w:t>
            </w:r>
          </w:p>
        </w:tc>
      </w:tr>
      <w:tr w14:paraId="6BE67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338" w:type="dxa"/>
            <w:vAlign w:val="center"/>
          </w:tcPr>
          <w:p w14:paraId="42FF38F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数据一致性</w:t>
            </w:r>
          </w:p>
        </w:tc>
        <w:tc>
          <w:tcPr>
            <w:tcW w:w="2338" w:type="dxa"/>
            <w:vAlign w:val="center"/>
          </w:tcPr>
          <w:p w14:paraId="10AD68E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偏差≤±2%</w:t>
            </w:r>
          </w:p>
        </w:tc>
        <w:tc>
          <w:tcPr>
            <w:tcW w:w="2339" w:type="dxa"/>
            <w:vAlign w:val="center"/>
          </w:tcPr>
          <w:p w14:paraId="2A6F1F1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±2%</w:t>
            </w:r>
            <w:r>
              <w:rPr>
                <w:rFonts w:hint="eastAsia" w:hAnsi="宋体" w:cs="宋体"/>
                <w:sz w:val="18"/>
                <w:szCs w:val="18"/>
                <w:lang w:val="en-US" w:eastAsia="zh-CN"/>
              </w:rPr>
              <w:t>～</w:t>
            </w:r>
            <w:r>
              <w:rPr>
                <w:rFonts w:hint="default" w:ascii="宋体" w:hAnsi="宋体" w:eastAsia="宋体" w:cs="宋体"/>
                <w:sz w:val="18"/>
                <w:szCs w:val="18"/>
                <w:lang w:val="en-US" w:eastAsia="zh-CN"/>
              </w:rPr>
              <w:t>±5%</w:t>
            </w:r>
          </w:p>
        </w:tc>
        <w:tc>
          <w:tcPr>
            <w:tcW w:w="2339" w:type="dxa"/>
            <w:vAlign w:val="center"/>
          </w:tcPr>
          <w:p w14:paraId="681549F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eastAsia" w:hAnsi="宋体" w:cs="宋体"/>
                <w:sz w:val="18"/>
                <w:szCs w:val="18"/>
                <w:lang w:val="en-US" w:eastAsia="zh-CN"/>
              </w:rPr>
              <w:t>＞</w:t>
            </w:r>
            <w:r>
              <w:rPr>
                <w:rFonts w:hint="default" w:ascii="宋体" w:hAnsi="宋体" w:eastAsia="宋体" w:cs="宋体"/>
                <w:sz w:val="18"/>
                <w:szCs w:val="18"/>
                <w:lang w:val="en-US" w:eastAsia="zh-CN"/>
              </w:rPr>
              <w:t>±5%</w:t>
            </w:r>
          </w:p>
        </w:tc>
      </w:tr>
      <w:tr w14:paraId="4D7D3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2338" w:type="dxa"/>
            <w:vAlign w:val="center"/>
          </w:tcPr>
          <w:p w14:paraId="0EEC0F9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数据传输成功率</w:t>
            </w:r>
          </w:p>
        </w:tc>
        <w:tc>
          <w:tcPr>
            <w:tcW w:w="2338" w:type="dxa"/>
            <w:vAlign w:val="center"/>
          </w:tcPr>
          <w:p w14:paraId="2C236A1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≥99%</w:t>
            </w:r>
          </w:p>
        </w:tc>
        <w:tc>
          <w:tcPr>
            <w:tcW w:w="2339" w:type="dxa"/>
            <w:vAlign w:val="center"/>
          </w:tcPr>
          <w:p w14:paraId="6824FA3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98%</w:t>
            </w:r>
            <w:r>
              <w:rPr>
                <w:rFonts w:hint="eastAsia" w:hAnsi="宋体" w:cs="宋体"/>
                <w:sz w:val="18"/>
                <w:szCs w:val="18"/>
                <w:lang w:val="en-US" w:eastAsia="zh-CN"/>
              </w:rPr>
              <w:t>～</w:t>
            </w:r>
            <w:r>
              <w:rPr>
                <w:rFonts w:hint="default" w:ascii="宋体" w:hAnsi="宋体" w:eastAsia="宋体" w:cs="宋体"/>
                <w:sz w:val="18"/>
                <w:szCs w:val="18"/>
                <w:lang w:val="en-US" w:eastAsia="zh-CN"/>
              </w:rPr>
              <w:t>98.9%</w:t>
            </w:r>
          </w:p>
        </w:tc>
        <w:tc>
          <w:tcPr>
            <w:tcW w:w="2339" w:type="dxa"/>
            <w:vAlign w:val="center"/>
          </w:tcPr>
          <w:p w14:paraId="25C0EDB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eastAsia" w:hAnsi="宋体" w:cs="宋体"/>
                <w:sz w:val="18"/>
                <w:szCs w:val="18"/>
                <w:lang w:val="en-US" w:eastAsia="zh-CN"/>
              </w:rPr>
              <w:t>＜</w:t>
            </w:r>
            <w:r>
              <w:rPr>
                <w:rFonts w:hint="default" w:ascii="宋体" w:hAnsi="宋体" w:eastAsia="宋体" w:cs="宋体"/>
                <w:sz w:val="18"/>
                <w:szCs w:val="18"/>
                <w:lang w:val="en-US" w:eastAsia="zh-CN"/>
              </w:rPr>
              <w:t>98%</w:t>
            </w:r>
          </w:p>
        </w:tc>
      </w:tr>
    </w:tbl>
    <w:p w14:paraId="69F1DC6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8.2.3 验收合格的监测数据，方可用于水文分析、水资源管理等工作；验收不合格的，应责令相关人员限期整改，整改后重新验收，直至验收合格；若无法整改，应宣布监测数据无效，重新组织监测。</w:t>
      </w:r>
    </w:p>
    <w:p w14:paraId="2E3ADCC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r>
        <w:rPr>
          <w:rFonts w:hint="default" w:ascii="宋体" w:hAnsi="宋体" w:eastAsia="宋体" w:cs="宋体"/>
          <w:lang w:val="en-US" w:eastAsia="zh-CN"/>
        </w:rPr>
        <w:t>8.2.4 验收完成后，应出具验收报告，验收报告内容包括验收概况、验收内容、验收结果、存在问题及整改建议等，验收报告由验收人员签字确认，留存归档。</w:t>
      </w:r>
    </w:p>
    <w:p w14:paraId="46D750C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2A229BE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sectPr>
          <w:footerReference r:id="rId12" w:type="default"/>
          <w:pgSz w:w="11906" w:h="16838"/>
          <w:pgMar w:top="1928" w:right="1134" w:bottom="1134" w:left="1134" w:header="1418" w:footer="1134" w:gutter="284"/>
          <w:pgNumType w:fmt="decimal" w:start="1"/>
          <w:cols w:space="425" w:num="1"/>
          <w:formProt w:val="0"/>
          <w:docGrid w:linePitch="312" w:charSpace="0"/>
        </w:sectPr>
      </w:pPr>
    </w:p>
    <w:p w14:paraId="280A882A">
      <w:pPr>
        <w:pStyle w:val="79"/>
        <w:bidi w:val="0"/>
        <w:rPr>
          <w:rFonts w:hint="eastAsia" w:ascii="黑体" w:hAnsi="Calibri" w:eastAsia="黑体" w:cs="Times New Roman"/>
          <w:kern w:val="0"/>
          <w:sz w:val="21"/>
          <w:szCs w:val="20"/>
          <w:lang w:val="en-US" w:eastAsia="zh-CN" w:bidi="ar-SA"/>
        </w:rPr>
      </w:pPr>
      <w:bookmarkStart w:id="99" w:name="_Toc28106"/>
      <w:bookmarkStart w:id="100" w:name="_Toc25771"/>
      <w:bookmarkStart w:id="101" w:name="_Toc5563"/>
      <w:bookmarkStart w:id="102" w:name="_Toc21774"/>
      <w:r>
        <w:rPr>
          <w:rFonts w:hint="eastAsia" w:ascii="黑体" w:hAnsi="Calibri" w:eastAsia="黑体" w:cs="Times New Roman"/>
          <w:kern w:val="0"/>
          <w:sz w:val="21"/>
          <w:szCs w:val="20"/>
          <w:lang w:val="en-US" w:eastAsia="zh-CN" w:bidi="ar-SA"/>
        </w:rPr>
        <w:br w:type="textWrapping"/>
      </w:r>
      <w:r>
        <w:rPr>
          <w:rFonts w:hint="eastAsia" w:ascii="黑体" w:hAnsi="Calibri" w:eastAsia="黑体" w:cs="Times New Roman"/>
          <w:kern w:val="0"/>
          <w:sz w:val="21"/>
          <w:szCs w:val="20"/>
          <w:lang w:val="en-US" w:eastAsia="zh-CN" w:bidi="ar-SA"/>
        </w:rPr>
        <w:t>（规范性）</w:t>
      </w:r>
      <w:r>
        <w:rPr>
          <w:rFonts w:hint="eastAsia" w:ascii="黑体" w:hAnsi="Calibri" w:eastAsia="黑体" w:cs="Times New Roman"/>
          <w:kern w:val="0"/>
          <w:sz w:val="21"/>
          <w:szCs w:val="20"/>
          <w:lang w:val="en-US" w:eastAsia="zh-CN" w:bidi="ar-SA"/>
        </w:rPr>
        <w:br w:type="textWrapping"/>
      </w:r>
      <w:bookmarkEnd w:id="99"/>
      <w:bookmarkEnd w:id="100"/>
      <w:bookmarkEnd w:id="101"/>
      <w:r>
        <w:rPr>
          <w:rStyle w:val="243"/>
          <w:rFonts w:hint="eastAsia" w:hAnsi="Calibri" w:cs="Times New Roman"/>
          <w:sz w:val="21"/>
          <w:lang w:val="en-US" w:eastAsia="zh-CN" w:bidi="ar-SA"/>
        </w:rPr>
        <w:t>陆地水文野外监测数据记录表</w:t>
      </w:r>
      <w:bookmarkEnd w:id="102"/>
    </w:p>
    <w:p w14:paraId="21C2987B">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420" w:firstLineChars="200"/>
        <w:textAlignment w:val="auto"/>
        <w:rPr>
          <w:rFonts w:hint="default" w:ascii="宋体" w:hAnsi="宋体" w:eastAsia="宋体" w:cs="宋体"/>
          <w:lang w:val="en-US" w:eastAsia="zh-CN"/>
        </w:rPr>
      </w:pPr>
      <w:r>
        <w:rPr>
          <w:rFonts w:hint="default" w:ascii="宋体" w:hAnsi="宋体" w:eastAsia="宋体" w:cs="宋体"/>
          <w:lang w:val="en-US" w:eastAsia="zh-CN"/>
        </w:rPr>
        <w:t>陆地水文野外监测数据记录表</w:t>
      </w:r>
      <w:r>
        <w:rPr>
          <w:rFonts w:hint="eastAsia" w:hAnsi="宋体" w:cs="宋体"/>
          <w:lang w:val="en-US" w:eastAsia="zh-CN"/>
        </w:rPr>
        <w:t>见表A.1。</w:t>
      </w:r>
    </w:p>
    <w:p w14:paraId="48D804EF">
      <w:pPr>
        <w:pStyle w:val="237"/>
        <w:keepNext w:val="0"/>
        <w:keepLines w:val="0"/>
        <w:pageBreakBefore w:val="0"/>
        <w:widowControl/>
        <w:kinsoku/>
        <w:wordWrap/>
        <w:overflowPunct/>
        <w:topLinePunct w:val="0"/>
        <w:autoSpaceDE w:val="0"/>
        <w:autoSpaceDN w:val="0"/>
        <w:bidi w:val="0"/>
        <w:adjustRightInd/>
        <w:snapToGrid/>
        <w:spacing w:before="157" w:beforeLines="50" w:after="157" w:afterLines="50"/>
        <w:ind w:left="0" w:leftChars="0" w:firstLine="0" w:firstLineChars="0"/>
        <w:jc w:val="center"/>
        <w:textAlignment w:val="auto"/>
        <w:rPr>
          <w:rFonts w:hint="default" w:ascii="宋体" w:hAnsi="宋体" w:eastAsia="宋体" w:cs="宋体"/>
          <w:lang w:val="en-US" w:eastAsia="zh-CN"/>
        </w:rPr>
      </w:pPr>
      <w:r>
        <w:rPr>
          <w:rFonts w:hint="eastAsia" w:ascii="黑体" w:hAnsi="黑体" w:eastAsia="黑体" w:cs="黑体"/>
          <w:lang w:val="en-US" w:eastAsia="zh-CN"/>
        </w:rPr>
        <w:t>表A.1 陆地水文野外监测数据记录表</w:t>
      </w:r>
      <w:bookmarkStart w:id="103" w:name="_GoBack"/>
      <w:bookmarkEnd w:id="103"/>
    </w:p>
    <w:tbl>
      <w:tblPr>
        <w:tblStyle w:val="30"/>
        <w:tblW w:w="511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7"/>
        <w:gridCol w:w="458"/>
        <w:gridCol w:w="460"/>
        <w:gridCol w:w="919"/>
        <w:gridCol w:w="920"/>
        <w:gridCol w:w="461"/>
        <w:gridCol w:w="459"/>
        <w:gridCol w:w="920"/>
        <w:gridCol w:w="920"/>
        <w:gridCol w:w="920"/>
        <w:gridCol w:w="920"/>
        <w:gridCol w:w="935"/>
      </w:tblGrid>
      <w:tr w14:paraId="0B8E5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12"/>
            <w:vAlign w:val="center"/>
          </w:tcPr>
          <w:p w14:paraId="1C41E74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陆地水文野外监测数据记录表</w:t>
            </w:r>
          </w:p>
        </w:tc>
      </w:tr>
      <w:tr w14:paraId="0300C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63" w:type="pct"/>
            <w:vAlign w:val="center"/>
          </w:tcPr>
          <w:p w14:paraId="59AB502B">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监测站点名称</w:t>
            </w:r>
          </w:p>
        </w:tc>
        <w:tc>
          <w:tcPr>
            <w:tcW w:w="481" w:type="pct"/>
            <w:gridSpan w:val="2"/>
            <w:vAlign w:val="center"/>
          </w:tcPr>
          <w:p w14:paraId="4D267D1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站点编号</w:t>
            </w:r>
          </w:p>
        </w:tc>
        <w:tc>
          <w:tcPr>
            <w:tcW w:w="481" w:type="pct"/>
            <w:vAlign w:val="center"/>
          </w:tcPr>
          <w:p w14:paraId="550EF28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监测日期</w:t>
            </w:r>
          </w:p>
        </w:tc>
        <w:tc>
          <w:tcPr>
            <w:tcW w:w="481" w:type="pct"/>
            <w:vAlign w:val="center"/>
          </w:tcPr>
          <w:p w14:paraId="7A1FC38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监测时间</w:t>
            </w:r>
          </w:p>
        </w:tc>
        <w:tc>
          <w:tcPr>
            <w:tcW w:w="481" w:type="pct"/>
            <w:gridSpan w:val="2"/>
            <w:vAlign w:val="center"/>
          </w:tcPr>
          <w:p w14:paraId="0ED9F12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监测要素</w:t>
            </w:r>
          </w:p>
        </w:tc>
        <w:tc>
          <w:tcPr>
            <w:tcW w:w="481" w:type="pct"/>
            <w:vAlign w:val="center"/>
          </w:tcPr>
          <w:p w14:paraId="26F3B75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监测数值</w:t>
            </w:r>
          </w:p>
        </w:tc>
        <w:tc>
          <w:tcPr>
            <w:tcW w:w="481" w:type="pct"/>
            <w:vAlign w:val="center"/>
          </w:tcPr>
          <w:p w14:paraId="794647E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计量单位</w:t>
            </w:r>
          </w:p>
        </w:tc>
        <w:tc>
          <w:tcPr>
            <w:tcW w:w="481" w:type="pct"/>
            <w:vAlign w:val="center"/>
          </w:tcPr>
          <w:p w14:paraId="0760A968">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设备编号</w:t>
            </w:r>
          </w:p>
        </w:tc>
        <w:tc>
          <w:tcPr>
            <w:tcW w:w="481" w:type="pct"/>
            <w:vAlign w:val="center"/>
          </w:tcPr>
          <w:p w14:paraId="7360938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环境条件</w:t>
            </w:r>
          </w:p>
        </w:tc>
        <w:tc>
          <w:tcPr>
            <w:tcW w:w="482" w:type="pct"/>
            <w:vAlign w:val="center"/>
          </w:tcPr>
          <w:p w14:paraId="69200BF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采集人员</w:t>
            </w:r>
          </w:p>
        </w:tc>
      </w:tr>
      <w:tr w14:paraId="1CE9D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63" w:type="pct"/>
            <w:vAlign w:val="center"/>
          </w:tcPr>
          <w:p w14:paraId="21E7271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1DF50D2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2AF862E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16C70DC7">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05BCB9B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4746B72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554F1EA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56B2145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44EA25F7">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2" w:type="pct"/>
            <w:vAlign w:val="center"/>
          </w:tcPr>
          <w:p w14:paraId="2254723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r>
      <w:tr w14:paraId="763B1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63" w:type="pct"/>
            <w:vAlign w:val="center"/>
          </w:tcPr>
          <w:p w14:paraId="367A83C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0937D0D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7F2F105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239D030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4B6D93A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29FC05A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547B6BB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072A344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29A2A4F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2" w:type="pct"/>
            <w:vAlign w:val="center"/>
          </w:tcPr>
          <w:p w14:paraId="149B82EA">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r>
      <w:tr w14:paraId="68F26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63" w:type="pct"/>
            <w:vAlign w:val="center"/>
          </w:tcPr>
          <w:p w14:paraId="28C86AE9">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250C669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7A26F37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5E25503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gridSpan w:val="2"/>
            <w:vAlign w:val="center"/>
          </w:tcPr>
          <w:p w14:paraId="5082219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689093C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4DC3894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3290648B">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1" w:type="pct"/>
            <w:vAlign w:val="center"/>
          </w:tcPr>
          <w:p w14:paraId="39AEF53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482" w:type="pct"/>
            <w:vAlign w:val="center"/>
          </w:tcPr>
          <w:p w14:paraId="2A7D6463">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r>
      <w:tr w14:paraId="30D94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3" w:type="pct"/>
            <w:gridSpan w:val="2"/>
            <w:vAlign w:val="center"/>
          </w:tcPr>
          <w:p w14:paraId="51E3514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现场审核意见</w:t>
            </w:r>
          </w:p>
        </w:tc>
        <w:tc>
          <w:tcPr>
            <w:tcW w:w="1444" w:type="pct"/>
            <w:gridSpan w:val="4"/>
            <w:vAlign w:val="center"/>
          </w:tcPr>
          <w:p w14:paraId="343FBF2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2652" w:type="pct"/>
            <w:gridSpan w:val="6"/>
            <w:vAlign w:val="center"/>
          </w:tcPr>
          <w:p w14:paraId="25BACB7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审核人员签字：__________ 审核日期：__________</w:t>
            </w:r>
          </w:p>
        </w:tc>
      </w:tr>
      <w:tr w14:paraId="0CCB1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3" w:type="pct"/>
            <w:gridSpan w:val="2"/>
            <w:vAlign w:val="center"/>
          </w:tcPr>
          <w:p w14:paraId="52745D6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室内审核意见</w:t>
            </w:r>
          </w:p>
        </w:tc>
        <w:tc>
          <w:tcPr>
            <w:tcW w:w="1444" w:type="pct"/>
            <w:gridSpan w:val="4"/>
            <w:vAlign w:val="center"/>
          </w:tcPr>
          <w:p w14:paraId="452FEDD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p>
        </w:tc>
        <w:tc>
          <w:tcPr>
            <w:tcW w:w="2652" w:type="pct"/>
            <w:gridSpan w:val="6"/>
            <w:vAlign w:val="center"/>
          </w:tcPr>
          <w:p w14:paraId="7A8FEE8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jc w:val="center"/>
              <w:textAlignment w:val="auto"/>
              <w:rPr>
                <w:sz w:val="18"/>
                <w:szCs w:val="18"/>
              </w:rPr>
            </w:pPr>
            <w:r>
              <w:rPr>
                <w:rFonts w:hint="default" w:ascii="宋体" w:hAnsi="宋体" w:eastAsia="宋体" w:cs="宋体"/>
                <w:sz w:val="18"/>
                <w:szCs w:val="18"/>
                <w:lang w:val="en-US" w:eastAsia="zh-CN"/>
              </w:rPr>
              <w:t>审核人员签字：__________ 审核日期：__________</w:t>
            </w:r>
          </w:p>
        </w:tc>
      </w:tr>
    </w:tbl>
    <w:p w14:paraId="2AA19E38">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6F82FF70">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6C0582B1">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12CC3C27">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3364E5FF">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669587BE">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6F5500DD">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7F7AAF92">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0DA0AA1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254823C5">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3E2AB954">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373D1608">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01A87676">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00BCD34C">
      <w:pPr>
        <w:pStyle w:val="237"/>
        <w:keepNext w:val="0"/>
        <w:keepLines w:val="0"/>
        <w:pageBreakBefore w:val="0"/>
        <w:widowControl/>
        <w:kinsoku/>
        <w:wordWrap/>
        <w:overflowPunct/>
        <w:topLinePunct w:val="0"/>
        <w:autoSpaceDE w:val="0"/>
        <w:autoSpaceDN w:val="0"/>
        <w:bidi w:val="0"/>
        <w:adjustRightInd/>
        <w:snapToGrid/>
        <w:spacing w:line="240" w:lineRule="auto"/>
        <w:ind w:left="0" w:leftChars="0" w:firstLine="0" w:firstLineChars="0"/>
        <w:textAlignment w:val="auto"/>
        <w:rPr>
          <w:rFonts w:hint="default" w:ascii="宋体" w:hAnsi="宋体" w:eastAsia="宋体" w:cs="宋体"/>
          <w:lang w:val="en-US" w:eastAsia="zh-CN"/>
        </w:rPr>
      </w:pPr>
    </w:p>
    <w:p w14:paraId="6C814DB2">
      <w:pPr>
        <w:pStyle w:val="237"/>
        <w:keepNext w:val="0"/>
        <w:keepLines w:val="0"/>
        <w:pageBreakBefore w:val="0"/>
        <w:framePr w:wrap="around" w:vAnchor="text" w:hAnchor="page" w:x="4495" w:y="143"/>
        <w:widowControl/>
        <w:kinsoku/>
        <w:wordWrap/>
        <w:overflowPunct/>
        <w:topLinePunct w:val="0"/>
        <w:autoSpaceDE w:val="0"/>
        <w:autoSpaceDN w:val="0"/>
        <w:bidi w:val="0"/>
        <w:adjustRightInd/>
        <w:snapToGrid/>
        <w:spacing w:line="240" w:lineRule="auto"/>
        <w:ind w:left="0" w:leftChars="0" w:firstLine="0" w:firstLineChars="0"/>
        <w:jc w:val="center"/>
        <w:textAlignment w:val="auto"/>
        <w:rPr>
          <w:rFonts w:hint="default" w:ascii="宋体" w:hAnsi="宋体" w:eastAsia="宋体" w:cs="宋体"/>
          <w:lang w:val="en-US" w:eastAsia="zh-CN"/>
        </w:rPr>
      </w:pPr>
      <w:r>
        <w:rPr>
          <w:rFonts w:hint="default" w:ascii="宋体" w:hAnsi="宋体" w:eastAsia="宋体" w:cs="宋体"/>
          <w:lang w:val="en-US" w:eastAsia="zh-CN"/>
        </w:rPr>
        <w:t>_________________________________</w:t>
      </w:r>
    </w:p>
    <w:p w14:paraId="471F04EF">
      <w:pPr>
        <w:pStyle w:val="235"/>
        <w:framePr w:hSpace="0" w:vSpace="0" w:wrap="auto" w:vAnchor="margin" w:hAnchor="text" w:xAlign="left" w:yAlign="inline"/>
        <w:jc w:val="both"/>
        <w:rPr>
          <w:rFonts w:hint="default"/>
          <w:lang w:val="en-US" w:eastAsia="zh-CN"/>
        </w:rPr>
      </w:pPr>
    </w:p>
    <w:sectPr>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隶属">
    <w:altName w:val="宋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3E2E08">
    <w:pPr>
      <w:widowControl w:val="0"/>
      <w:tabs>
        <w:tab w:val="center" w:pos="4153"/>
        <w:tab w:val="right" w:pos="8306"/>
      </w:tabs>
      <w:snapToGrid w:val="0"/>
      <w:jc w:val="left"/>
      <w:rPr>
        <w:rFonts w:ascii="等线" w:hAnsi="等线" w:eastAsia="等线"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等线" w:hAnsi="等线" w:eastAsia="等线" w:cs="Times New Roman"/>
        <w:kern w:val="2"/>
        <w:sz w:val="21"/>
        <w:szCs w:val="22"/>
        <w:lang w:val="en-US" w:eastAsia="zh-CN" w:bidi="ar-SA"/>
      </w:rPr>
      <w:id w:val="-548138633"/>
      <w:docPartObj>
        <w:docPartGallery w:val="autotext"/>
      </w:docPartObj>
    </w:sdtPr>
    <w:sdtEndPr>
      <w:rPr>
        <w:rFonts w:ascii="等线" w:hAnsi="等线" w:eastAsia="等线" w:cs="Times New Roman"/>
        <w:kern w:val="2"/>
        <w:sz w:val="18"/>
        <w:szCs w:val="18"/>
        <w:lang w:val="en-US" w:eastAsia="zh-CN" w:bidi="ar-SA"/>
      </w:rPr>
    </w:sdtEndPr>
    <w:sdtContent>
      <w:p w14:paraId="21E1B7DD">
        <w:pPr>
          <w:framePr w:wrap="auto" w:vAnchor="text" w:hAnchor="margin" w:xAlign="center" w:y="1"/>
          <w:widowControl w:val="0"/>
          <w:tabs>
            <w:tab w:val="center" w:pos="4153"/>
            <w:tab w:val="right" w:pos="8306"/>
          </w:tabs>
          <w:snapToGrid w:val="0"/>
          <w:jc w:val="left"/>
          <w:rPr>
            <w:rFonts w:ascii="等线" w:hAnsi="等线" w:eastAsia="等线" w:cs="Times New Roman"/>
            <w:kern w:val="2"/>
            <w:sz w:val="18"/>
            <w:szCs w:val="18"/>
            <w:lang w:val="en-US" w:eastAsia="zh-CN" w:bidi="ar-SA"/>
          </w:rPr>
        </w:pPr>
        <w:r>
          <w:rPr>
            <w:rFonts w:ascii="宋体" w:hAnsi="Times New Roman" w:eastAsia="宋体" w:cs="宋体"/>
            <w:kern w:val="2"/>
            <w:sz w:val="18"/>
            <w:szCs w:val="18"/>
            <w:lang w:val="en-US" w:eastAsia="zh-CN" w:bidi="ar-SA"/>
          </w:rPr>
          <w:fldChar w:fldCharType="begin"/>
        </w:r>
        <w:r>
          <w:rPr>
            <w:rFonts w:ascii="宋体" w:hAnsi="Times New Roman" w:eastAsia="宋体" w:cs="宋体"/>
            <w:kern w:val="2"/>
            <w:sz w:val="18"/>
            <w:szCs w:val="18"/>
            <w:lang w:val="en-US" w:eastAsia="zh-CN" w:bidi="ar-SA"/>
          </w:rPr>
          <w:instrText xml:space="preserve"> PAGE </w:instrText>
        </w:r>
        <w:r>
          <w:rPr>
            <w:rFonts w:ascii="宋体" w:hAnsi="Times New Roman" w:eastAsia="宋体" w:cs="宋体"/>
            <w:kern w:val="2"/>
            <w:sz w:val="18"/>
            <w:szCs w:val="18"/>
            <w:lang w:val="en-US" w:eastAsia="zh-CN" w:bidi="ar-SA"/>
          </w:rPr>
          <w:fldChar w:fldCharType="end"/>
        </w:r>
      </w:p>
    </w:sdtContent>
  </w:sdt>
  <w:p w14:paraId="4A321105">
    <w:pPr>
      <w:widowControl w:val="0"/>
      <w:tabs>
        <w:tab w:val="center" w:pos="4153"/>
        <w:tab w:val="right" w:pos="8306"/>
      </w:tabs>
      <w:snapToGrid w:val="0"/>
      <w:jc w:val="left"/>
      <w:rPr>
        <w:rFonts w:ascii="等线" w:hAnsi="等线" w:eastAsia="等线"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05E298">
    <w:pPr>
      <w:widowControl w:val="0"/>
      <w:tabs>
        <w:tab w:val="center" w:pos="4153"/>
        <w:tab w:val="right" w:pos="8306"/>
      </w:tabs>
      <w:snapToGrid w:val="0"/>
      <w:jc w:val="left"/>
      <w:rPr>
        <w:rFonts w:ascii="等线" w:hAnsi="等线" w:eastAsia="等线" w:cs="Times New Roman"/>
        <w:kern w:val="2"/>
        <w:sz w:val="18"/>
        <w:szCs w:val="18"/>
        <w:lang w:val="en-US" w:eastAsia="zh-CN" w:bidi="ar-SA"/>
      </w:rPr>
    </w:pPr>
    <w:sdt>
      <w:sdtPr>
        <w:rPr>
          <w:rFonts w:ascii="等线" w:hAnsi="等线" w:eastAsia="等线" w:cs="Times New Roman"/>
          <w:kern w:val="2"/>
          <w:sz w:val="21"/>
          <w:szCs w:val="22"/>
          <w:lang w:val="en-US" w:eastAsia="zh-CN" w:bidi="ar-SA"/>
        </w:rPr>
        <w:id w:val="1458601550"/>
        <w:docPartObj>
          <w:docPartGallery w:val="autotext"/>
        </w:docPartObj>
      </w:sdtPr>
      <w:sdtEndPr>
        <w:rPr>
          <w:rFonts w:ascii="等线" w:hAnsi="等线" w:eastAsia="等线" w:cs="Times New Roman"/>
          <w:kern w:val="2"/>
          <w:sz w:val="18"/>
          <w:szCs w:val="18"/>
          <w:lang w:val="en-US" w:eastAsia="zh-CN" w:bidi="ar-SA"/>
        </w:rPr>
      </w:sdtEndPr>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E88984">
    <w:pPr>
      <w:pStyle w:val="55"/>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913ED">
    <w:pPr>
      <w:pStyle w:val="55"/>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E3C3B4">
                          <w:pPr>
                            <w:pStyle w:val="55"/>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0E3C3B4">
                    <w:pPr>
                      <w:pStyle w:val="55"/>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D29DD">
    <w:pPr>
      <w:pStyle w:val="64"/>
      <w:wordWrap w:val="0"/>
      <w:rPr>
        <w:rFonts w:hint="default" w:eastAsia="黑体"/>
        <w:lang w:val="en-US" w:eastAsia="zh-CN"/>
      </w:rPr>
    </w:pPr>
    <w:r>
      <w:rPr>
        <w:rFonts w:hint="eastAsia"/>
        <w:lang w:val="en-US" w:eastAsia="zh-CN"/>
      </w:rPr>
      <w:t>T/CI 351-2024</w:t>
    </w:r>
  </w:p>
  <w:p w14:paraId="5C843251">
    <w:pPr>
      <w:pStyle w:val="1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3556B0">
    <w:pPr>
      <w:pStyle w:val="64"/>
      <w:rPr>
        <w:sz w:val="21"/>
        <w:szCs w:val="21"/>
      </w:rPr>
    </w:pPr>
    <w:r>
      <w:rPr>
        <w:rFonts w:hint="eastAsia" w:ascii="黑体" w:hAnsi="黑体" w:eastAsia="黑体" w:cs="黑体"/>
        <w:sz w:val="21"/>
        <w:szCs w:val="21"/>
      </w:rPr>
      <w:t>T/</w:t>
    </w:r>
    <w:r>
      <w:rPr>
        <w:rFonts w:hint="eastAsia" w:hAnsi="黑体" w:cs="黑体"/>
        <w:sz w:val="21"/>
        <w:szCs w:val="21"/>
        <w:lang w:val="en-US" w:eastAsia="zh-CN"/>
      </w:rPr>
      <w:t>CWDPA</w:t>
    </w:r>
    <w:r>
      <w:rPr>
        <w:rFonts w:hint="eastAsia" w:ascii="黑体" w:hAnsi="黑体" w:eastAsia="黑体" w:cs="黑体"/>
        <w:sz w:val="21"/>
        <w:szCs w:val="21"/>
      </w:rPr>
      <w:t xml:space="preserve"> </w:t>
    </w:r>
    <w:r>
      <w:rPr>
        <w:rFonts w:hint="eastAsia" w:ascii="黑体" w:hAnsi="黑体" w:eastAsia="黑体" w:cs="黑体"/>
        <w:sz w:val="21"/>
        <w:szCs w:val="21"/>
        <w:lang w:val="en-US" w:eastAsia="zh-CN"/>
      </w:rPr>
      <w:t>XXX</w:t>
    </w:r>
    <w:r>
      <w:rPr>
        <w:rFonts w:hint="eastAsia" w:ascii="黑体" w:hAnsi="黑体" w:eastAsia="黑体" w:cs="黑体"/>
        <w:sz w:val="21"/>
        <w:szCs w:val="21"/>
      </w:rPr>
      <w:t>—202</w:t>
    </w:r>
    <w:r>
      <w:rPr>
        <w:rFonts w:hint="eastAsia" w:hAnsi="黑体" w:cs="黑体"/>
        <w:sz w:val="21"/>
        <w:szCs w:val="21"/>
        <w:lang w:val="en-US" w:eastAsia="zh-CN"/>
      </w:rPr>
      <w:t>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EE3AA">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9"/>
      <w:suff w:val="nothing"/>
      <w:lvlText w:val="附录%1"/>
      <w:lvlJc w:val="left"/>
      <w:pPr>
        <w:ind w:left="0" w:firstLine="0"/>
      </w:pPr>
      <w:rPr>
        <w:rFonts w:hint="eastAsia"/>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NhOWQyZTEyMzkzMmM5NDQ1ODRkNTRiNTAyMTlhMjIifQ=="/>
  </w:docVars>
  <w:rsids>
    <w:rsidRoot w:val="0067059D"/>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4F8E"/>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96DA9"/>
    <w:rsid w:val="004A12DF"/>
    <w:rsid w:val="004A1BA8"/>
    <w:rsid w:val="004A4B57"/>
    <w:rsid w:val="004A63FA"/>
    <w:rsid w:val="004A6A3D"/>
    <w:rsid w:val="004B0272"/>
    <w:rsid w:val="004B2701"/>
    <w:rsid w:val="004B2E1B"/>
    <w:rsid w:val="004B3AA8"/>
    <w:rsid w:val="004B3E93"/>
    <w:rsid w:val="004B46FA"/>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35DD"/>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059D"/>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5F02"/>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827"/>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B0F"/>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9D2"/>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045D"/>
    <w:rsid w:val="00D51BF3"/>
    <w:rsid w:val="00D66846"/>
    <w:rsid w:val="00D675FB"/>
    <w:rsid w:val="00D71F25"/>
    <w:rsid w:val="00D72A9C"/>
    <w:rsid w:val="00D77031"/>
    <w:rsid w:val="00D81F09"/>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5CA4"/>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4D3FE3"/>
    <w:rsid w:val="0248305A"/>
    <w:rsid w:val="0250735D"/>
    <w:rsid w:val="029124C9"/>
    <w:rsid w:val="02E828A9"/>
    <w:rsid w:val="04014C94"/>
    <w:rsid w:val="05107BB5"/>
    <w:rsid w:val="05D13019"/>
    <w:rsid w:val="06055520"/>
    <w:rsid w:val="06BD3950"/>
    <w:rsid w:val="07340504"/>
    <w:rsid w:val="074339A9"/>
    <w:rsid w:val="07F567CA"/>
    <w:rsid w:val="082454D8"/>
    <w:rsid w:val="09D76A51"/>
    <w:rsid w:val="09EB0C1B"/>
    <w:rsid w:val="0A611458"/>
    <w:rsid w:val="0C554996"/>
    <w:rsid w:val="0C734149"/>
    <w:rsid w:val="0CE65413"/>
    <w:rsid w:val="0DA90E87"/>
    <w:rsid w:val="0DC73CDF"/>
    <w:rsid w:val="0FB22603"/>
    <w:rsid w:val="10A96AED"/>
    <w:rsid w:val="11466B07"/>
    <w:rsid w:val="11484B7B"/>
    <w:rsid w:val="11E06E41"/>
    <w:rsid w:val="121073DE"/>
    <w:rsid w:val="1273042B"/>
    <w:rsid w:val="12B969E9"/>
    <w:rsid w:val="13951B3B"/>
    <w:rsid w:val="13E25209"/>
    <w:rsid w:val="15B30AF5"/>
    <w:rsid w:val="15C41AB6"/>
    <w:rsid w:val="172E656B"/>
    <w:rsid w:val="173B2048"/>
    <w:rsid w:val="17577BA6"/>
    <w:rsid w:val="199D21E8"/>
    <w:rsid w:val="1B3B1CB8"/>
    <w:rsid w:val="1B8151F1"/>
    <w:rsid w:val="1BBF2C12"/>
    <w:rsid w:val="1BCC2910"/>
    <w:rsid w:val="1D95247B"/>
    <w:rsid w:val="1DC13FCB"/>
    <w:rsid w:val="1DEB6009"/>
    <w:rsid w:val="1E0740D4"/>
    <w:rsid w:val="1E203A81"/>
    <w:rsid w:val="1F1F7836"/>
    <w:rsid w:val="1F4A70FD"/>
    <w:rsid w:val="200E40BC"/>
    <w:rsid w:val="2099237C"/>
    <w:rsid w:val="22883309"/>
    <w:rsid w:val="228D3E7A"/>
    <w:rsid w:val="246A441E"/>
    <w:rsid w:val="247A76EA"/>
    <w:rsid w:val="24AE615E"/>
    <w:rsid w:val="25432329"/>
    <w:rsid w:val="25E42FB4"/>
    <w:rsid w:val="260E1643"/>
    <w:rsid w:val="26AD1FB3"/>
    <w:rsid w:val="27BC1FA7"/>
    <w:rsid w:val="283332DA"/>
    <w:rsid w:val="28ED2118"/>
    <w:rsid w:val="290047DB"/>
    <w:rsid w:val="291F0542"/>
    <w:rsid w:val="294D78C7"/>
    <w:rsid w:val="29BB5003"/>
    <w:rsid w:val="2AB949A8"/>
    <w:rsid w:val="2C2C11A9"/>
    <w:rsid w:val="2C8132A3"/>
    <w:rsid w:val="2D88542E"/>
    <w:rsid w:val="2DC87F69"/>
    <w:rsid w:val="2E0067B1"/>
    <w:rsid w:val="3029746C"/>
    <w:rsid w:val="30CD7FF2"/>
    <w:rsid w:val="30FA5A12"/>
    <w:rsid w:val="32523AAD"/>
    <w:rsid w:val="32592EEF"/>
    <w:rsid w:val="32A978B2"/>
    <w:rsid w:val="32BE2B5E"/>
    <w:rsid w:val="35E328D9"/>
    <w:rsid w:val="364D2448"/>
    <w:rsid w:val="368A369C"/>
    <w:rsid w:val="370C4202"/>
    <w:rsid w:val="37815996"/>
    <w:rsid w:val="37842B42"/>
    <w:rsid w:val="37C30C14"/>
    <w:rsid w:val="38521299"/>
    <w:rsid w:val="38D11273"/>
    <w:rsid w:val="39687A37"/>
    <w:rsid w:val="3A68054F"/>
    <w:rsid w:val="3B00217F"/>
    <w:rsid w:val="3C053706"/>
    <w:rsid w:val="3C425A6B"/>
    <w:rsid w:val="3C842FA3"/>
    <w:rsid w:val="3E0B2DFF"/>
    <w:rsid w:val="3E511436"/>
    <w:rsid w:val="3E722D7D"/>
    <w:rsid w:val="3EA42E61"/>
    <w:rsid w:val="41E714BD"/>
    <w:rsid w:val="454848B8"/>
    <w:rsid w:val="462D2C94"/>
    <w:rsid w:val="46731392"/>
    <w:rsid w:val="469320F9"/>
    <w:rsid w:val="47FE103D"/>
    <w:rsid w:val="48926E17"/>
    <w:rsid w:val="493868A9"/>
    <w:rsid w:val="49E625A7"/>
    <w:rsid w:val="4A4E5BB5"/>
    <w:rsid w:val="4A9F11A1"/>
    <w:rsid w:val="4AF56684"/>
    <w:rsid w:val="4C1B1639"/>
    <w:rsid w:val="4C2757BD"/>
    <w:rsid w:val="4E3C7A50"/>
    <w:rsid w:val="4E5959D6"/>
    <w:rsid w:val="4E9B7D9D"/>
    <w:rsid w:val="4EFE20DA"/>
    <w:rsid w:val="4F5A5E19"/>
    <w:rsid w:val="4F66583F"/>
    <w:rsid w:val="51085492"/>
    <w:rsid w:val="514C35D0"/>
    <w:rsid w:val="514F07F2"/>
    <w:rsid w:val="527267F2"/>
    <w:rsid w:val="52D379F6"/>
    <w:rsid w:val="53E67D0C"/>
    <w:rsid w:val="55067F3A"/>
    <w:rsid w:val="553D7E00"/>
    <w:rsid w:val="558F5D5E"/>
    <w:rsid w:val="559A7000"/>
    <w:rsid w:val="55E31AFA"/>
    <w:rsid w:val="56142799"/>
    <w:rsid w:val="56523435"/>
    <w:rsid w:val="57C40382"/>
    <w:rsid w:val="588C0F63"/>
    <w:rsid w:val="590961FC"/>
    <w:rsid w:val="5A450426"/>
    <w:rsid w:val="5ADA376B"/>
    <w:rsid w:val="5B0E5A1D"/>
    <w:rsid w:val="5B2B4256"/>
    <w:rsid w:val="5B837073"/>
    <w:rsid w:val="5BA858A7"/>
    <w:rsid w:val="5C4750C0"/>
    <w:rsid w:val="5D0968B1"/>
    <w:rsid w:val="5D156F6C"/>
    <w:rsid w:val="5D5A52C7"/>
    <w:rsid w:val="5D7879F0"/>
    <w:rsid w:val="5EB7760C"/>
    <w:rsid w:val="5F0759F1"/>
    <w:rsid w:val="606A3A73"/>
    <w:rsid w:val="61B83EF4"/>
    <w:rsid w:val="62130050"/>
    <w:rsid w:val="6242450E"/>
    <w:rsid w:val="62A849B5"/>
    <w:rsid w:val="62B86D17"/>
    <w:rsid w:val="648D7D30"/>
    <w:rsid w:val="66E81E2B"/>
    <w:rsid w:val="68381733"/>
    <w:rsid w:val="68662D72"/>
    <w:rsid w:val="6A975974"/>
    <w:rsid w:val="6A991B4E"/>
    <w:rsid w:val="6B486404"/>
    <w:rsid w:val="6B9D229A"/>
    <w:rsid w:val="6C303DC2"/>
    <w:rsid w:val="6C8859AD"/>
    <w:rsid w:val="6E05302D"/>
    <w:rsid w:val="6E0D32E8"/>
    <w:rsid w:val="6E426D96"/>
    <w:rsid w:val="6EB16D05"/>
    <w:rsid w:val="6F3C104B"/>
    <w:rsid w:val="6F77137F"/>
    <w:rsid w:val="71445C1A"/>
    <w:rsid w:val="718F134F"/>
    <w:rsid w:val="719647CC"/>
    <w:rsid w:val="71C54FAD"/>
    <w:rsid w:val="72596DDD"/>
    <w:rsid w:val="72BB3A37"/>
    <w:rsid w:val="74FC77C0"/>
    <w:rsid w:val="75D829C3"/>
    <w:rsid w:val="76713F77"/>
    <w:rsid w:val="76EE51B2"/>
    <w:rsid w:val="77705033"/>
    <w:rsid w:val="79B53B59"/>
    <w:rsid w:val="7AF0771F"/>
    <w:rsid w:val="7BBC2F7D"/>
    <w:rsid w:val="7BF94115"/>
    <w:rsid w:val="7C8C3866"/>
    <w:rsid w:val="7D395681"/>
    <w:rsid w:val="7D413817"/>
    <w:rsid w:val="7D474461"/>
    <w:rsid w:val="7DCB092C"/>
    <w:rsid w:val="7E2C6520"/>
    <w:rsid w:val="7F622E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40"/>
    <w:autoRedefine/>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autoRedefine/>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autoRedefine/>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autoRedefine/>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autoRedefine/>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autoRedefine/>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autoRedefine/>
    <w:qFormat/>
    <w:uiPriority w:val="0"/>
    <w:pPr>
      <w:ind w:firstLine="420"/>
    </w:pPr>
  </w:style>
  <w:style w:type="paragraph" w:styleId="13">
    <w:name w:val="annotation text"/>
    <w:basedOn w:val="1"/>
    <w:semiHidden/>
    <w:unhideWhenUsed/>
    <w:qFormat/>
    <w:uiPriority w:val="99"/>
    <w:pPr>
      <w:jc w:val="left"/>
    </w:pPr>
  </w:style>
  <w:style w:type="paragraph" w:styleId="14">
    <w:name w:val="Body Text"/>
    <w:basedOn w:val="1"/>
    <w:link w:val="89"/>
    <w:autoRedefine/>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autoRedefine/>
    <w:semiHidden/>
    <w:unhideWhenUsed/>
    <w:qFormat/>
    <w:uiPriority w:val="99"/>
    <w:rPr>
      <w:sz w:val="18"/>
      <w:szCs w:val="18"/>
    </w:rPr>
  </w:style>
  <w:style w:type="paragraph" w:styleId="18">
    <w:name w:val="footer"/>
    <w:basedOn w:val="1"/>
    <w:link w:val="47"/>
    <w:autoRedefine/>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autoRedefine/>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autoRedefine/>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autoRedefine/>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7">
    <w:name w:val="Normal (Web)"/>
    <w:basedOn w:val="1"/>
    <w:autoRedefine/>
    <w:semiHidden/>
    <w:unhideWhenUsed/>
    <w:qFormat/>
    <w:uiPriority w:val="99"/>
    <w:pPr>
      <w:spacing w:before="0" w:beforeAutospacing="1" w:after="0" w:afterAutospacing="1"/>
      <w:ind w:left="0" w:right="0"/>
      <w:jc w:val="left"/>
    </w:pPr>
    <w:rPr>
      <w:kern w:val="0"/>
      <w:sz w:val="24"/>
      <w:lang w:val="en-US" w:eastAsia="zh-CN" w:bidi="ar"/>
    </w:rPr>
  </w:style>
  <w:style w:type="paragraph" w:styleId="28">
    <w:name w:val="Title"/>
    <w:basedOn w:val="1"/>
    <w:link w:val="51"/>
    <w:autoRedefine/>
    <w:qFormat/>
    <w:uiPriority w:val="0"/>
    <w:pPr>
      <w:spacing w:before="240" w:after="60"/>
      <w:jc w:val="center"/>
      <w:outlineLvl w:val="0"/>
    </w:pPr>
    <w:rPr>
      <w:rFonts w:ascii="Arial" w:hAnsi="Arial" w:cs="Arial"/>
      <w:b/>
      <w:bCs/>
      <w:sz w:val="32"/>
      <w:szCs w:val="32"/>
    </w:rPr>
  </w:style>
  <w:style w:type="table" w:styleId="30">
    <w:name w:val="Table Grid"/>
    <w:basedOn w:val="29"/>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autoRedefine/>
    <w:qFormat/>
    <w:uiPriority w:val="22"/>
    <w:rPr>
      <w:b/>
      <w:bCs/>
    </w:rPr>
  </w:style>
  <w:style w:type="character" w:styleId="33">
    <w:name w:val="page number"/>
    <w:autoRedefine/>
    <w:qFormat/>
    <w:uiPriority w:val="0"/>
    <w:rPr>
      <w:rFonts w:ascii="宋体" w:hAnsi="Times New Roman" w:eastAsia="宋体"/>
      <w:sz w:val="18"/>
    </w:rPr>
  </w:style>
  <w:style w:type="character" w:styleId="34">
    <w:name w:val="Emphasis"/>
    <w:autoRedefine/>
    <w:qFormat/>
    <w:uiPriority w:val="20"/>
    <w:rPr>
      <w:i/>
      <w:iCs/>
    </w:rPr>
  </w:style>
  <w:style w:type="character" w:styleId="35">
    <w:name w:val="Hyperlink"/>
    <w:autoRedefine/>
    <w:qFormat/>
    <w:uiPriority w:val="99"/>
    <w:rPr>
      <w:rFonts w:ascii="宋体" w:hAnsi="Times New Roman" w:eastAsia="宋体"/>
      <w:color w:val="auto"/>
      <w:spacing w:val="0"/>
      <w:w w:val="100"/>
      <w:position w:val="0"/>
      <w:sz w:val="21"/>
      <w:u w:val="none"/>
      <w:vertAlign w:val="baseline"/>
    </w:rPr>
  </w:style>
  <w:style w:type="character" w:styleId="36">
    <w:name w:val="footnote reference"/>
    <w:autoRedefine/>
    <w:semiHidden/>
    <w:qFormat/>
    <w:uiPriority w:val="0"/>
    <w:rPr>
      <w:rFonts w:ascii="宋体" w:hAnsi="宋体" w:eastAsia="宋体" w:cs="Times New Roman"/>
      <w:spacing w:val="0"/>
      <w:sz w:val="18"/>
      <w:vertAlign w:val="superscript"/>
    </w:rPr>
  </w:style>
  <w:style w:type="character" w:customStyle="1" w:styleId="37">
    <w:name w:val="标题 1 字符"/>
    <w:link w:val="2"/>
    <w:autoRedefine/>
    <w:qFormat/>
    <w:uiPriority w:val="0"/>
    <w:rPr>
      <w:b/>
      <w:bCs/>
      <w:kern w:val="44"/>
      <w:sz w:val="44"/>
      <w:szCs w:val="44"/>
    </w:rPr>
  </w:style>
  <w:style w:type="character" w:customStyle="1" w:styleId="38">
    <w:name w:val="标题 2 字符"/>
    <w:link w:val="3"/>
    <w:autoRedefine/>
    <w:qFormat/>
    <w:uiPriority w:val="0"/>
    <w:rPr>
      <w:rFonts w:ascii="Arial" w:hAnsi="Arial" w:eastAsia="黑体"/>
      <w:b/>
      <w:bCs/>
      <w:kern w:val="2"/>
      <w:sz w:val="32"/>
      <w:szCs w:val="32"/>
    </w:rPr>
  </w:style>
  <w:style w:type="character" w:customStyle="1" w:styleId="39">
    <w:name w:val="标题 3 字符"/>
    <w:link w:val="4"/>
    <w:autoRedefine/>
    <w:qFormat/>
    <w:uiPriority w:val="0"/>
    <w:rPr>
      <w:b/>
      <w:bCs/>
      <w:kern w:val="2"/>
      <w:sz w:val="32"/>
      <w:szCs w:val="32"/>
    </w:rPr>
  </w:style>
  <w:style w:type="character" w:customStyle="1" w:styleId="40">
    <w:name w:val="标题 4 字符"/>
    <w:link w:val="5"/>
    <w:autoRedefine/>
    <w:qFormat/>
    <w:uiPriority w:val="0"/>
    <w:rPr>
      <w:rFonts w:ascii="Arial" w:hAnsi="Arial" w:eastAsia="黑体"/>
      <w:b/>
      <w:bCs/>
      <w:kern w:val="2"/>
      <w:sz w:val="28"/>
      <w:szCs w:val="28"/>
    </w:rPr>
  </w:style>
  <w:style w:type="character" w:customStyle="1" w:styleId="41">
    <w:name w:val="标题 5 字符"/>
    <w:link w:val="6"/>
    <w:autoRedefine/>
    <w:qFormat/>
    <w:uiPriority w:val="0"/>
    <w:rPr>
      <w:b/>
      <w:bCs/>
      <w:kern w:val="2"/>
      <w:sz w:val="28"/>
      <w:szCs w:val="28"/>
    </w:rPr>
  </w:style>
  <w:style w:type="character" w:customStyle="1" w:styleId="42">
    <w:name w:val="标题 6 字符"/>
    <w:link w:val="7"/>
    <w:autoRedefine/>
    <w:qFormat/>
    <w:uiPriority w:val="0"/>
    <w:rPr>
      <w:rFonts w:ascii="Arial" w:hAnsi="Arial" w:eastAsia="黑体"/>
      <w:b/>
      <w:bCs/>
      <w:kern w:val="2"/>
      <w:sz w:val="24"/>
      <w:szCs w:val="24"/>
    </w:rPr>
  </w:style>
  <w:style w:type="character" w:customStyle="1" w:styleId="43">
    <w:name w:val="标题 7 字符"/>
    <w:link w:val="8"/>
    <w:autoRedefine/>
    <w:qFormat/>
    <w:uiPriority w:val="0"/>
    <w:rPr>
      <w:b/>
      <w:bCs/>
      <w:kern w:val="2"/>
      <w:sz w:val="24"/>
      <w:szCs w:val="24"/>
    </w:rPr>
  </w:style>
  <w:style w:type="character" w:customStyle="1" w:styleId="44">
    <w:name w:val="标题 8 字符"/>
    <w:link w:val="9"/>
    <w:autoRedefine/>
    <w:qFormat/>
    <w:uiPriority w:val="0"/>
    <w:rPr>
      <w:rFonts w:ascii="Arial" w:hAnsi="Arial" w:eastAsia="黑体"/>
      <w:kern w:val="2"/>
      <w:sz w:val="24"/>
      <w:szCs w:val="24"/>
    </w:rPr>
  </w:style>
  <w:style w:type="character" w:customStyle="1" w:styleId="45">
    <w:name w:val="标题 9 字符"/>
    <w:link w:val="10"/>
    <w:autoRedefine/>
    <w:qFormat/>
    <w:uiPriority w:val="0"/>
    <w:rPr>
      <w:rFonts w:ascii="Arial" w:hAnsi="Arial" w:eastAsia="黑体"/>
      <w:kern w:val="2"/>
      <w:sz w:val="21"/>
      <w:szCs w:val="21"/>
    </w:rPr>
  </w:style>
  <w:style w:type="character" w:customStyle="1" w:styleId="46">
    <w:name w:val="页眉 字符"/>
    <w:link w:val="19"/>
    <w:autoRedefine/>
    <w:qFormat/>
    <w:uiPriority w:val="99"/>
    <w:rPr>
      <w:kern w:val="2"/>
      <w:sz w:val="18"/>
      <w:szCs w:val="18"/>
    </w:rPr>
  </w:style>
  <w:style w:type="character" w:customStyle="1" w:styleId="47">
    <w:name w:val="页脚 字符"/>
    <w:link w:val="18"/>
    <w:autoRedefine/>
    <w:qFormat/>
    <w:uiPriority w:val="99"/>
    <w:rPr>
      <w:rFonts w:ascii="宋体"/>
      <w:kern w:val="2"/>
      <w:sz w:val="18"/>
      <w:szCs w:val="18"/>
    </w:rPr>
  </w:style>
  <w:style w:type="character" w:customStyle="1" w:styleId="48">
    <w:name w:val="批注框文本 字符"/>
    <w:link w:val="17"/>
    <w:autoRedefine/>
    <w:semiHidden/>
    <w:qFormat/>
    <w:uiPriority w:val="99"/>
    <w:rPr>
      <w:kern w:val="2"/>
      <w:sz w:val="18"/>
      <w:szCs w:val="18"/>
    </w:rPr>
  </w:style>
  <w:style w:type="paragraph" w:styleId="49">
    <w:name w:val="Quote"/>
    <w:basedOn w:val="1"/>
    <w:next w:val="1"/>
    <w:link w:val="50"/>
    <w:autoRedefine/>
    <w:qFormat/>
    <w:uiPriority w:val="29"/>
    <w:rPr>
      <w:i/>
      <w:iCs/>
      <w:color w:val="000000"/>
    </w:rPr>
  </w:style>
  <w:style w:type="character" w:customStyle="1" w:styleId="50">
    <w:name w:val="引用 字符"/>
    <w:link w:val="49"/>
    <w:autoRedefine/>
    <w:qFormat/>
    <w:uiPriority w:val="29"/>
    <w:rPr>
      <w:i/>
      <w:iCs/>
      <w:color w:val="000000"/>
      <w:kern w:val="2"/>
      <w:sz w:val="21"/>
      <w:szCs w:val="21"/>
    </w:rPr>
  </w:style>
  <w:style w:type="character" w:customStyle="1" w:styleId="51">
    <w:name w:val="标题 字符"/>
    <w:link w:val="28"/>
    <w:autoRedefine/>
    <w:qFormat/>
    <w:uiPriority w:val="0"/>
    <w:rPr>
      <w:rFonts w:ascii="Arial" w:hAnsi="Arial" w:cs="Arial"/>
      <w:b/>
      <w:bCs/>
      <w:kern w:val="2"/>
      <w:sz w:val="32"/>
      <w:szCs w:val="32"/>
    </w:rPr>
  </w:style>
  <w:style w:type="paragraph" w:customStyle="1" w:styleId="52">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autoRedefine/>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autoRedefine/>
    <w:qFormat/>
    <w:uiPriority w:val="0"/>
    <w:pPr>
      <w:spacing w:line="0" w:lineRule="atLeast"/>
    </w:pPr>
    <w:rPr>
      <w:rFonts w:ascii="黑体" w:hAnsi="宋体" w:eastAsia="黑体"/>
    </w:rPr>
  </w:style>
  <w:style w:type="paragraph" w:customStyle="1" w:styleId="58">
    <w:name w:val="标准文件_标准正文"/>
    <w:basedOn w:val="1"/>
    <w:next w:val="59"/>
    <w:autoRedefine/>
    <w:qFormat/>
    <w:uiPriority w:val="0"/>
    <w:pPr>
      <w:snapToGrid w:val="0"/>
      <w:ind w:firstLine="200" w:firstLineChars="200"/>
    </w:pPr>
    <w:rPr>
      <w:kern w:val="0"/>
    </w:rPr>
  </w:style>
  <w:style w:type="paragraph" w:customStyle="1" w:styleId="59">
    <w:name w:val="标准文件_段"/>
    <w:link w:val="187"/>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0">
    <w:name w:val="标准文件_版本"/>
    <w:basedOn w:val="58"/>
    <w:autoRedefine/>
    <w:qFormat/>
    <w:uiPriority w:val="0"/>
    <w:pPr>
      <w:adjustRightInd/>
      <w:snapToGrid/>
      <w:ind w:firstLine="0" w:firstLineChars="0"/>
    </w:pPr>
    <w:rPr>
      <w:rFonts w:ascii="宋体" w:hAnsi="宋体"/>
      <w:kern w:val="2"/>
    </w:rPr>
  </w:style>
  <w:style w:type="paragraph" w:customStyle="1" w:styleId="61">
    <w:name w:val="标准文件_标准部门"/>
    <w:basedOn w:val="1"/>
    <w:autoRedefine/>
    <w:qFormat/>
    <w:uiPriority w:val="0"/>
    <w:pPr>
      <w:jc w:val="center"/>
    </w:pPr>
    <w:rPr>
      <w:rFonts w:ascii="黑体" w:eastAsia="黑体"/>
      <w:kern w:val="0"/>
      <w:sz w:val="44"/>
    </w:rPr>
  </w:style>
  <w:style w:type="paragraph" w:customStyle="1" w:styleId="62">
    <w:name w:val="标准文件_标准代替"/>
    <w:basedOn w:val="1"/>
    <w:next w:val="1"/>
    <w:autoRedefine/>
    <w:qFormat/>
    <w:uiPriority w:val="0"/>
    <w:pPr>
      <w:spacing w:line="310" w:lineRule="exact"/>
      <w:jc w:val="right"/>
    </w:pPr>
    <w:rPr>
      <w:rFonts w:ascii="宋体" w:hAnsi="宋体"/>
      <w:kern w:val="0"/>
    </w:rPr>
  </w:style>
  <w:style w:type="paragraph" w:customStyle="1" w:styleId="63">
    <w:name w:val="标准文件_标准名称标题"/>
    <w:basedOn w:val="1"/>
    <w:next w:val="1"/>
    <w:autoRedefine/>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autoRedefine/>
    <w:qFormat/>
    <w:uiPriority w:val="0"/>
    <w:pPr>
      <w:jc w:val="left"/>
    </w:pPr>
  </w:style>
  <w:style w:type="paragraph" w:customStyle="1" w:styleId="66">
    <w:name w:val="标准文件_参考文献标题"/>
    <w:basedOn w:val="1"/>
    <w:next w:val="1"/>
    <w:autoRedefine/>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autoRedefine/>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autoRedefine/>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autoRedefine/>
    <w:qFormat/>
    <w:uiPriority w:val="0"/>
    <w:rPr>
      <w:rFonts w:ascii="黑体" w:eastAsia="黑体"/>
      <w:spacing w:val="0"/>
      <w:w w:val="100"/>
      <w:position w:val="3"/>
      <w:sz w:val="28"/>
    </w:rPr>
  </w:style>
  <w:style w:type="paragraph" w:customStyle="1" w:styleId="70">
    <w:name w:val="标准文件_方框数字列项"/>
    <w:basedOn w:val="59"/>
    <w:autoRedefine/>
    <w:qFormat/>
    <w:uiPriority w:val="0"/>
    <w:pPr>
      <w:numPr>
        <w:ilvl w:val="0"/>
        <w:numId w:val="3"/>
      </w:numPr>
      <w:ind w:firstLine="0" w:firstLineChars="0"/>
    </w:pPr>
  </w:style>
  <w:style w:type="paragraph" w:customStyle="1" w:styleId="71">
    <w:name w:val="标准文件_封面标准编号"/>
    <w:basedOn w:val="1"/>
    <w:next w:val="62"/>
    <w:autoRedefine/>
    <w:qFormat/>
    <w:uiPriority w:val="0"/>
    <w:pPr>
      <w:spacing w:line="310" w:lineRule="exact"/>
      <w:jc w:val="right"/>
    </w:pPr>
    <w:rPr>
      <w:rFonts w:ascii="黑体" w:eastAsia="黑体"/>
      <w:kern w:val="0"/>
      <w:sz w:val="28"/>
    </w:rPr>
  </w:style>
  <w:style w:type="paragraph" w:customStyle="1" w:styleId="72">
    <w:name w:val="标准文件_封面标准分类号"/>
    <w:basedOn w:val="1"/>
    <w:autoRedefine/>
    <w:qFormat/>
    <w:uiPriority w:val="0"/>
    <w:rPr>
      <w:rFonts w:ascii="黑体" w:eastAsia="黑体"/>
      <w:b/>
      <w:kern w:val="0"/>
      <w:sz w:val="28"/>
    </w:rPr>
  </w:style>
  <w:style w:type="paragraph" w:customStyle="1" w:styleId="73">
    <w:name w:val="标准文件_封面标准名称"/>
    <w:basedOn w:val="1"/>
    <w:autoRedefine/>
    <w:qFormat/>
    <w:uiPriority w:val="0"/>
    <w:pPr>
      <w:spacing w:line="240" w:lineRule="auto"/>
      <w:jc w:val="center"/>
    </w:pPr>
    <w:rPr>
      <w:rFonts w:ascii="黑体" w:eastAsia="黑体"/>
      <w:kern w:val="0"/>
      <w:sz w:val="52"/>
    </w:rPr>
  </w:style>
  <w:style w:type="paragraph" w:customStyle="1" w:styleId="74">
    <w:name w:val="标准文件_封面标准英文名称"/>
    <w:basedOn w:val="1"/>
    <w:autoRedefine/>
    <w:qFormat/>
    <w:uiPriority w:val="0"/>
    <w:pPr>
      <w:spacing w:line="240" w:lineRule="auto"/>
      <w:jc w:val="center"/>
    </w:pPr>
    <w:rPr>
      <w:rFonts w:ascii="黑体" w:eastAsia="黑体"/>
      <w:b/>
      <w:sz w:val="28"/>
    </w:rPr>
  </w:style>
  <w:style w:type="paragraph" w:customStyle="1" w:styleId="75">
    <w:name w:val="标准文件_封面发布日期"/>
    <w:basedOn w:val="1"/>
    <w:autoRedefine/>
    <w:qFormat/>
    <w:uiPriority w:val="0"/>
    <w:pPr>
      <w:spacing w:line="310" w:lineRule="exact"/>
    </w:pPr>
    <w:rPr>
      <w:rFonts w:ascii="黑体" w:eastAsia="黑体"/>
      <w:kern w:val="0"/>
      <w:sz w:val="28"/>
    </w:rPr>
  </w:style>
  <w:style w:type="paragraph" w:customStyle="1" w:styleId="76">
    <w:name w:val="标准文件_封面密级"/>
    <w:basedOn w:val="1"/>
    <w:autoRedefine/>
    <w:qFormat/>
    <w:uiPriority w:val="0"/>
    <w:rPr>
      <w:rFonts w:eastAsia="黑体"/>
      <w:sz w:val="32"/>
    </w:rPr>
  </w:style>
  <w:style w:type="paragraph" w:customStyle="1" w:styleId="77">
    <w:name w:val="标准文件_封面实施日期"/>
    <w:basedOn w:val="1"/>
    <w:autoRedefine/>
    <w:qFormat/>
    <w:uiPriority w:val="0"/>
    <w:pPr>
      <w:spacing w:line="310" w:lineRule="exact"/>
      <w:jc w:val="right"/>
    </w:pPr>
    <w:rPr>
      <w:rFonts w:ascii="黑体" w:eastAsia="黑体"/>
      <w:sz w:val="28"/>
    </w:rPr>
  </w:style>
  <w:style w:type="paragraph" w:customStyle="1" w:styleId="78">
    <w:name w:val="标准文件_封面抬头"/>
    <w:basedOn w:val="59"/>
    <w:autoRedefine/>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autoRedefine/>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autoRedefine/>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autoRedefine/>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autoRedefine/>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autoRedefine/>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autoRedefine/>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autoRedefine/>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autoRedefine/>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autoRedefine/>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autoRedefine/>
    <w:qFormat/>
    <w:uiPriority w:val="0"/>
    <w:rPr>
      <w:kern w:val="2"/>
      <w:sz w:val="21"/>
      <w:szCs w:val="21"/>
    </w:rPr>
  </w:style>
  <w:style w:type="paragraph" w:customStyle="1" w:styleId="90">
    <w:name w:val="标准文件_附录章标题"/>
    <w:next w:val="59"/>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autoRedefine/>
    <w:qFormat/>
    <w:uiPriority w:val="0"/>
    <w:pPr>
      <w:ind w:left="488" w:leftChars="200" w:hanging="289" w:hangingChars="290"/>
    </w:pPr>
  </w:style>
  <w:style w:type="paragraph" w:customStyle="1" w:styleId="92">
    <w:name w:val="标准文件_前言、引言标题"/>
    <w:next w:val="1"/>
    <w:autoRedefine/>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autoRedefine/>
    <w:qFormat/>
    <w:uiPriority w:val="0"/>
    <w:pPr>
      <w:spacing w:line="460" w:lineRule="exact"/>
      <w:ind w:left="0" w:firstLine="0"/>
    </w:pPr>
  </w:style>
  <w:style w:type="paragraph" w:customStyle="1" w:styleId="94">
    <w:name w:val="标准文件_目录标题"/>
    <w:basedOn w:val="1"/>
    <w:autoRedefine/>
    <w:qFormat/>
    <w:uiPriority w:val="0"/>
    <w:pPr>
      <w:spacing w:before="480" w:after="150" w:afterLines="150" w:line="240" w:lineRule="auto"/>
      <w:jc w:val="center"/>
    </w:pPr>
    <w:rPr>
      <w:rFonts w:ascii="黑体" w:eastAsia="黑体"/>
      <w:sz w:val="32"/>
    </w:rPr>
  </w:style>
  <w:style w:type="paragraph" w:customStyle="1" w:styleId="95">
    <w:name w:val="标准文件_破折号列项"/>
    <w:autoRedefine/>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autoRedefine/>
    <w:qFormat/>
    <w:uiPriority w:val="0"/>
    <w:pPr>
      <w:numPr>
        <w:numId w:val="10"/>
      </w:numPr>
    </w:pPr>
  </w:style>
  <w:style w:type="paragraph" w:customStyle="1" w:styleId="97">
    <w:name w:val="标准文件_三级条标题"/>
    <w:basedOn w:val="68"/>
    <w:next w:val="59"/>
    <w:autoRedefine/>
    <w:qFormat/>
    <w:uiPriority w:val="0"/>
    <w:pPr>
      <w:widowControl/>
      <w:numPr>
        <w:ilvl w:val="4"/>
      </w:numPr>
      <w:outlineLvl w:val="3"/>
    </w:pPr>
  </w:style>
  <w:style w:type="character" w:customStyle="1" w:styleId="98">
    <w:name w:val="Subtle Reference"/>
    <w:autoRedefine/>
    <w:qFormat/>
    <w:uiPriority w:val="31"/>
    <w:rPr>
      <w:smallCaps/>
      <w:color w:val="C0504D"/>
      <w:u w:val="single"/>
    </w:rPr>
  </w:style>
  <w:style w:type="paragraph" w:customStyle="1" w:styleId="99">
    <w:name w:val="标准文件_示例后续"/>
    <w:basedOn w:val="1"/>
    <w:autoRedefine/>
    <w:qFormat/>
    <w:uiPriority w:val="0"/>
    <w:pPr>
      <w:adjustRightInd/>
      <w:spacing w:line="240" w:lineRule="auto"/>
      <w:ind w:firstLine="200" w:firstLineChars="200"/>
    </w:pPr>
    <w:rPr>
      <w:sz w:val="18"/>
      <w:szCs w:val="24"/>
    </w:rPr>
  </w:style>
  <w:style w:type="paragraph" w:customStyle="1" w:styleId="100">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autoRedefine/>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autoRedefine/>
    <w:semiHidden/>
    <w:qFormat/>
    <w:uiPriority w:val="0"/>
    <w:rPr>
      <w:rFonts w:ascii="宋体"/>
      <w:kern w:val="2"/>
      <w:sz w:val="18"/>
      <w:szCs w:val="18"/>
    </w:rPr>
  </w:style>
  <w:style w:type="paragraph" w:customStyle="1" w:styleId="103">
    <w:name w:val="标准文件_条文脚注"/>
    <w:basedOn w:val="22"/>
    <w:autoRedefine/>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autoRedefine/>
    <w:qFormat/>
    <w:uiPriority w:val="0"/>
    <w:pPr>
      <w:numPr>
        <w:ilvl w:val="0"/>
        <w:numId w:val="12"/>
      </w:numPr>
      <w:spacing w:line="240" w:lineRule="auto"/>
      <w:jc w:val="left"/>
    </w:pPr>
    <w:rPr>
      <w:rFonts w:ascii="宋体" w:hAnsi="宋体"/>
      <w:sz w:val="18"/>
    </w:rPr>
  </w:style>
  <w:style w:type="character" w:customStyle="1" w:styleId="105">
    <w:name w:val="标准文件_图表脚注内容"/>
    <w:autoRedefine/>
    <w:qFormat/>
    <w:uiPriority w:val="0"/>
    <w:rPr>
      <w:rFonts w:ascii="宋体" w:hAnsi="宋体" w:eastAsia="宋体" w:cs="Times New Roman"/>
      <w:spacing w:val="0"/>
      <w:sz w:val="18"/>
      <w:vertAlign w:val="superscript"/>
    </w:rPr>
  </w:style>
  <w:style w:type="paragraph" w:customStyle="1" w:styleId="106">
    <w:name w:val="标准文件_五级条标题"/>
    <w:next w:val="59"/>
    <w:autoRedefine/>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autoRedefine/>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autoRedefine/>
    <w:qFormat/>
    <w:uiPriority w:val="0"/>
    <w:pPr>
      <w:numPr>
        <w:ilvl w:val="2"/>
      </w:numPr>
      <w:spacing w:before="50" w:beforeLines="50" w:after="50" w:afterLines="50"/>
      <w:outlineLvl w:val="1"/>
    </w:pPr>
  </w:style>
  <w:style w:type="paragraph" w:customStyle="1" w:styleId="109">
    <w:name w:val="标准文件_一致程度"/>
    <w:basedOn w:val="1"/>
    <w:autoRedefine/>
    <w:qFormat/>
    <w:uiPriority w:val="0"/>
    <w:pPr>
      <w:spacing w:line="440" w:lineRule="exact"/>
      <w:jc w:val="center"/>
    </w:pPr>
    <w:rPr>
      <w:sz w:val="28"/>
    </w:rPr>
  </w:style>
  <w:style w:type="paragraph" w:customStyle="1" w:styleId="110">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autoRedefine/>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autoRedefine/>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autoRedefine/>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autoRedefine/>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autoRedefine/>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autoRedefine/>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autoRedefine/>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autoRedefine/>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autoRedefine/>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autoRedefine/>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autoRedefine/>
    <w:qFormat/>
    <w:uiPriority w:val="0"/>
    <w:pPr>
      <w:numPr>
        <w:ilvl w:val="3"/>
        <w:numId w:val="20"/>
      </w:numPr>
      <w:adjustRightInd/>
      <w:spacing w:line="240" w:lineRule="auto"/>
    </w:pPr>
    <w:rPr>
      <w:rFonts w:ascii="宋体" w:hAnsi="宋体"/>
      <w:szCs w:val="24"/>
    </w:rPr>
  </w:style>
  <w:style w:type="paragraph" w:customStyle="1" w:styleId="122">
    <w:name w:val="发布部门"/>
    <w:next w:val="59"/>
    <w:autoRedefine/>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autoRedefine/>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autoRedefine/>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autoRedefine/>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autoRedefine/>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autoRedefine/>
    <w:qFormat/>
    <w:uiPriority w:val="0"/>
    <w:pPr>
      <w:outlineLvl w:val="4"/>
    </w:pPr>
  </w:style>
  <w:style w:type="paragraph" w:customStyle="1" w:styleId="133">
    <w:name w:val="附录四级无标题条"/>
    <w:basedOn w:val="132"/>
    <w:next w:val="59"/>
    <w:autoRedefine/>
    <w:qFormat/>
    <w:uiPriority w:val="0"/>
    <w:pPr>
      <w:outlineLvl w:val="5"/>
    </w:pPr>
  </w:style>
  <w:style w:type="paragraph" w:customStyle="1" w:styleId="134">
    <w:name w:val="附录图"/>
    <w:next w:val="59"/>
    <w:autoRedefine/>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autoRedefine/>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autoRedefine/>
    <w:qFormat/>
    <w:uiPriority w:val="0"/>
    <w:pPr>
      <w:outlineLvl w:val="6"/>
    </w:pPr>
  </w:style>
  <w:style w:type="paragraph" w:customStyle="1" w:styleId="137">
    <w:name w:val="附录性质"/>
    <w:basedOn w:val="1"/>
    <w:autoRedefine/>
    <w:qFormat/>
    <w:uiPriority w:val="0"/>
    <w:pPr>
      <w:widowControl/>
      <w:adjustRightInd/>
      <w:jc w:val="center"/>
    </w:pPr>
    <w:rPr>
      <w:rFonts w:ascii="黑体" w:eastAsia="黑体"/>
    </w:rPr>
  </w:style>
  <w:style w:type="paragraph" w:customStyle="1" w:styleId="138">
    <w:name w:val="附录一级无标题条"/>
    <w:basedOn w:val="90"/>
    <w:next w:val="59"/>
    <w:autoRedefine/>
    <w:qFormat/>
    <w:uiPriority w:val="0"/>
    <w:pPr>
      <w:autoSpaceDN w:val="0"/>
      <w:outlineLvl w:val="2"/>
    </w:pPr>
    <w:rPr>
      <w:rFonts w:ascii="宋体" w:hAnsi="宋体" w:eastAsia="宋体"/>
    </w:rPr>
  </w:style>
  <w:style w:type="character" w:customStyle="1" w:styleId="139">
    <w:name w:val="个人答复风格"/>
    <w:autoRedefine/>
    <w:qFormat/>
    <w:uiPriority w:val="0"/>
    <w:rPr>
      <w:rFonts w:ascii="Arial" w:hAnsi="Arial" w:eastAsia="宋体" w:cs="Arial"/>
      <w:color w:val="auto"/>
      <w:spacing w:val="0"/>
      <w:sz w:val="20"/>
    </w:rPr>
  </w:style>
  <w:style w:type="character" w:customStyle="1" w:styleId="140">
    <w:name w:val="个人撰写风格"/>
    <w:autoRedefine/>
    <w:qFormat/>
    <w:uiPriority w:val="0"/>
    <w:rPr>
      <w:rFonts w:ascii="Arial" w:hAnsi="Arial" w:eastAsia="宋体" w:cs="Arial"/>
      <w:color w:val="auto"/>
      <w:spacing w:val="0"/>
      <w:sz w:val="20"/>
    </w:rPr>
  </w:style>
  <w:style w:type="paragraph" w:customStyle="1" w:styleId="141">
    <w:name w:val="脚注后续"/>
    <w:autoRedefine/>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autoRedefine/>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autoRedefine/>
    <w:qFormat/>
    <w:uiPriority w:val="0"/>
    <w:pPr>
      <w:tabs>
        <w:tab w:val="left" w:pos="840"/>
      </w:tabs>
    </w:pPr>
  </w:style>
  <w:style w:type="paragraph" w:customStyle="1" w:styleId="144">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autoRedefine/>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autoRedefine/>
    <w:qFormat/>
    <w:uiPriority w:val="0"/>
    <w:pPr>
      <w:framePr w:wrap="around"/>
      <w:spacing w:line="0" w:lineRule="atLeast"/>
    </w:pPr>
    <w:rPr>
      <w:rFonts w:ascii="黑体" w:eastAsia="黑体"/>
      <w:b w:val="0"/>
    </w:rPr>
  </w:style>
  <w:style w:type="paragraph" w:customStyle="1" w:styleId="155">
    <w:name w:val="前言标题"/>
    <w:next w:val="1"/>
    <w:autoRedefine/>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autoRedefine/>
    <w:qFormat/>
    <w:uiPriority w:val="0"/>
    <w:pPr>
      <w:numPr>
        <w:ilvl w:val="4"/>
        <w:numId w:val="20"/>
      </w:numPr>
      <w:adjustRightInd/>
      <w:spacing w:line="240" w:lineRule="auto"/>
    </w:pPr>
    <w:rPr>
      <w:rFonts w:ascii="宋体" w:hAnsi="宋体"/>
      <w:szCs w:val="24"/>
    </w:rPr>
  </w:style>
  <w:style w:type="paragraph" w:customStyle="1" w:styleId="157">
    <w:name w:val="实施日期"/>
    <w:basedOn w:val="123"/>
    <w:autoRedefine/>
    <w:qFormat/>
    <w:uiPriority w:val="0"/>
    <w:pPr>
      <w:framePr w:hSpace="0" w:wrap="around" w:xAlign="right"/>
      <w:jc w:val="right"/>
    </w:pPr>
  </w:style>
  <w:style w:type="paragraph" w:customStyle="1" w:styleId="158">
    <w:name w:val="四级无标题条"/>
    <w:basedOn w:val="1"/>
    <w:autoRedefine/>
    <w:qFormat/>
    <w:uiPriority w:val="0"/>
    <w:pPr>
      <w:numPr>
        <w:ilvl w:val="5"/>
        <w:numId w:val="20"/>
      </w:numPr>
      <w:adjustRightInd/>
      <w:spacing w:line="240" w:lineRule="auto"/>
    </w:pPr>
    <w:rPr>
      <w:rFonts w:ascii="宋体" w:hAnsi="宋体"/>
      <w:szCs w:val="24"/>
    </w:rPr>
  </w:style>
  <w:style w:type="paragraph" w:customStyle="1" w:styleId="159">
    <w:name w:val="文献分类号"/>
    <w:autoRedefine/>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autoRedefine/>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autoRedefine/>
    <w:qFormat/>
    <w:uiPriority w:val="0"/>
    <w:pPr>
      <w:numPr>
        <w:ilvl w:val="6"/>
        <w:numId w:val="20"/>
      </w:numPr>
      <w:adjustRightInd/>
    </w:pPr>
    <w:rPr>
      <w:szCs w:val="24"/>
    </w:rPr>
  </w:style>
  <w:style w:type="paragraph" w:customStyle="1" w:styleId="162">
    <w:name w:val="一级无标题条"/>
    <w:basedOn w:val="1"/>
    <w:autoRedefine/>
    <w:qFormat/>
    <w:uiPriority w:val="0"/>
    <w:pPr>
      <w:numPr>
        <w:ilvl w:val="2"/>
        <w:numId w:val="20"/>
      </w:numPr>
      <w:adjustRightInd/>
      <w:spacing w:before="10" w:after="10" w:line="240" w:lineRule="auto"/>
    </w:pPr>
    <w:rPr>
      <w:rFonts w:ascii="宋体" w:hAnsi="宋体"/>
      <w:szCs w:val="24"/>
    </w:rPr>
  </w:style>
  <w:style w:type="paragraph" w:customStyle="1" w:styleId="163">
    <w:name w:val="注:后续"/>
    <w:autoRedefine/>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autoRedefine/>
    <w:qFormat/>
    <w:uiPriority w:val="0"/>
    <w:pPr>
      <w:ind w:left="1406" w:leftChars="0" w:hanging="499" w:firstLineChars="0"/>
    </w:pPr>
  </w:style>
  <w:style w:type="paragraph" w:customStyle="1" w:styleId="165">
    <w:name w:val="标准文件_一级无标题"/>
    <w:basedOn w:val="108"/>
    <w:autoRedefine/>
    <w:qFormat/>
    <w:uiPriority w:val="0"/>
    <w:pPr>
      <w:spacing w:before="0" w:beforeLines="0" w:after="0" w:afterLines="0"/>
      <w:outlineLvl w:val="9"/>
    </w:pPr>
    <w:rPr>
      <w:rFonts w:ascii="宋体" w:eastAsia="宋体"/>
    </w:rPr>
  </w:style>
  <w:style w:type="paragraph" w:customStyle="1" w:styleId="166">
    <w:name w:val="标准文件_五级无标题"/>
    <w:basedOn w:val="106"/>
    <w:autoRedefine/>
    <w:qFormat/>
    <w:uiPriority w:val="0"/>
    <w:pPr>
      <w:spacing w:before="0" w:beforeLines="0" w:after="0" w:afterLines="0"/>
      <w:outlineLvl w:val="9"/>
    </w:pPr>
    <w:rPr>
      <w:rFonts w:ascii="宋体" w:eastAsia="宋体"/>
    </w:rPr>
  </w:style>
  <w:style w:type="paragraph" w:customStyle="1" w:styleId="167">
    <w:name w:val="标准文件_三级无标题"/>
    <w:basedOn w:val="97"/>
    <w:autoRedefine/>
    <w:qFormat/>
    <w:uiPriority w:val="0"/>
    <w:pPr>
      <w:spacing w:before="0" w:beforeLines="0" w:after="0" w:afterLines="0"/>
      <w:outlineLvl w:val="9"/>
    </w:pPr>
    <w:rPr>
      <w:rFonts w:ascii="宋体" w:eastAsia="宋体"/>
    </w:rPr>
  </w:style>
  <w:style w:type="paragraph" w:customStyle="1" w:styleId="168">
    <w:name w:val="标准文件_二级无标题"/>
    <w:basedOn w:val="68"/>
    <w:autoRedefine/>
    <w:qFormat/>
    <w:uiPriority w:val="0"/>
    <w:pPr>
      <w:spacing w:before="0" w:beforeLines="0" w:after="0" w:afterLines="0"/>
      <w:outlineLvl w:val="9"/>
    </w:pPr>
    <w:rPr>
      <w:rFonts w:ascii="宋体" w:eastAsia="宋体"/>
    </w:rPr>
  </w:style>
  <w:style w:type="paragraph" w:customStyle="1" w:styleId="169">
    <w:name w:val="标准_四级无标题"/>
    <w:basedOn w:val="101"/>
    <w:next w:val="59"/>
    <w:autoRedefine/>
    <w:qFormat/>
    <w:uiPriority w:val="0"/>
    <w:rPr>
      <w:rFonts w:eastAsia="宋体"/>
    </w:rPr>
  </w:style>
  <w:style w:type="paragraph" w:customStyle="1" w:styleId="170">
    <w:name w:val="标准文件_四级无标题"/>
    <w:basedOn w:val="101"/>
    <w:autoRedefine/>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autoRedefine/>
    <w:qFormat/>
    <w:uiPriority w:val="0"/>
    <w:pPr>
      <w:numPr>
        <w:ilvl w:val="0"/>
        <w:numId w:val="23"/>
      </w:numPr>
      <w:ind w:firstLine="0" w:firstLineChars="0"/>
    </w:pPr>
    <w:rPr>
      <w:rFonts w:ascii="Times New Roman" w:cs="Arial"/>
      <w:szCs w:val="28"/>
    </w:rPr>
  </w:style>
  <w:style w:type="paragraph" w:customStyle="1" w:styleId="172">
    <w:name w:val="标准文件_小写罗马数字编号列项"/>
    <w:basedOn w:val="59"/>
    <w:autoRedefine/>
    <w:qFormat/>
    <w:uiPriority w:val="0"/>
    <w:pPr>
      <w:numPr>
        <w:ilvl w:val="0"/>
        <w:numId w:val="24"/>
      </w:numPr>
      <w:ind w:firstLine="0" w:firstLineChars="0"/>
    </w:pPr>
    <w:rPr>
      <w:rFonts w:cs="Arial"/>
      <w:szCs w:val="28"/>
    </w:rPr>
  </w:style>
  <w:style w:type="paragraph" w:customStyle="1" w:styleId="173">
    <w:name w:val="标准文件_附录标题"/>
    <w:basedOn w:val="79"/>
    <w:autoRedefine/>
    <w:qFormat/>
    <w:uiPriority w:val="0"/>
    <w:pPr>
      <w:numPr>
        <w:numId w:val="0"/>
      </w:numPr>
      <w:spacing w:after="280"/>
      <w:outlineLvl w:val="9"/>
    </w:pPr>
  </w:style>
  <w:style w:type="paragraph" w:customStyle="1" w:styleId="174">
    <w:name w:val="标准文件_二级项"/>
    <w:autoRedefine/>
    <w:qFormat/>
    <w:uiPriority w:val="0"/>
    <w:rPr>
      <w:rFonts w:ascii="宋体" w:hAnsi="Times New Roman" w:eastAsia="宋体" w:cs="Times New Roman"/>
      <w:sz w:val="21"/>
      <w:lang w:val="en-US" w:eastAsia="zh-CN" w:bidi="ar-SA"/>
    </w:rPr>
  </w:style>
  <w:style w:type="paragraph" w:customStyle="1" w:styleId="175">
    <w:name w:val="标准文件_三级项"/>
    <w:basedOn w:val="1"/>
    <w:autoRedefine/>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autoRedefine/>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autoRedefine/>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autoRedefine/>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autoRedefine/>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autoRedefine/>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autoRedefine/>
    <w:qFormat/>
    <w:uiPriority w:val="0"/>
    <w:pPr>
      <w:ind w:firstLine="0" w:firstLineChars="0"/>
      <w:jc w:val="center"/>
    </w:pPr>
    <w:rPr>
      <w:sz w:val="18"/>
    </w:rPr>
  </w:style>
  <w:style w:type="paragraph" w:customStyle="1" w:styleId="182">
    <w:name w:val="标准文件_注："/>
    <w:next w:val="59"/>
    <w:autoRedefine/>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autoRedefine/>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autoRedefine/>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autoRedefine/>
    <w:qFormat/>
    <w:uiPriority w:val="0"/>
    <w:pPr>
      <w:ind w:firstLine="420"/>
    </w:pPr>
    <w:rPr>
      <w:sz w:val="18"/>
    </w:rPr>
  </w:style>
  <w:style w:type="paragraph" w:customStyle="1" w:styleId="186">
    <w:name w:val="标准文件_示例×："/>
    <w:basedOn w:val="1"/>
    <w:next w:val="185"/>
    <w:autoRedefine/>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autoRedefine/>
    <w:qFormat/>
    <w:uiPriority w:val="0"/>
    <w:rPr>
      <w:rFonts w:ascii="宋体" w:hAnsi="Times New Roman"/>
      <w:sz w:val="21"/>
    </w:rPr>
  </w:style>
  <w:style w:type="paragraph" w:customStyle="1" w:styleId="188">
    <w:name w:val="标准文件_表格续"/>
    <w:basedOn w:val="59"/>
    <w:next w:val="59"/>
    <w:autoRedefine/>
    <w:qFormat/>
    <w:uiPriority w:val="0"/>
    <w:pPr>
      <w:jc w:val="center"/>
    </w:pPr>
    <w:rPr>
      <w:rFonts w:ascii="黑体" w:hAnsi="黑体" w:eastAsia="黑体"/>
    </w:rPr>
  </w:style>
  <w:style w:type="character" w:styleId="189">
    <w:name w:val="Placeholder Text"/>
    <w:basedOn w:val="31"/>
    <w:autoRedefine/>
    <w:semiHidden/>
    <w:qFormat/>
    <w:uiPriority w:val="99"/>
    <w:rPr>
      <w:color w:val="808080"/>
    </w:rPr>
  </w:style>
  <w:style w:type="paragraph" w:customStyle="1" w:styleId="190">
    <w:name w:val="标准文件_二级项2"/>
    <w:basedOn w:val="59"/>
    <w:autoRedefine/>
    <w:qFormat/>
    <w:uiPriority w:val="0"/>
    <w:pPr>
      <w:numPr>
        <w:ilvl w:val="1"/>
        <w:numId w:val="21"/>
      </w:numPr>
      <w:ind w:firstLine="0" w:firstLineChars="0"/>
    </w:pPr>
  </w:style>
  <w:style w:type="paragraph" w:customStyle="1" w:styleId="191">
    <w:name w:val="标准文件_三级项2"/>
    <w:basedOn w:val="59"/>
    <w:autoRedefine/>
    <w:qFormat/>
    <w:uiPriority w:val="0"/>
    <w:pPr>
      <w:numPr>
        <w:ilvl w:val="0"/>
        <w:numId w:val="30"/>
      </w:numPr>
      <w:spacing w:line="300" w:lineRule="exact"/>
      <w:ind w:firstLineChars="0"/>
    </w:pPr>
    <w:rPr>
      <w:rFonts w:ascii="Times New Roman"/>
    </w:rPr>
  </w:style>
  <w:style w:type="paragraph" w:customStyle="1" w:styleId="192">
    <w:name w:val="标准文件_一级项2"/>
    <w:basedOn w:val="59"/>
    <w:autoRedefine/>
    <w:qFormat/>
    <w:uiPriority w:val="0"/>
    <w:pPr>
      <w:numPr>
        <w:ilvl w:val="0"/>
        <w:numId w:val="31"/>
      </w:numPr>
      <w:spacing w:line="300" w:lineRule="exact"/>
      <w:ind w:firstLineChars="0"/>
    </w:pPr>
    <w:rPr>
      <w:rFonts w:ascii="Times New Roman"/>
    </w:rPr>
  </w:style>
  <w:style w:type="paragraph" w:customStyle="1" w:styleId="193">
    <w:name w:val="标准文件_提示"/>
    <w:basedOn w:val="59"/>
    <w:next w:val="59"/>
    <w:autoRedefine/>
    <w:qFormat/>
    <w:uiPriority w:val="0"/>
    <w:pPr>
      <w:ind w:firstLine="420"/>
    </w:pPr>
    <w:rPr>
      <w:rFonts w:ascii="黑体" w:eastAsia="黑体"/>
    </w:rPr>
  </w:style>
  <w:style w:type="character" w:customStyle="1" w:styleId="194">
    <w:name w:val="标准文件_来源"/>
    <w:basedOn w:val="31"/>
    <w:autoRedefine/>
    <w:qFormat/>
    <w:uiPriority w:val="1"/>
    <w:rPr>
      <w:rFonts w:eastAsia="宋体"/>
      <w:sz w:val="21"/>
    </w:rPr>
  </w:style>
  <w:style w:type="paragraph" w:customStyle="1" w:styleId="195">
    <w:name w:val="标准文件_图表说明"/>
    <w:autoRedefine/>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autoRedefine/>
    <w:qFormat/>
    <w:uiPriority w:val="0"/>
    <w:pPr>
      <w:framePr w:w="3997" w:h="471" w:hRule="exact" w:hSpace="0" w:vSpace="181" w:wrap="around" w:vAnchor="page" w:hAnchor="page" w:x="1419" w:y="14097"/>
    </w:pPr>
  </w:style>
  <w:style w:type="paragraph" w:customStyle="1" w:styleId="197">
    <w:name w:val="其他实施日期"/>
    <w:basedOn w:val="157"/>
    <w:autoRedefine/>
    <w:qFormat/>
    <w:uiPriority w:val="0"/>
    <w:pPr>
      <w:framePr w:w="3997" w:h="471" w:hRule="exact" w:vSpace="181" w:wrap="around" w:vAnchor="page" w:hAnchor="page" w:x="7089" w:y="14097"/>
    </w:pPr>
  </w:style>
  <w:style w:type="paragraph" w:customStyle="1" w:styleId="198">
    <w:name w:val="标准文件_文件编号"/>
    <w:basedOn w:val="59"/>
    <w:autoRedefine/>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autoRedefine/>
    <w:qFormat/>
    <w:uiPriority w:val="0"/>
    <w:pPr>
      <w:spacing w:before="57"/>
    </w:pPr>
    <w:rPr>
      <w:sz w:val="21"/>
    </w:rPr>
  </w:style>
  <w:style w:type="paragraph" w:customStyle="1" w:styleId="200">
    <w:name w:val="标准文件_文件名称"/>
    <w:basedOn w:val="59"/>
    <w:next w:val="59"/>
    <w:autoRedefine/>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autoRedefine/>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autoRedefine/>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autoRedefine/>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autoRedefine/>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autoRedefine/>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autoRedefine/>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autoRedefine/>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autoRedefine/>
    <w:qFormat/>
    <w:uiPriority w:val="0"/>
    <w:pPr>
      <w:ind w:left="811" w:firstLine="0" w:firstLineChars="0"/>
    </w:pPr>
    <w:rPr>
      <w:sz w:val="18"/>
    </w:rPr>
  </w:style>
  <w:style w:type="paragraph" w:customStyle="1" w:styleId="209">
    <w:name w:val="标准文件_注X后"/>
    <w:basedOn w:val="59"/>
    <w:autoRedefine/>
    <w:qFormat/>
    <w:uiPriority w:val="0"/>
    <w:pPr>
      <w:ind w:left="811" w:firstLine="0" w:firstLineChars="0"/>
    </w:pPr>
    <w:rPr>
      <w:sz w:val="18"/>
    </w:rPr>
  </w:style>
  <w:style w:type="paragraph" w:customStyle="1" w:styleId="210">
    <w:name w:val="标准文件_示例后"/>
    <w:basedOn w:val="59"/>
    <w:autoRedefine/>
    <w:qFormat/>
    <w:uiPriority w:val="0"/>
    <w:pPr>
      <w:ind w:left="964" w:firstLine="0" w:firstLineChars="0"/>
    </w:pPr>
    <w:rPr>
      <w:sz w:val="18"/>
    </w:rPr>
  </w:style>
  <w:style w:type="paragraph" w:customStyle="1" w:styleId="211">
    <w:name w:val="标准文件_示例X后"/>
    <w:basedOn w:val="59"/>
    <w:link w:val="212"/>
    <w:autoRedefine/>
    <w:qFormat/>
    <w:uiPriority w:val="0"/>
    <w:pPr>
      <w:ind w:left="1049" w:firstLine="0" w:firstLineChars="0"/>
    </w:pPr>
    <w:rPr>
      <w:sz w:val="18"/>
    </w:rPr>
  </w:style>
  <w:style w:type="character" w:customStyle="1" w:styleId="212">
    <w:name w:val="标准文件_示例X后 字符"/>
    <w:basedOn w:val="187"/>
    <w:link w:val="211"/>
    <w:autoRedefine/>
    <w:qFormat/>
    <w:uiPriority w:val="0"/>
    <w:rPr>
      <w:rFonts w:ascii="宋体" w:hAnsi="Times New Roman"/>
      <w:sz w:val="18"/>
    </w:rPr>
  </w:style>
  <w:style w:type="paragraph" w:customStyle="1" w:styleId="213">
    <w:name w:val="标准文件_索引项"/>
    <w:basedOn w:val="59"/>
    <w:next w:val="59"/>
    <w:autoRedefine/>
    <w:qFormat/>
    <w:uiPriority w:val="0"/>
    <w:pPr>
      <w:tabs>
        <w:tab w:val="right" w:leader="dot" w:pos="9356"/>
      </w:tabs>
      <w:ind w:left="210" w:hanging="210" w:firstLineChars="0"/>
      <w:jc w:val="left"/>
    </w:pPr>
  </w:style>
  <w:style w:type="paragraph" w:customStyle="1" w:styleId="214">
    <w:name w:val="标准文件_附录一级无标题"/>
    <w:basedOn w:val="81"/>
    <w:autoRedefine/>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autoRedefine/>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autoRedefine/>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autoRedefine/>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autoRedefine/>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autoRedefine/>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autoRedefine/>
    <w:qFormat/>
    <w:uiPriority w:val="0"/>
    <w:pPr>
      <w:spacing w:before="0" w:beforeLines="0" w:after="0" w:afterLines="0" w:line="276" w:lineRule="auto"/>
    </w:pPr>
    <w:rPr>
      <w:rFonts w:ascii="宋体" w:eastAsia="宋体"/>
    </w:rPr>
  </w:style>
  <w:style w:type="paragraph" w:customStyle="1" w:styleId="221">
    <w:name w:val="标准文件_引言三级无标题"/>
    <w:basedOn w:val="205"/>
    <w:autoRedefine/>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autoRedefine/>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autoRedefine/>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autoRedefine/>
    <w:qFormat/>
    <w:uiPriority w:val="0"/>
    <w:rPr>
      <w:rFonts w:hAnsi="黑体"/>
    </w:rPr>
  </w:style>
  <w:style w:type="paragraph" w:customStyle="1" w:styleId="225">
    <w:name w:val="标准文件_脚注内容"/>
    <w:basedOn w:val="59"/>
    <w:autoRedefine/>
    <w:qFormat/>
    <w:uiPriority w:val="0"/>
    <w:pPr>
      <w:ind w:left="400" w:leftChars="200" w:hanging="200" w:hangingChars="200"/>
    </w:pPr>
    <w:rPr>
      <w:sz w:val="15"/>
    </w:rPr>
  </w:style>
  <w:style w:type="paragraph" w:customStyle="1" w:styleId="226">
    <w:name w:val="标准文件_术语条一"/>
    <w:basedOn w:val="165"/>
    <w:next w:val="59"/>
    <w:autoRedefine/>
    <w:qFormat/>
    <w:uiPriority w:val="0"/>
  </w:style>
  <w:style w:type="paragraph" w:customStyle="1" w:styleId="227">
    <w:name w:val="标准文件_术语条二"/>
    <w:basedOn w:val="168"/>
    <w:next w:val="59"/>
    <w:autoRedefine/>
    <w:qFormat/>
    <w:uiPriority w:val="0"/>
  </w:style>
  <w:style w:type="paragraph" w:customStyle="1" w:styleId="228">
    <w:name w:val="标准文件_术语条三"/>
    <w:basedOn w:val="167"/>
    <w:next w:val="59"/>
    <w:autoRedefine/>
    <w:qFormat/>
    <w:uiPriority w:val="0"/>
  </w:style>
  <w:style w:type="paragraph" w:customStyle="1" w:styleId="229">
    <w:name w:val="标准文件_术语条四"/>
    <w:basedOn w:val="170"/>
    <w:next w:val="59"/>
    <w:autoRedefine/>
    <w:qFormat/>
    <w:uiPriority w:val="0"/>
  </w:style>
  <w:style w:type="paragraph" w:customStyle="1" w:styleId="230">
    <w:name w:val="标准文件_术语条五"/>
    <w:basedOn w:val="166"/>
    <w:next w:val="59"/>
    <w:autoRedefine/>
    <w:qFormat/>
    <w:uiPriority w:val="0"/>
  </w:style>
  <w:style w:type="paragraph" w:customStyle="1" w:styleId="231">
    <w:name w:val="Default"/>
    <w:autoRedefine/>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1"/>
    <w:autoRedefine/>
    <w:qFormat/>
    <w:uiPriority w:val="0"/>
    <w:rPr>
      <w:rFonts w:ascii="黑体" w:eastAsia="黑体"/>
      <w:spacing w:val="85"/>
      <w:w w:val="100"/>
      <w:position w:val="3"/>
      <w:sz w:val="28"/>
      <w:szCs w:val="28"/>
    </w:rPr>
  </w:style>
  <w:style w:type="paragraph" w:customStyle="1" w:styleId="233">
    <w:name w:val="Table Text"/>
    <w:basedOn w:val="1"/>
    <w:autoRedefine/>
    <w:semiHidden/>
    <w:qFormat/>
    <w:uiPriority w:val="0"/>
    <w:rPr>
      <w:rFonts w:ascii="宋体" w:hAnsi="宋体" w:eastAsia="宋体" w:cs="宋体"/>
      <w:sz w:val="21"/>
      <w:szCs w:val="21"/>
      <w:lang w:val="en-US" w:eastAsia="en-US" w:bidi="ar-SA"/>
    </w:rPr>
  </w:style>
  <w:style w:type="table" w:customStyle="1" w:styleId="234">
    <w:name w:val="Table Normal"/>
    <w:autoRedefine/>
    <w:semiHidden/>
    <w:unhideWhenUsed/>
    <w:qFormat/>
    <w:uiPriority w:val="0"/>
    <w:tblPr>
      <w:tblCellMar>
        <w:top w:w="0" w:type="dxa"/>
        <w:left w:w="0" w:type="dxa"/>
        <w:bottom w:w="0" w:type="dxa"/>
        <w:right w:w="0" w:type="dxa"/>
      </w:tblCellMar>
    </w:tblPr>
  </w:style>
  <w:style w:type="paragraph" w:customStyle="1" w:styleId="235">
    <w:name w:val="终结线"/>
    <w:basedOn w:val="1"/>
    <w:autoRedefine/>
    <w:qFormat/>
    <w:uiPriority w:val="0"/>
    <w:pPr>
      <w:framePr w:hSpace="181" w:vSpace="181" w:wrap="around" w:vAnchor="text" w:hAnchor="margin" w:xAlign="center" w:y="285"/>
    </w:pPr>
  </w:style>
  <w:style w:type="paragraph" w:customStyle="1" w:styleId="236">
    <w:name w:val="附录标识"/>
    <w:basedOn w:val="1"/>
    <w:next w:val="237"/>
    <w:link w:val="243"/>
    <w:qFormat/>
    <w:uiPriority w:val="0"/>
    <w:pPr>
      <w:keepNext/>
      <w:widowControl/>
      <w:numPr>
        <w:ilvl w:val="0"/>
        <w:numId w:val="4"/>
      </w:numPr>
      <w:shd w:val="clear" w:color="FFFFFF" w:fill="FFFFFF"/>
      <w:spacing w:before="640" w:after="280"/>
      <w:ind w:left="3969"/>
      <w:jc w:val="center"/>
      <w:outlineLvl w:val="0"/>
    </w:pPr>
    <w:rPr>
      <w:rFonts w:ascii="黑体" w:eastAsia="黑体"/>
      <w:kern w:val="0"/>
      <w:szCs w:val="20"/>
    </w:rPr>
  </w:style>
  <w:style w:type="paragraph" w:customStyle="1" w:styleId="237">
    <w:name w:val="段"/>
    <w:qFormat/>
    <w:uiPriority w:val="0"/>
    <w:pPr>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8">
    <w:name w:val="附录章标题"/>
    <w:next w:val="237"/>
    <w:qFormat/>
    <w:uiPriority w:val="0"/>
    <w:pPr>
      <w:numPr>
        <w:ilvl w:val="1"/>
        <w:numId w:val="4"/>
      </w:numPr>
      <w:wordWrap w:val="0"/>
      <w:overflowPunct w:val="0"/>
      <w:autoSpaceDE w:val="0"/>
      <w:spacing w:beforeLines="100" w:afterLines="100"/>
      <w:ind w:left="1134"/>
      <w:jc w:val="both"/>
      <w:textAlignment w:val="baseline"/>
      <w:outlineLvl w:val="1"/>
    </w:pPr>
    <w:rPr>
      <w:rFonts w:ascii="黑体" w:hAnsi="Times New Roman" w:eastAsia="黑体" w:cs="Times New Roman"/>
      <w:kern w:val="21"/>
      <w:sz w:val="21"/>
      <w:lang w:val="en-US" w:eastAsia="zh-CN" w:bidi="ar-SA"/>
    </w:rPr>
  </w:style>
  <w:style w:type="paragraph" w:customStyle="1" w:styleId="239">
    <w:name w:val="参考文献"/>
    <w:basedOn w:val="1"/>
    <w:next w:val="237"/>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240">
    <w:name w:val="二级无"/>
    <w:basedOn w:val="241"/>
    <w:autoRedefine/>
    <w:qFormat/>
    <w:uiPriority w:val="0"/>
    <w:pPr>
      <w:ind w:left="1843"/>
    </w:pPr>
    <w:rPr>
      <w:rFonts w:ascii="宋体"/>
    </w:rPr>
  </w:style>
  <w:style w:type="paragraph" w:customStyle="1" w:styleId="241">
    <w:name w:val="二级条标题"/>
    <w:basedOn w:val="242"/>
    <w:next w:val="237"/>
    <w:autoRedefine/>
    <w:qFormat/>
    <w:uiPriority w:val="0"/>
    <w:pPr>
      <w:spacing w:before="50" w:after="50"/>
      <w:outlineLvl w:val="3"/>
    </w:pPr>
  </w:style>
  <w:style w:type="paragraph" w:customStyle="1" w:styleId="242">
    <w:name w:val="一级条标题"/>
    <w:basedOn w:val="1"/>
    <w:next w:val="237"/>
    <w:autoRedefine/>
    <w:qFormat/>
    <w:uiPriority w:val="0"/>
    <w:pPr>
      <w:widowControl/>
      <w:adjustRightInd/>
      <w:spacing w:beforeLines="50" w:afterLines="50" w:line="240" w:lineRule="auto"/>
      <w:ind w:left="1701"/>
      <w:jc w:val="left"/>
      <w:outlineLvl w:val="2"/>
    </w:pPr>
    <w:rPr>
      <w:rFonts w:ascii="黑体" w:hAnsi="Times New Roman" w:eastAsia="黑体"/>
      <w:kern w:val="0"/>
    </w:rPr>
  </w:style>
  <w:style w:type="character" w:customStyle="1" w:styleId="243">
    <w:name w:val="附录标识 Char"/>
    <w:link w:val="236"/>
    <w:autoRedefine/>
    <w:qFormat/>
    <w:uiPriority w:val="0"/>
    <w:rPr>
      <w:rFonts w:ascii="黑体" w:eastAsia="黑体"/>
      <w:kern w:val="0"/>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21713128-2fb3-42d3-bb50-8e93bba009cc}"/>
        <w:style w:val=""/>
        <w:category>
          <w:name w:val="常规"/>
          <w:gallery w:val="placeholder"/>
        </w:category>
        <w:types>
          <w:type w:val="bbPlcHdr"/>
        </w:types>
        <w:behaviors>
          <w:behavior w:val="content"/>
        </w:behaviors>
        <w:description w:val=""/>
        <w:guid w:val="{21713128-2fb3-42d3-bb50-8e93bba009cc}"/>
      </w:docPartPr>
      <w:docPartBody>
        <w:p w14:paraId="7762D2AA">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5"/>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paragraph" w:customStyle="1" w:styleId="3">
    <w:name w:val="8B8623DBB2C24B3899CB0B000E5C5DBB"/>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styleId="4">
    <w:name w:val="Placeholder Text"/>
    <w:semiHidden/>
    <w:qFormat/>
    <w:uiPriority w:val="99"/>
    <w:rPr>
      <w:color w:val="808080"/>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9</Pages>
  <Words>4113</Words>
  <Characters>4694</Characters>
  <Lines>45</Lines>
  <Paragraphs>12</Paragraphs>
  <TotalTime>10</TotalTime>
  <ScaleCrop>false</ScaleCrop>
  <LinksUpToDate>false</LinksUpToDate>
  <CharactersWithSpaces>4893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2023-08-16T03:16:00Z</dcterms:created>
  <dc:creator>ZHH</dc:creator>
  <cp:lastModifiedBy>DTT</cp:lastModifiedBy>
  <cp:lastPrinted>2025-01-06T08:01:00Z</cp:lastPrinted>
  <dcterms:modified xsi:type="dcterms:W3CDTF">2026-04-21T07:23:32Z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2493391CAE1C437DAA6F1A4DC409B78B_13</vt:lpwstr>
  </property>
  <property fmtid="{D5CDD505-2E9C-101B-9397-08002B2CF9AE}" pid="16" name="KSOTemplateDocerSaveRecord">
    <vt:lpwstr>eyJoZGlkIjoiZjg4ZGUzMmU5ZDk0M2FjMzAzOTBhZmQxMjNkNTk0NTYiLCJ1c2VySWQiOiI0MDgwOTI1NzcifQ==</vt:lpwstr>
  </property>
</Properties>
</file>