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7F99E">
      <w:pPr>
        <w:adjustRightInd w:val="0"/>
        <w:snapToGrid w:val="0"/>
        <w:spacing w:line="240" w:lineRule="atLeast"/>
        <w:jc w:val="center"/>
        <w:rPr>
          <w:rFonts w:ascii="Times New Roman" w:hAnsi="Times New Roman" w:eastAsia="方正小标宋_GBK" w:cs="Times New Roman"/>
          <w:bCs/>
          <w:sz w:val="44"/>
          <w:szCs w:val="44"/>
        </w:rPr>
      </w:pPr>
      <w:r>
        <w:rPr>
          <w:rFonts w:hint="eastAsia" w:ascii="Times New Roman" w:hAnsi="Times New Roman" w:eastAsia="方正小标宋_GBK" w:cs="Times New Roman"/>
          <w:bCs/>
          <w:sz w:val="44"/>
          <w:szCs w:val="44"/>
        </w:rPr>
        <w:t>《智慧农业设施作物数据采集规范》团体标准（征求意见稿）编制说明</w:t>
      </w:r>
    </w:p>
    <w:p w14:paraId="2D701950">
      <w:pPr>
        <w:adjustRightInd w:val="0"/>
        <w:snapToGrid w:val="0"/>
        <w:spacing w:line="560" w:lineRule="atLeast"/>
        <w:ind w:firstLine="640" w:firstLineChars="200"/>
        <w:rPr>
          <w:rFonts w:ascii="Times New Roman" w:hAnsi="Times New Roman" w:eastAsia="仿宋_GB2312" w:cs="Times New Roman"/>
          <w:sz w:val="32"/>
          <w:szCs w:val="32"/>
        </w:rPr>
      </w:pPr>
    </w:p>
    <w:p w14:paraId="4087CFBB">
      <w:pPr>
        <w:pStyle w:val="2"/>
        <w:jc w:val="both"/>
        <w:outlineLvl w:val="0"/>
        <w:rPr>
          <w:rFonts w:ascii="黑体" w:hAnsi="黑体" w:eastAsia="黑体" w:cs="黑体"/>
        </w:rPr>
      </w:pPr>
      <w:r>
        <w:rPr>
          <w:rFonts w:hint="eastAsia" w:ascii="黑体" w:hAnsi="黑体" w:eastAsia="黑体" w:cs="黑体"/>
        </w:rPr>
        <w:t>一、工作简况</w:t>
      </w:r>
    </w:p>
    <w:p w14:paraId="3538FF38">
      <w:pPr>
        <w:adjustRightInd w:val="0"/>
        <w:snapToGrid w:val="0"/>
        <w:spacing w:line="560" w:lineRule="atLeas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（一）任务来源</w:t>
      </w:r>
    </w:p>
    <w:p w14:paraId="66A3C95B">
      <w:pPr>
        <w:widowControl/>
        <w:ind w:firstLine="640" w:firstLineChars="200"/>
        <w:rPr>
          <w:rFonts w:ascii="Times New Roman" w:hAnsi="Times New Roman" w:eastAsia="Times New Roman" w:cs="Times New Roman"/>
          <w:kern w:val="0"/>
          <w:sz w:val="20"/>
          <w:szCs w:val="20"/>
        </w:rPr>
      </w:pPr>
      <w:r>
        <w:rPr>
          <w:rFonts w:hint="eastAsia" w:ascii="Times New Roman" w:hAnsi="Times New Roman" w:eastAsia="仿宋_GB2312" w:cs="Times New Roman"/>
          <w:sz w:val="32"/>
          <w:szCs w:val="32"/>
        </w:rPr>
        <w:t>本项目是根据《2026年苏州市人工智能行业协会团体标准 （第一批）3项标准立项公示》（苏州智协标〔202</w:t>
      </w: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rPr>
        <w:t>〕2号）制定，为</w:t>
      </w:r>
      <w:r>
        <w:rPr>
          <w:rFonts w:ascii="Times New Roman" w:hAnsi="Times New Roman" w:eastAsia="仿宋_GB2312" w:cs="Times New Roman"/>
          <w:sz w:val="32"/>
          <w:szCs w:val="32"/>
        </w:rPr>
        <w:t>规范</w:t>
      </w:r>
      <w:r>
        <w:rPr>
          <w:rFonts w:hint="eastAsia" w:ascii="Times New Roman" w:hAnsi="Times New Roman" w:eastAsia="仿宋_GB2312" w:cs="Times New Roman"/>
          <w:sz w:val="32"/>
          <w:szCs w:val="32"/>
        </w:rPr>
        <w:t>智慧农业领域</w:t>
      </w:r>
      <w:r>
        <w:rPr>
          <w:rFonts w:ascii="Times New Roman" w:hAnsi="Times New Roman" w:eastAsia="仿宋_GB2312" w:cs="Times New Roman"/>
          <w:sz w:val="32"/>
          <w:szCs w:val="32"/>
        </w:rPr>
        <w:t>设施作物全生长周期数据采集行为，统一数据标准与技术要求，打通数据壁垒，支撑设施农业高质量发展</w:t>
      </w:r>
      <w:r>
        <w:rPr>
          <w:rFonts w:hint="eastAsia" w:ascii="Times New Roman" w:hAnsi="Times New Roman" w:eastAsia="仿宋_GB2312" w:cs="Times New Roman"/>
          <w:sz w:val="32"/>
          <w:szCs w:val="32"/>
        </w:rPr>
        <w:t>，由苏州市农业科学院提出，共计</w:t>
      </w:r>
      <w:r>
        <w:rPr>
          <w:rFonts w:ascii="Times New Roman" w:hAnsi="Times New Roman" w:eastAsia="仿宋_GB2312" w:cs="Times New Roman"/>
          <w:sz w:val="32"/>
          <w:szCs w:val="32"/>
        </w:rPr>
        <w:t>5</w:t>
      </w:r>
      <w:r>
        <w:rPr>
          <w:rFonts w:hint="eastAsia" w:ascii="Times New Roman" w:hAnsi="Times New Roman" w:eastAsia="仿宋_GB2312" w:cs="Times New Roman"/>
          <w:sz w:val="32"/>
          <w:szCs w:val="32"/>
        </w:rPr>
        <w:t>家单位参与制定。计划完成时间202</w:t>
      </w: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rPr>
        <w:t>年</w:t>
      </w: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rPr>
        <w:t>月。</w:t>
      </w:r>
    </w:p>
    <w:p w14:paraId="347082DF">
      <w:pPr>
        <w:adjustRightInd w:val="0"/>
        <w:snapToGrid w:val="0"/>
        <w:spacing w:line="560" w:lineRule="atLeas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（二）主要工作过程</w:t>
      </w:r>
    </w:p>
    <w:p w14:paraId="5B59848B">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1.调研立项阶段</w:t>
      </w:r>
    </w:p>
    <w:p w14:paraId="143EB90B">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智慧农业是农业新质生产力的重要内容，是建设农业强国的战略制高点。全国设施农业面积约4000多万亩，占世界设施农业总面积的80%以上。设施作物依托日光温室、连栋温室等可控环境开展集约化生产，其生长全程依赖温、光、水、气、肥等环境参数及作物长势、病虫害等生理数据的精准把控，数据采集是设施农业智能化管控、标准化生产的核心前提。当前设施作物数据采集领域缺乏统一规范，已成为制约产业数字化转型、高质量发展的瓶颈。为破解当前数据采集乱象、夯实智慧农业发展数据基础，苏州市农业科学院在苏州市人工智能行业协会的指导下，于202</w:t>
      </w: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rPr>
        <w:t>年</w:t>
      </w: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月提出《</w:t>
      </w:r>
      <w:bookmarkStart w:id="0" w:name="OLE_LINK3"/>
      <w:r>
        <w:rPr>
          <w:rFonts w:hint="eastAsia" w:ascii="Times New Roman" w:hAnsi="Times New Roman" w:eastAsia="仿宋_GB2312" w:cs="Times New Roman"/>
          <w:sz w:val="32"/>
          <w:szCs w:val="32"/>
        </w:rPr>
        <w:t>智慧农业设施作物数据采集规范</w:t>
      </w:r>
      <w:bookmarkEnd w:id="0"/>
      <w:r>
        <w:rPr>
          <w:rFonts w:hint="eastAsia" w:ascii="Times New Roman" w:hAnsi="Times New Roman" w:eastAsia="仿宋_GB2312" w:cs="Times New Roman"/>
          <w:sz w:val="32"/>
          <w:szCs w:val="32"/>
        </w:rPr>
        <w:t>》团体标准的立项申请，并召开了团体标准立项评审会议，对该项团体标准通过立项评审及公示。</w:t>
      </w:r>
    </w:p>
    <w:p w14:paraId="454D87BA">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2.组建工作组，形成标准草案</w:t>
      </w:r>
    </w:p>
    <w:p w14:paraId="4A5CD545">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通过立项评审后，苏州市农业科学院公开征集了团标参编单位，经协会标准化工作组的遴选，最终确定了共计</w:t>
      </w:r>
      <w:r>
        <w:rPr>
          <w:rFonts w:ascii="Times New Roman" w:hAnsi="Times New Roman" w:eastAsia="仿宋_GB2312" w:cs="Times New Roman"/>
          <w:sz w:val="32"/>
          <w:szCs w:val="32"/>
        </w:rPr>
        <w:t>5</w:t>
      </w:r>
      <w:r>
        <w:rPr>
          <w:rFonts w:hint="eastAsia" w:ascii="Times New Roman" w:hAnsi="Times New Roman" w:eastAsia="仿宋_GB2312" w:cs="Times New Roman"/>
          <w:sz w:val="32"/>
          <w:szCs w:val="32"/>
        </w:rPr>
        <w:t>家参编单位，由牵头单位、参编单位的相关技术专家、企业专家共同组建了团体标准起草小组。起草小组结合行业内、企业内的发展经验和相关资料，形成标准草案，并开展线上团组讨论、一对一交流等多种形式的内部研讨会，邀请了专家和相关企业对标准进行指导，最终起草小组对《</w:t>
      </w:r>
      <w:bookmarkStart w:id="1" w:name="OLE_LINK9"/>
      <w:r>
        <w:rPr>
          <w:rFonts w:hint="eastAsia" w:ascii="Times New Roman" w:hAnsi="Times New Roman" w:eastAsia="仿宋_GB2312" w:cs="Times New Roman"/>
          <w:sz w:val="32"/>
          <w:szCs w:val="32"/>
        </w:rPr>
        <w:t>智慧农业设施作物数据采集规范</w:t>
      </w:r>
      <w:bookmarkEnd w:id="1"/>
      <w:r>
        <w:rPr>
          <w:rFonts w:hint="eastAsia" w:ascii="Times New Roman" w:hAnsi="Times New Roman" w:eastAsia="仿宋_GB2312" w:cs="Times New Roman"/>
          <w:sz w:val="32"/>
          <w:szCs w:val="32"/>
        </w:rPr>
        <w:t>》的标准编制工作重点、标准制定依据和编制原则等形成了共识，于 202</w:t>
      </w: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rPr>
        <w:t>年</w:t>
      </w:r>
      <w:r>
        <w:rPr>
          <w:rFonts w:ascii="Times New Roman" w:hAnsi="Times New Roman" w:eastAsia="仿宋_GB2312" w:cs="Times New Roman"/>
          <w:sz w:val="32"/>
          <w:szCs w:val="32"/>
        </w:rPr>
        <w:t>4</w:t>
      </w:r>
      <w:r>
        <w:rPr>
          <w:rFonts w:hint="eastAsia" w:ascii="Times New Roman" w:hAnsi="Times New Roman" w:eastAsia="仿宋_GB2312" w:cs="Times New Roman"/>
          <w:sz w:val="32"/>
          <w:szCs w:val="32"/>
        </w:rPr>
        <w:t>月</w:t>
      </w:r>
      <w:r>
        <w:rPr>
          <w:rFonts w:ascii="Times New Roman" w:hAnsi="Times New Roman" w:eastAsia="仿宋_GB2312" w:cs="Times New Roman"/>
          <w:sz w:val="32"/>
          <w:szCs w:val="32"/>
        </w:rPr>
        <w:t>3</w:t>
      </w:r>
      <w:r>
        <w:rPr>
          <w:rFonts w:hint="eastAsia" w:ascii="Times New Roman" w:hAnsi="Times New Roman" w:eastAsia="仿宋_GB2312" w:cs="Times New Roman"/>
          <w:sz w:val="32"/>
          <w:szCs w:val="32"/>
        </w:rPr>
        <w:t>日形成标准征求意见稿。</w:t>
      </w:r>
    </w:p>
    <w:p w14:paraId="666E84B7">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3.主要参加单位和工作组成员及分工</w:t>
      </w:r>
    </w:p>
    <w:p w14:paraId="38E659B7">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本标准由苏州市农业科学院、苏州市农业信息中心、昆山优来谷成科创园、苏州市农业技术推广中心、苏州市农业职业技术学院参与起草。</w:t>
      </w:r>
    </w:p>
    <w:p w14:paraId="780C9745">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主要成员：田婷、李瑞、李跃文、</w:t>
      </w:r>
      <w:r>
        <w:rPr>
          <w:rFonts w:hint="eastAsia" w:ascii="Times New Roman" w:hAnsi="Times New Roman" w:eastAsia="仿宋_GB2312" w:cs="Times New Roman"/>
          <w:sz w:val="32"/>
          <w:szCs w:val="32"/>
          <w:lang w:val="en-US" w:eastAsia="zh-CN"/>
        </w:rPr>
        <w:t>陶玥玥</w:t>
      </w:r>
      <w:r>
        <w:rPr>
          <w:rFonts w:hint="eastAsia" w:ascii="仿宋_GB2312" w:hAnsi="仿宋_GB2312" w:eastAsia="仿宋_GB2312" w:cs="仿宋_GB2312"/>
          <w:sz w:val="32"/>
          <w:szCs w:val="32"/>
        </w:rPr>
        <w:t>、王敦亮、刘好丽、陈颖、李军、蔡林运、周园园、钱春花、何其全、朱琳</w:t>
      </w:r>
      <w:r>
        <w:rPr>
          <w:rFonts w:hint="eastAsia" w:ascii="Times New Roman" w:hAnsi="Times New Roman" w:eastAsia="仿宋_GB2312" w:cs="Times New Roman"/>
          <w:sz w:val="32"/>
          <w:szCs w:val="32"/>
        </w:rPr>
        <w:t>等人。</w:t>
      </w:r>
    </w:p>
    <w:p w14:paraId="16143173">
      <w:pPr>
        <w:pStyle w:val="2"/>
        <w:jc w:val="both"/>
        <w:outlineLvl w:val="0"/>
        <w:rPr>
          <w:rFonts w:ascii="黑体" w:hAnsi="黑体" w:eastAsia="黑体" w:cs="黑体"/>
        </w:rPr>
      </w:pPr>
      <w:r>
        <w:rPr>
          <w:rFonts w:hint="eastAsia" w:ascii="黑体" w:hAnsi="黑体" w:eastAsia="黑体" w:cs="黑体"/>
        </w:rPr>
        <w:t>二、标准编制原则和主要内容</w:t>
      </w:r>
    </w:p>
    <w:p w14:paraId="1FB9B42A">
      <w:pPr>
        <w:adjustRightInd w:val="0"/>
        <w:snapToGrid w:val="0"/>
        <w:spacing w:line="560" w:lineRule="atLeas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（一）编制原则</w:t>
      </w:r>
    </w:p>
    <w:p w14:paraId="53669FDA">
      <w:pPr>
        <w:pStyle w:val="2"/>
        <w:jc w:val="left"/>
        <w:rPr>
          <w:rFonts w:ascii="Times New Roman" w:eastAsia="仿宋_GB2312" w:cs="Times New Roman"/>
        </w:rPr>
      </w:pPr>
      <w:r>
        <w:rPr>
          <w:rFonts w:hint="eastAsia" w:ascii="Times New Roman" w:eastAsia="仿宋_GB2312" w:cs="Times New Roman"/>
        </w:rPr>
        <w:t>智慧农业是推动农业现代化、助力乡村振兴的战略性举措，也是驱动农业数字化转型的核心引擎。构建科学、规范的智慧农业设施作物数据采集体系，是在当前物联网、大数据等技术与农业深度融合、设施农业产业应用蓬勃发展的基础上，进一步厘清设施农业产业发展脉络、规范数据采集行为、打通数据互通壁垒、引导农业创新资源优化配置的关键举措，对推动智慧农业产业高质量发展、赋能现代化农业产业体系建设至关重要。本标准制定高度契合国家乡村振兴、数字乡村建设战略和农业创新驱动发展需求。目前，尚未出台专门针对智慧农业设施作物数据采集的相关标准，现有标准多聚焦宏观领域或通用技术，针对设施作物集约化生产的专属场景，缺乏对核心采集指标、精度阈值、</w:t>
      </w:r>
      <w:bookmarkStart w:id="2" w:name="OLE_LINK8"/>
      <w:r>
        <w:rPr>
          <w:rFonts w:hint="eastAsia" w:ascii="Times New Roman" w:eastAsia="仿宋_GB2312" w:cs="Times New Roman"/>
        </w:rPr>
        <w:t>点位规范等细化要求，且未充分适配中小农户实操需求。</w:t>
      </w:r>
      <w:bookmarkEnd w:id="2"/>
      <w:r>
        <w:rPr>
          <w:rFonts w:hint="eastAsia" w:ascii="Times New Roman" w:eastAsia="仿宋_GB2312" w:cs="Times New Roman"/>
        </w:rPr>
        <w:t>因此，本标准具有差别化、前瞻性及较高的应用价值。</w:t>
      </w:r>
    </w:p>
    <w:p w14:paraId="126FACB8">
      <w:pPr>
        <w:adjustRightInd w:val="0"/>
        <w:snapToGrid w:val="0"/>
        <w:spacing w:line="560" w:lineRule="atLeast"/>
        <w:ind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在标准编制格式方面，该标准的编制依据 GB/T 1.1《标准化工作导则 第 1 部分：标准的结构和编写》。在起草过程中，广泛收集查阅了国内相关标准和相关技术文献，对于本标准的编写遵循</w:t>
      </w:r>
      <w:r>
        <w:rPr>
          <w:rFonts w:ascii="Times New Roman" w:hAnsi="Times New Roman" w:eastAsia="仿宋_GB2312" w:cs="Times New Roman"/>
          <w:sz w:val="32"/>
          <w:szCs w:val="32"/>
        </w:rPr>
        <w:t>智慧农业</w:t>
      </w:r>
      <w:r>
        <w:rPr>
          <w:rFonts w:hint="eastAsia" w:ascii="Times New Roman" w:hAnsi="Times New Roman" w:eastAsia="仿宋_GB2312" w:cs="Times New Roman"/>
          <w:sz w:val="32"/>
          <w:szCs w:val="32"/>
        </w:rPr>
        <w:t>领域</w:t>
      </w:r>
      <w:r>
        <w:rPr>
          <w:rFonts w:ascii="Times New Roman" w:hAnsi="Times New Roman" w:eastAsia="仿宋_GB2312" w:cs="Times New Roman"/>
          <w:sz w:val="32"/>
          <w:szCs w:val="32"/>
        </w:rPr>
        <w:t>设施作物数据采集规范化、标准化提升的实际需求，结合江苏省、苏州市智慧农业设施作物生产实际</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制定贴合产业实际、可落地、可操作的数据采集指标和要求</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推动区域设施农业数字化协同发展</w:t>
      </w:r>
      <w:r>
        <w:rPr>
          <w:rFonts w:hint="eastAsia" w:ascii="Times New Roman" w:hAnsi="Times New Roman" w:eastAsia="仿宋_GB2312" w:cs="Times New Roman"/>
          <w:sz w:val="32"/>
          <w:szCs w:val="32"/>
        </w:rPr>
        <w:t>。</w:t>
      </w:r>
    </w:p>
    <w:p w14:paraId="6141DAF8">
      <w:pPr>
        <w:adjustRightInd w:val="0"/>
        <w:snapToGrid w:val="0"/>
        <w:spacing w:line="560" w:lineRule="atLeast"/>
        <w:ind w:firstLine="640" w:firstLineChars="200"/>
        <w:rPr>
          <w:rFonts w:ascii="楷体_GB2312" w:hAnsi="楷体_GB2312" w:eastAsia="楷体_GB2312" w:cs="楷体_GB2312"/>
          <w:sz w:val="32"/>
          <w:szCs w:val="32"/>
        </w:rPr>
      </w:pPr>
      <w:r>
        <w:rPr>
          <w:rFonts w:hint="eastAsia" w:ascii="楷体_GB2312" w:hAnsi="楷体_GB2312" w:eastAsia="楷体_GB2312" w:cs="楷体_GB2312"/>
          <w:sz w:val="32"/>
          <w:szCs w:val="32"/>
        </w:rPr>
        <w:t>（二）主要内容</w:t>
      </w:r>
    </w:p>
    <w:p w14:paraId="0C98BF4A">
      <w:pPr>
        <w:pStyle w:val="2"/>
        <w:jc w:val="both"/>
        <w:rPr>
          <w:rFonts w:ascii="Times New Roman" w:eastAsia="仿宋_GB2312" w:cs="Times New Roman"/>
        </w:rPr>
      </w:pPr>
      <w:r>
        <w:rPr>
          <w:rFonts w:hint="eastAsia" w:ascii="Times New Roman" w:eastAsia="仿宋_GB2312" w:cs="Times New Roman"/>
        </w:rPr>
        <w:t>本标准适用于设施农业作物生长数据采集。主要内容包括设施农业作物生长数据采集的基础条件、采集方式、在线式采集数据与要求、非在线式采集数据与要求、数据存储及数据安全的要求等。</w:t>
      </w:r>
    </w:p>
    <w:p w14:paraId="5AEF29E9">
      <w:pPr>
        <w:pStyle w:val="2"/>
        <w:jc w:val="both"/>
        <w:outlineLvl w:val="0"/>
        <w:rPr>
          <w:rFonts w:ascii="黑体" w:hAnsi="黑体" w:eastAsia="黑体" w:cs="黑体"/>
        </w:rPr>
      </w:pPr>
      <w:r>
        <w:rPr>
          <w:rFonts w:hint="eastAsia" w:ascii="黑体" w:hAnsi="黑体" w:eastAsia="黑体" w:cs="黑体"/>
        </w:rPr>
        <w:t>三、主要评价指标体系及试验（或验证）情况</w:t>
      </w:r>
    </w:p>
    <w:p w14:paraId="2427BA0B">
      <w:pPr>
        <w:pStyle w:val="2"/>
        <w:jc w:val="both"/>
        <w:rPr>
          <w:rFonts w:ascii="Times New Roman" w:eastAsia="仿宋_GB2312" w:cs="Times New Roman"/>
        </w:rPr>
      </w:pPr>
      <w:r>
        <w:rPr>
          <w:rFonts w:hint="eastAsia" w:ascii="Times New Roman" w:eastAsia="仿宋_GB2312" w:cs="Times New Roman"/>
        </w:rPr>
        <w:t>本标准不涉及试验（或验证）。</w:t>
      </w:r>
    </w:p>
    <w:p w14:paraId="23190F24">
      <w:pPr>
        <w:pStyle w:val="2"/>
        <w:jc w:val="both"/>
        <w:outlineLvl w:val="0"/>
        <w:rPr>
          <w:rFonts w:ascii="黑体" w:hAnsi="黑体" w:eastAsia="黑体" w:cs="黑体"/>
        </w:rPr>
      </w:pPr>
      <w:r>
        <w:rPr>
          <w:rFonts w:hint="eastAsia" w:ascii="黑体" w:hAnsi="黑体" w:eastAsia="黑体" w:cs="黑体"/>
        </w:rPr>
        <w:t>四、标准中如果涉及专利，应有明确的知识产权说明</w:t>
      </w:r>
    </w:p>
    <w:p w14:paraId="13669513">
      <w:pPr>
        <w:pStyle w:val="2"/>
        <w:jc w:val="both"/>
        <w:rPr>
          <w:rFonts w:ascii="Times New Roman" w:eastAsia="仿宋_GB2312" w:cs="Times New Roman"/>
        </w:rPr>
      </w:pPr>
      <w:r>
        <w:rPr>
          <w:rFonts w:hint="eastAsia" w:ascii="Times New Roman" w:eastAsia="仿宋_GB2312" w:cs="Times New Roman"/>
        </w:rPr>
        <w:t>本标准中不涉及知识产权。</w:t>
      </w:r>
    </w:p>
    <w:p w14:paraId="6171A7D5">
      <w:pPr>
        <w:pStyle w:val="2"/>
        <w:jc w:val="both"/>
        <w:outlineLvl w:val="0"/>
        <w:rPr>
          <w:rFonts w:ascii="黑体" w:hAnsi="黑体" w:eastAsia="黑体" w:cs="黑体"/>
        </w:rPr>
      </w:pPr>
      <w:r>
        <w:rPr>
          <w:rFonts w:hint="eastAsia" w:ascii="黑体" w:hAnsi="黑体" w:eastAsia="黑体" w:cs="黑体"/>
        </w:rPr>
        <w:t>五、预期达到的社会、对产业发展的作用等情况</w:t>
      </w:r>
    </w:p>
    <w:p w14:paraId="2C7F0BE7">
      <w:pPr>
        <w:pStyle w:val="2"/>
        <w:jc w:val="both"/>
        <w:rPr>
          <w:rFonts w:ascii="Times New Roman" w:eastAsia="仿宋_GB2312" w:cs="Times New Roman"/>
        </w:rPr>
      </w:pPr>
      <w:r>
        <w:rPr>
          <w:rFonts w:hint="eastAsia" w:ascii="Times New Roman" w:eastAsia="仿宋_GB2312" w:cs="Times New Roman"/>
        </w:rPr>
        <w:t>通过制定《智慧农业设施作物数据采集规范》，</w:t>
      </w:r>
      <w:r>
        <w:rPr>
          <w:rFonts w:ascii="Times New Roman" w:eastAsia="仿宋_GB2312" w:cs="Times New Roman"/>
        </w:rPr>
        <w:t>规范设施作物数据采集全流程，为精准种植、科学管控提供标准化数据支撑，有效提升农产品产量与品质，保障区域农产品稳定供给；</w:t>
      </w:r>
      <w:r>
        <w:rPr>
          <w:rFonts w:hint="eastAsia" w:ascii="Times New Roman" w:eastAsia="仿宋_GB2312" w:cs="Times New Roman"/>
        </w:rPr>
        <w:t>有利于</w:t>
      </w:r>
      <w:r>
        <w:rPr>
          <w:rFonts w:ascii="Times New Roman" w:eastAsia="仿宋_GB2312" w:cs="Times New Roman"/>
        </w:rPr>
        <w:t>节约农业生产成本，助力农民增收致富，推动农业绿色可持续发展</w:t>
      </w:r>
      <w:r>
        <w:rPr>
          <w:rFonts w:hint="eastAsia" w:ascii="Times New Roman" w:eastAsia="仿宋_GB2312" w:cs="Times New Roman"/>
        </w:rPr>
        <w:t>。同时，该标准的制定，</w:t>
      </w:r>
      <w:r>
        <w:rPr>
          <w:rFonts w:ascii="Times New Roman" w:eastAsia="仿宋_GB2312" w:cs="Times New Roman"/>
        </w:rPr>
        <w:t>可有效打通智慧农业领域的数据壁垒，引领物联网、大数据</w:t>
      </w:r>
      <w:r>
        <w:rPr>
          <w:rFonts w:hint="eastAsia" w:ascii="Times New Roman" w:eastAsia="仿宋_GB2312" w:cs="Times New Roman"/>
        </w:rPr>
        <w:t>、人工智能</w:t>
      </w:r>
      <w:r>
        <w:rPr>
          <w:rFonts w:ascii="Times New Roman" w:eastAsia="仿宋_GB2312" w:cs="Times New Roman"/>
        </w:rPr>
        <w:t>等技术在设施农业中的深度应用，提升区域智慧农业产业的规范化水平与核心竞争力，为智慧农业产业高质量发展奠定坚实的标准化基础。</w:t>
      </w:r>
    </w:p>
    <w:p w14:paraId="251AAF20">
      <w:pPr>
        <w:pStyle w:val="2"/>
        <w:jc w:val="both"/>
        <w:outlineLvl w:val="0"/>
        <w:rPr>
          <w:rFonts w:ascii="黑体" w:hAnsi="黑体" w:eastAsia="黑体" w:cs="黑体"/>
        </w:rPr>
      </w:pPr>
      <w:r>
        <w:rPr>
          <w:rFonts w:hint="eastAsia" w:ascii="黑体" w:hAnsi="黑体" w:eastAsia="黑体" w:cs="黑体"/>
        </w:rPr>
        <w:t>六、采用国际标准和国外先进标准情况，与国际、国外同类标准水平的对比分析情况</w:t>
      </w:r>
    </w:p>
    <w:p w14:paraId="0BBD377E">
      <w:pPr>
        <w:pStyle w:val="2"/>
        <w:jc w:val="both"/>
        <w:outlineLvl w:val="0"/>
        <w:rPr>
          <w:rFonts w:ascii="Times New Roman" w:eastAsia="仿宋_GB2312" w:cs="Times New Roman"/>
        </w:rPr>
      </w:pPr>
      <w:r>
        <w:rPr>
          <w:rFonts w:hint="eastAsia" w:ascii="Times New Roman" w:eastAsia="仿宋_GB2312" w:cs="Times New Roman"/>
        </w:rPr>
        <w:t>本标准填补了当前国内在智慧农业领域设施作物及生长过程精细化数据采集方面标准的空白，并与国内已有的通用技术、数据传输标准形成互补，具有前瞻性和借鉴性。</w:t>
      </w:r>
    </w:p>
    <w:p w14:paraId="7506A095">
      <w:pPr>
        <w:pStyle w:val="2"/>
        <w:jc w:val="both"/>
        <w:outlineLvl w:val="0"/>
        <w:rPr>
          <w:rFonts w:ascii="黑体" w:hAnsi="黑体" w:eastAsia="黑体" w:cs="黑体"/>
        </w:rPr>
      </w:pPr>
      <w:r>
        <w:rPr>
          <w:rFonts w:hint="eastAsia" w:ascii="黑体" w:hAnsi="黑体" w:eastAsia="黑体" w:cs="黑体"/>
        </w:rPr>
        <w:t>七、与现行相关法律、法规、规章及相关强制性标准的协调性</w:t>
      </w:r>
    </w:p>
    <w:p w14:paraId="1A4B5CBB">
      <w:pPr>
        <w:pStyle w:val="2"/>
        <w:jc w:val="both"/>
        <w:rPr>
          <w:rFonts w:ascii="Times New Roman" w:eastAsia="仿宋_GB2312" w:cs="Times New Roman"/>
        </w:rPr>
      </w:pPr>
      <w:r>
        <w:rPr>
          <w:rFonts w:hint="eastAsia" w:ascii="Times New Roman" w:eastAsia="仿宋_GB2312" w:cs="Times New Roman"/>
        </w:rPr>
        <w:t>该标准与现行法律、法规、规章及相关标准内容无矛盾和冲突。</w:t>
      </w:r>
    </w:p>
    <w:p w14:paraId="58313B4A">
      <w:pPr>
        <w:pStyle w:val="2"/>
        <w:jc w:val="both"/>
        <w:outlineLvl w:val="0"/>
        <w:rPr>
          <w:rFonts w:ascii="黑体" w:hAnsi="黑体" w:eastAsia="黑体" w:cs="黑体"/>
        </w:rPr>
      </w:pPr>
      <w:r>
        <w:rPr>
          <w:rFonts w:hint="eastAsia" w:ascii="黑体" w:hAnsi="黑体" w:eastAsia="黑体" w:cs="黑体"/>
        </w:rPr>
        <w:t>八、重大分歧意见的处理经过和依据</w:t>
      </w:r>
    </w:p>
    <w:p w14:paraId="73BC590D">
      <w:pPr>
        <w:pStyle w:val="2"/>
        <w:jc w:val="both"/>
        <w:rPr>
          <w:rFonts w:ascii="Times New Roman" w:eastAsia="仿宋_GB2312" w:cs="Times New Roman"/>
        </w:rPr>
      </w:pPr>
      <w:r>
        <w:rPr>
          <w:rFonts w:hint="eastAsia" w:ascii="Times New Roman" w:eastAsia="仿宋_GB2312" w:cs="Times New Roman"/>
        </w:rPr>
        <w:t>无。</w:t>
      </w:r>
    </w:p>
    <w:p w14:paraId="1BB13964">
      <w:pPr>
        <w:pStyle w:val="2"/>
        <w:jc w:val="both"/>
        <w:outlineLvl w:val="0"/>
        <w:rPr>
          <w:rFonts w:ascii="黑体" w:hAnsi="黑体" w:eastAsia="黑体" w:cs="黑体"/>
        </w:rPr>
      </w:pPr>
      <w:r>
        <w:rPr>
          <w:rFonts w:hint="eastAsia" w:ascii="黑体" w:hAnsi="黑体" w:eastAsia="黑体" w:cs="黑体"/>
        </w:rPr>
        <w:t>九、标准性质的建议说明</w:t>
      </w:r>
    </w:p>
    <w:p w14:paraId="78F379EE">
      <w:pPr>
        <w:pStyle w:val="2"/>
        <w:jc w:val="both"/>
        <w:rPr>
          <w:rFonts w:ascii="Times New Roman" w:eastAsia="仿宋_GB2312" w:cs="Times New Roman"/>
        </w:rPr>
      </w:pPr>
      <w:r>
        <w:rPr>
          <w:rFonts w:hint="eastAsia" w:ascii="Times New Roman" w:eastAsia="仿宋_GB2312" w:cs="Times New Roman"/>
        </w:rPr>
        <w:t>建议本标准的性质为团体标准。</w:t>
      </w:r>
    </w:p>
    <w:p w14:paraId="2F99A00A">
      <w:pPr>
        <w:pStyle w:val="2"/>
        <w:jc w:val="both"/>
        <w:outlineLvl w:val="0"/>
        <w:rPr>
          <w:rFonts w:ascii="黑体" w:hAnsi="黑体" w:eastAsia="黑体" w:cs="黑体"/>
        </w:rPr>
      </w:pPr>
      <w:r>
        <w:rPr>
          <w:rFonts w:hint="eastAsia" w:ascii="黑体" w:hAnsi="黑体" w:eastAsia="黑体" w:cs="黑体"/>
        </w:rPr>
        <w:t>十、贯彻标准的要求和措施建议</w:t>
      </w:r>
    </w:p>
    <w:p w14:paraId="339D6DC9">
      <w:pPr>
        <w:pStyle w:val="2"/>
        <w:jc w:val="both"/>
        <w:rPr>
          <w:rFonts w:ascii="Times New Roman" w:eastAsia="仿宋_GB2312" w:cs="Times New Roman"/>
        </w:rPr>
      </w:pPr>
      <w:r>
        <w:rPr>
          <w:rFonts w:hint="eastAsia" w:ascii="Times New Roman" w:eastAsia="仿宋_GB2312" w:cs="Times New Roman"/>
        </w:rPr>
        <w:t>建议本标准在审定、报批后尽快颁布，标委会及时组织宣贯和实施。因本标准首次制定，执行起来难度不大，建议本标准发布即实施。</w:t>
      </w:r>
    </w:p>
    <w:p w14:paraId="39897CCE">
      <w:pPr>
        <w:pStyle w:val="2"/>
        <w:jc w:val="both"/>
        <w:outlineLvl w:val="0"/>
        <w:rPr>
          <w:rFonts w:ascii="黑体" w:hAnsi="黑体" w:eastAsia="黑体" w:cs="黑体"/>
        </w:rPr>
      </w:pPr>
      <w:r>
        <w:rPr>
          <w:rFonts w:hint="eastAsia" w:ascii="黑体" w:hAnsi="黑体" w:eastAsia="黑体" w:cs="黑体"/>
        </w:rPr>
        <w:t>十一、废止现行相关标准的建议</w:t>
      </w:r>
    </w:p>
    <w:p w14:paraId="6A85BAEF">
      <w:pPr>
        <w:pStyle w:val="2"/>
        <w:jc w:val="both"/>
        <w:rPr>
          <w:rFonts w:ascii="Times New Roman" w:eastAsia="仿宋_GB2312" w:cs="Times New Roman"/>
        </w:rPr>
      </w:pPr>
      <w:r>
        <w:rPr>
          <w:rFonts w:hint="eastAsia" w:ascii="Times New Roman" w:eastAsia="仿宋_GB2312" w:cs="Times New Roman"/>
        </w:rPr>
        <w:t>无。</w:t>
      </w:r>
    </w:p>
    <w:p w14:paraId="27614355">
      <w:pPr>
        <w:pStyle w:val="2"/>
        <w:jc w:val="both"/>
        <w:outlineLvl w:val="0"/>
        <w:rPr>
          <w:rFonts w:ascii="黑体" w:hAnsi="黑体" w:eastAsia="黑体" w:cs="黑体"/>
        </w:rPr>
      </w:pPr>
      <w:r>
        <w:rPr>
          <w:rFonts w:hint="eastAsia" w:ascii="黑体" w:hAnsi="黑体" w:eastAsia="黑体" w:cs="黑体"/>
        </w:rPr>
        <w:t>十二、其他应予说明的事项</w:t>
      </w:r>
    </w:p>
    <w:p w14:paraId="5960EBEB">
      <w:pPr>
        <w:pStyle w:val="2"/>
        <w:jc w:val="both"/>
        <w:rPr>
          <w:rFonts w:hint="eastAsia" w:ascii="Times New Roman" w:eastAsia="仿宋_GB2312" w:cs="Times New Roman"/>
        </w:rPr>
      </w:pPr>
      <w:r>
        <w:rPr>
          <w:rFonts w:hint="eastAsia" w:ascii="Times New Roman" w:eastAsia="仿宋_GB2312" w:cs="Times New Roman"/>
        </w:rPr>
        <w:t>无。</w:t>
      </w:r>
    </w:p>
    <w:p w14:paraId="7785A791">
      <w:pPr>
        <w:pStyle w:val="2"/>
        <w:jc w:val="both"/>
        <w:rPr>
          <w:rFonts w:hint="eastAsia" w:ascii="Times New Roman" w:eastAsia="仿宋_GB2312" w:cs="Times New Roman"/>
        </w:rPr>
      </w:pPr>
    </w:p>
    <w:p w14:paraId="0CAAD434">
      <w:pPr>
        <w:pStyle w:val="2"/>
        <w:jc w:val="both"/>
        <w:rPr>
          <w:rFonts w:hint="eastAsia" w:ascii="Times New Roman" w:eastAsia="仿宋_GB2312" w:cs="Times New Roman"/>
        </w:rPr>
      </w:pPr>
    </w:p>
    <w:p w14:paraId="1BE8C0CD">
      <w:pPr>
        <w:pStyle w:val="2"/>
        <w:jc w:val="both"/>
        <w:rPr>
          <w:rFonts w:hint="eastAsia" w:ascii="Times New Roman" w:eastAsia="仿宋_GB2312" w:cs="Times New Roman"/>
        </w:rPr>
      </w:pPr>
      <w:bookmarkStart w:id="3" w:name="_GoBack"/>
      <w:bookmarkEnd w:id="3"/>
    </w:p>
    <w:p w14:paraId="7647809E">
      <w:pPr>
        <w:pStyle w:val="2"/>
        <w:rPr>
          <w:rFonts w:ascii="Times New Roman" w:eastAsia="仿宋_GB2312" w:cs="Times New Roman"/>
        </w:rPr>
      </w:pPr>
      <w:r>
        <w:rPr>
          <w:rFonts w:hint="eastAsia" w:ascii="Times New Roman" w:eastAsia="仿宋_GB2312" w:cs="Times New Roman"/>
        </w:rPr>
        <w:t>《智慧农业设施作物数据采集规范》</w:t>
      </w:r>
    </w:p>
    <w:p w14:paraId="301E1CF8">
      <w:pPr>
        <w:pStyle w:val="2"/>
        <w:rPr>
          <w:rFonts w:ascii="Times New Roman" w:eastAsia="仿宋_GB2312" w:cs="Times New Roman"/>
        </w:rPr>
      </w:pPr>
      <w:r>
        <w:rPr>
          <w:rFonts w:hint="eastAsia" w:ascii="Times New Roman" w:eastAsia="仿宋_GB2312" w:cs="Times New Roman"/>
        </w:rPr>
        <w:t>标准起草工作组</w:t>
      </w:r>
    </w:p>
    <w:p w14:paraId="0E4A1B68">
      <w:pPr>
        <w:pStyle w:val="2"/>
        <w:rPr>
          <w:rFonts w:ascii="Times New Roman" w:eastAsia="仿宋_GB2312" w:cs="Times New Roman"/>
        </w:rPr>
      </w:pPr>
      <w:r>
        <w:rPr>
          <w:rFonts w:hint="eastAsia" w:ascii="Times New Roman" w:eastAsia="仿宋_GB2312" w:cs="Times New Roman"/>
        </w:rPr>
        <w:t>202</w:t>
      </w:r>
      <w:r>
        <w:rPr>
          <w:rFonts w:ascii="Times New Roman" w:eastAsia="仿宋_GB2312" w:cs="Times New Roman"/>
        </w:rPr>
        <w:t>6</w:t>
      </w:r>
      <w:r>
        <w:rPr>
          <w:rFonts w:hint="eastAsia" w:ascii="Times New Roman" w:eastAsia="仿宋_GB2312" w:cs="Times New Roman"/>
        </w:rPr>
        <w:t>年</w:t>
      </w:r>
      <w:r>
        <w:rPr>
          <w:rFonts w:ascii="Times New Roman" w:eastAsia="仿宋_GB2312" w:cs="Times New Roman"/>
        </w:rPr>
        <w:t>4</w:t>
      </w:r>
      <w:r>
        <w:rPr>
          <w:rFonts w:hint="eastAsia" w:ascii="Times New Roman" w:eastAsia="仿宋_GB2312" w:cs="Times New Roman"/>
        </w:rPr>
        <w:t>月</w:t>
      </w:r>
      <w:r>
        <w:rPr>
          <w:rFonts w:ascii="Times New Roman" w:eastAsia="仿宋_GB2312" w:cs="Times New Roman"/>
        </w:rPr>
        <w:t>6</w:t>
      </w:r>
      <w:r>
        <w:rPr>
          <w:rFonts w:hint="eastAsia" w:ascii="Times New Roman" w:eastAsia="仿宋_GB2312" w:cs="Times New Roman"/>
        </w:rPr>
        <w:t>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83320AC-2D26-43FC-A4B7-3BDEBEE7A963}"/>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楷体_GB2312">
    <w:panose1 w:val="02010609030101010101"/>
    <w:charset w:val="86"/>
    <w:family w:val="modern"/>
    <w:pitch w:val="default"/>
    <w:sig w:usb0="00000001" w:usb1="080E0000" w:usb2="00000000" w:usb3="00000000" w:csb0="00040000" w:csb1="00000000"/>
    <w:embedRegular r:id="rId2" w:fontKey="{064D96A0-BC19-46C3-928B-1750A2ECEE7D}"/>
  </w:font>
  <w:font w:name="方正小标宋_GBK">
    <w:panose1 w:val="02000000000000000000"/>
    <w:charset w:val="86"/>
    <w:family w:val="script"/>
    <w:pitch w:val="default"/>
    <w:sig w:usb0="A00002BF" w:usb1="38CF7CFA" w:usb2="00082016" w:usb3="00000000" w:csb0="00040001" w:csb1="00000000"/>
    <w:embedRegular r:id="rId3" w:fontKey="{6B185807-9E95-4797-8535-4C52597363CF}"/>
  </w:font>
  <w:font w:name="仿宋_GB2312">
    <w:panose1 w:val="02010609030101010101"/>
    <w:charset w:val="86"/>
    <w:family w:val="modern"/>
    <w:pitch w:val="default"/>
    <w:sig w:usb0="00000001" w:usb1="080E0000" w:usb2="00000000" w:usb3="00000000" w:csb0="00040000" w:csb1="00000000"/>
    <w:embedRegular r:id="rId4" w:fontKey="{7CDF6E3E-2DED-44E9-BEC5-08D61A75EAE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1789DB">
    <w:pPr>
      <w:pStyle w:val="7"/>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04BCDF6">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04BCDF6">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TrueTypeFonts/>
  <w:saveSubset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M0MmMxZDU5MTIwY2M2YmY4NzhhODY0MTQ1NTg1ZjYifQ=="/>
  </w:docVars>
  <w:rsids>
    <w:rsidRoot w:val="7D9E4119"/>
    <w:rsid w:val="00002425"/>
    <w:rsid w:val="000052E5"/>
    <w:rsid w:val="001108AF"/>
    <w:rsid w:val="00134B28"/>
    <w:rsid w:val="00222099"/>
    <w:rsid w:val="003F7A09"/>
    <w:rsid w:val="0040064C"/>
    <w:rsid w:val="00527A67"/>
    <w:rsid w:val="00A02E2F"/>
    <w:rsid w:val="00A21BD9"/>
    <w:rsid w:val="00AB646A"/>
    <w:rsid w:val="00AE6AC6"/>
    <w:rsid w:val="00E40BE2"/>
    <w:rsid w:val="00F075BB"/>
    <w:rsid w:val="02AC3157"/>
    <w:rsid w:val="0319067F"/>
    <w:rsid w:val="05490A29"/>
    <w:rsid w:val="057A17B3"/>
    <w:rsid w:val="075F422A"/>
    <w:rsid w:val="09397875"/>
    <w:rsid w:val="0ADD5B52"/>
    <w:rsid w:val="0AEC6CAF"/>
    <w:rsid w:val="0BA34F0E"/>
    <w:rsid w:val="0DAC0772"/>
    <w:rsid w:val="0E8F13F6"/>
    <w:rsid w:val="0F156231"/>
    <w:rsid w:val="0FEC2530"/>
    <w:rsid w:val="11F62875"/>
    <w:rsid w:val="121B537B"/>
    <w:rsid w:val="13D86489"/>
    <w:rsid w:val="141D0AF0"/>
    <w:rsid w:val="14EE162E"/>
    <w:rsid w:val="1577001A"/>
    <w:rsid w:val="16790493"/>
    <w:rsid w:val="188D654A"/>
    <w:rsid w:val="1B1A33C4"/>
    <w:rsid w:val="1D623813"/>
    <w:rsid w:val="1F390A46"/>
    <w:rsid w:val="1F7E6C14"/>
    <w:rsid w:val="21242795"/>
    <w:rsid w:val="228378DC"/>
    <w:rsid w:val="22E430DD"/>
    <w:rsid w:val="256D3E8A"/>
    <w:rsid w:val="26040CE7"/>
    <w:rsid w:val="27FA7AE4"/>
    <w:rsid w:val="281731AC"/>
    <w:rsid w:val="29D4073A"/>
    <w:rsid w:val="31324444"/>
    <w:rsid w:val="3157484F"/>
    <w:rsid w:val="32FC598F"/>
    <w:rsid w:val="33A154C2"/>
    <w:rsid w:val="34A04AFF"/>
    <w:rsid w:val="352069CE"/>
    <w:rsid w:val="387459BA"/>
    <w:rsid w:val="3B5E1C8C"/>
    <w:rsid w:val="3FF94DE0"/>
    <w:rsid w:val="402B5CF3"/>
    <w:rsid w:val="407E20E8"/>
    <w:rsid w:val="41815401"/>
    <w:rsid w:val="44844BD4"/>
    <w:rsid w:val="450D3E6C"/>
    <w:rsid w:val="45F44680"/>
    <w:rsid w:val="46486729"/>
    <w:rsid w:val="4A023AA5"/>
    <w:rsid w:val="4B6872D9"/>
    <w:rsid w:val="4C830A39"/>
    <w:rsid w:val="4DBD36F2"/>
    <w:rsid w:val="4EB208A7"/>
    <w:rsid w:val="4F1D3F97"/>
    <w:rsid w:val="54FC15E4"/>
    <w:rsid w:val="55F67388"/>
    <w:rsid w:val="56912B84"/>
    <w:rsid w:val="56C708EE"/>
    <w:rsid w:val="56CA372B"/>
    <w:rsid w:val="5CEE28DA"/>
    <w:rsid w:val="60450CA2"/>
    <w:rsid w:val="60774A1D"/>
    <w:rsid w:val="60873133"/>
    <w:rsid w:val="63523575"/>
    <w:rsid w:val="63B448E5"/>
    <w:rsid w:val="6521425E"/>
    <w:rsid w:val="65281E25"/>
    <w:rsid w:val="67252CD4"/>
    <w:rsid w:val="679D38D9"/>
    <w:rsid w:val="689B3E83"/>
    <w:rsid w:val="698F6455"/>
    <w:rsid w:val="6A43371C"/>
    <w:rsid w:val="6B3D73E3"/>
    <w:rsid w:val="6CE9509F"/>
    <w:rsid w:val="6E3F14DE"/>
    <w:rsid w:val="708B6080"/>
    <w:rsid w:val="710C0A9A"/>
    <w:rsid w:val="71C90CD8"/>
    <w:rsid w:val="71D45939"/>
    <w:rsid w:val="72B775C1"/>
    <w:rsid w:val="74A73EE6"/>
    <w:rsid w:val="751B5C1C"/>
    <w:rsid w:val="776C1795"/>
    <w:rsid w:val="788F3C1F"/>
    <w:rsid w:val="79883CE2"/>
    <w:rsid w:val="7B872107"/>
    <w:rsid w:val="7BC61F26"/>
    <w:rsid w:val="7D9E4119"/>
    <w:rsid w:val="7ECD63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autoRedefine/>
    <w:semiHidden/>
    <w:unhideWhenUsed/>
    <w:qFormat/>
    <w:uiPriority w:val="0"/>
    <w:pPr>
      <w:keepNext/>
      <w:keepLines/>
      <w:spacing w:before="140" w:after="140" w:line="413" w:lineRule="auto"/>
      <w:outlineLvl w:val="1"/>
    </w:pPr>
    <w:rPr>
      <w:rFonts w:ascii="Arial" w:hAnsi="Arial" w:eastAsia="黑体"/>
      <w:b/>
      <w:sz w:val="32"/>
    </w:rPr>
  </w:style>
  <w:style w:type="paragraph" w:styleId="4">
    <w:name w:val="heading 3"/>
    <w:basedOn w:val="1"/>
    <w:next w:val="1"/>
    <w:link w:val="11"/>
    <w:autoRedefine/>
    <w:semiHidden/>
    <w:unhideWhenUsed/>
    <w:qFormat/>
    <w:uiPriority w:val="0"/>
    <w:pPr>
      <w:keepNext/>
      <w:keepLines/>
      <w:spacing w:before="140" w:after="140" w:line="520" w:lineRule="exact"/>
      <w:outlineLvl w:val="2"/>
    </w:pPr>
    <w:rPr>
      <w:b/>
      <w:sz w:val="32"/>
    </w:rPr>
  </w:style>
  <w:style w:type="paragraph" w:styleId="5">
    <w:name w:val="heading 4"/>
    <w:basedOn w:val="1"/>
    <w:next w:val="1"/>
    <w:autoRedefine/>
    <w:semiHidden/>
    <w:unhideWhenUsed/>
    <w:qFormat/>
    <w:uiPriority w:val="0"/>
    <w:pPr>
      <w:keepNext/>
      <w:keepLines/>
      <w:spacing w:before="160" w:after="100"/>
      <w:outlineLvl w:val="3"/>
    </w:pPr>
    <w:rPr>
      <w:rFonts w:ascii="Arial" w:hAnsi="Arial" w:eastAsia="黑体"/>
      <w:b/>
      <w:sz w:val="28"/>
    </w:rPr>
  </w:style>
  <w:style w:type="paragraph" w:styleId="6">
    <w:name w:val="heading 5"/>
    <w:basedOn w:val="1"/>
    <w:next w:val="1"/>
    <w:autoRedefine/>
    <w:semiHidden/>
    <w:unhideWhenUsed/>
    <w:qFormat/>
    <w:uiPriority w:val="0"/>
    <w:pPr>
      <w:keepNext/>
      <w:keepLines/>
      <w:spacing w:before="80" w:after="80"/>
      <w:ind w:left="840" w:leftChars="400"/>
      <w:outlineLvl w:val="4"/>
    </w:pPr>
    <w:rPr>
      <w:b/>
      <w:sz w:val="28"/>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Normal Indent"/>
    <w:basedOn w:val="1"/>
    <w:unhideWhenUsed/>
    <w:qFormat/>
    <w:uiPriority w:val="99"/>
    <w:pPr>
      <w:spacing w:line="560" w:lineRule="exact"/>
      <w:ind w:firstLine="640" w:firstLineChars="200"/>
      <w:jc w:val="right"/>
    </w:pPr>
    <w:rPr>
      <w:rFonts w:ascii="楷体_GB2312" w:hAnsi="Times New Roman" w:eastAsia="楷体_GB2312"/>
      <w:sz w:val="32"/>
      <w:szCs w:val="32"/>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11">
    <w:name w:val="标题 3 字符"/>
    <w:link w:val="4"/>
    <w:autoRedefine/>
    <w:qFormat/>
    <w:uiPriority w:val="0"/>
    <w:rPr>
      <w:rFonts w:asciiTheme="minorHAnsi" w:hAnsiTheme="minorHAnsi" w:eastAsiaTheme="minorEastAsia"/>
      <w:b/>
      <w:sz w:val="32"/>
    </w:rPr>
  </w:style>
  <w:style w:type="paragraph" w:customStyle="1" w:styleId="12">
    <w:name w:val="表格标题"/>
    <w:basedOn w:val="1"/>
    <w:autoRedefine/>
    <w:qFormat/>
    <w:uiPriority w:val="0"/>
    <w:pPr>
      <w:spacing w:after="100" w:afterLines="100" w:line="580" w:lineRule="exact"/>
      <w:ind w:firstLine="640" w:firstLineChars="200"/>
      <w:jc w:val="center"/>
    </w:pPr>
    <w:rPr>
      <w:rFonts w:hint="eastAsia" w:ascii="Times New Roman" w:hAnsi="Times New Roman" w:eastAsia="黑体" w:cs="Times New Roman"/>
      <w:sz w:val="24"/>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2180</Words>
  <Characters>2211</Characters>
  <Lines>16</Lines>
  <Paragraphs>4</Paragraphs>
  <TotalTime>80</TotalTime>
  <ScaleCrop>false</ScaleCrop>
  <LinksUpToDate>false</LinksUpToDate>
  <CharactersWithSpaces>2218</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2026-03-31T06:11:00Z</dcterms:created>
  <dc:creator>屠曦贤（屠蕴文）</dc:creator>
  <cp:lastModifiedBy>苏州市人工智能行业协会</cp:lastModifiedBy>
  <dcterms:modified xsi:type="dcterms:W3CDTF">2026-04-17T08:21:25Z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2C59E25173D74778A76B60AB820657C5_13</vt:lpwstr>
  </property>
  <property fmtid="{D5CDD505-2E9C-101B-9397-08002B2CF9AE}" pid="4" name="KSOTemplateDocerSaveRecord">
    <vt:lpwstr>eyJoZGlkIjoiYTgwNmM5NWI1MGRiZmYwOTM3NjNlZWQzNjg1NzgxMWIiLCJ1c2VySWQiOiI0MDQyOTA0ODkifQ==</vt:lpwstr>
  </property>
</Properties>
</file>