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3AC352">
      <w:pPr>
        <w:adjustRightInd w:val="0"/>
        <w:snapToGrid w:val="0"/>
        <w:spacing w:line="240" w:lineRule="atLeast"/>
        <w:jc w:val="center"/>
        <w:rPr>
          <w:rFonts w:hint="default" w:ascii="Times New Roman" w:hAnsi="Times New Roman" w:eastAsia="方正小标宋_GBK" w:cs="Times New Roman"/>
          <w:bCs/>
          <w:sz w:val="44"/>
          <w:szCs w:val="44"/>
          <w:lang w:val="en-US" w:eastAsia="zh-CN"/>
        </w:rPr>
      </w:pPr>
      <w:r>
        <w:rPr>
          <w:rFonts w:hint="eastAsia" w:ascii="Times New Roman" w:hAnsi="Times New Roman" w:eastAsia="方正小标宋_GBK" w:cs="Times New Roman"/>
          <w:bCs/>
          <w:sz w:val="44"/>
          <w:szCs w:val="44"/>
          <w:lang w:eastAsia="zh-CN"/>
        </w:rPr>
        <w:t>《</w:t>
      </w:r>
      <w:r>
        <w:rPr>
          <w:rFonts w:hint="eastAsia" w:ascii="Times New Roman" w:hAnsi="Times New Roman" w:eastAsia="方正小标宋_GBK" w:cs="Times New Roman"/>
          <w:bCs/>
          <w:sz w:val="44"/>
          <w:szCs w:val="44"/>
          <w:lang w:eastAsia="zh-CN"/>
        </w:rPr>
        <w:t>养殖水体水质参数遥感监测技术规程</w:t>
      </w:r>
      <w:r>
        <w:rPr>
          <w:rFonts w:hint="eastAsia" w:ascii="Times New Roman" w:hAnsi="Times New Roman" w:eastAsia="方正小标宋_GBK" w:cs="Times New Roman"/>
          <w:bCs/>
          <w:sz w:val="44"/>
          <w:szCs w:val="44"/>
          <w:lang w:eastAsia="zh-CN"/>
        </w:rPr>
        <w:t>》</w:t>
      </w:r>
      <w:r>
        <w:rPr>
          <w:rFonts w:hint="eastAsia" w:ascii="Times New Roman" w:hAnsi="Times New Roman" w:eastAsia="方正小标宋_GBK" w:cs="Times New Roman"/>
          <w:bCs/>
          <w:sz w:val="44"/>
          <w:szCs w:val="44"/>
          <w:lang w:val="en-US" w:eastAsia="zh-CN"/>
        </w:rPr>
        <w:t>团体标准（征求意见稿）编制说明</w:t>
      </w:r>
    </w:p>
    <w:p w14:paraId="4D56D3E2">
      <w:pPr>
        <w:adjustRightInd w:val="0"/>
        <w:snapToGrid w:val="0"/>
        <w:spacing w:line="560" w:lineRule="atLeast"/>
        <w:ind w:firstLine="640" w:firstLineChars="200"/>
        <w:rPr>
          <w:rFonts w:hint="eastAsia" w:ascii="Times New Roman" w:hAnsi="Times New Roman" w:eastAsia="仿宋_GB2312" w:cs="Times New Roman"/>
          <w:sz w:val="32"/>
          <w:szCs w:val="32"/>
          <w:highlight w:val="none"/>
        </w:rPr>
      </w:pPr>
    </w:p>
    <w:p w14:paraId="1700BEC4">
      <w:pPr>
        <w:pStyle w:val="2"/>
        <w:jc w:val="both"/>
        <w:outlineLvl w:val="0"/>
        <w:rPr>
          <w:rFonts w:hint="eastAsia" w:ascii="黑体" w:hAnsi="黑体" w:eastAsia="黑体" w:cs="黑体"/>
          <w:highlight w:val="none"/>
        </w:rPr>
      </w:pPr>
      <w:r>
        <w:rPr>
          <w:rFonts w:hint="eastAsia" w:ascii="黑体" w:hAnsi="黑体" w:eastAsia="黑体" w:cs="黑体"/>
          <w:highlight w:val="none"/>
        </w:rPr>
        <w:t>一、工作简况</w:t>
      </w:r>
    </w:p>
    <w:p w14:paraId="3A9B50F1">
      <w:pPr>
        <w:adjustRightInd w:val="0"/>
        <w:snapToGrid w:val="0"/>
        <w:spacing w:line="560" w:lineRule="atLeast"/>
        <w:ind w:firstLine="640" w:firstLineChars="200"/>
        <w:rPr>
          <w:rFonts w:hint="eastAsia" w:ascii="楷体_GB2312" w:hAnsi="楷体_GB2312" w:eastAsia="楷体_GB2312" w:cs="楷体_GB2312"/>
          <w:sz w:val="32"/>
          <w:szCs w:val="32"/>
          <w:highlight w:val="none"/>
        </w:rPr>
      </w:pPr>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lang w:val="en-US" w:eastAsia="zh-CN"/>
        </w:rPr>
        <w:t>一</w:t>
      </w:r>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rPr>
        <w:t>任务来源</w:t>
      </w:r>
    </w:p>
    <w:p w14:paraId="0EFC58B7">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rPr>
        <w:t>本项目是根据《202</w:t>
      </w:r>
      <w:r>
        <w:rPr>
          <w:rFonts w:hint="eastAsia" w:ascii="Times New Roman" w:hAnsi="Times New Roman"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rPr>
        <w:t>年苏州市人工智能行业协会团体标准</w:t>
      </w:r>
      <w:r>
        <w:rPr>
          <w:rFonts w:hint="eastAsia"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sz w:val="32"/>
          <w:szCs w:val="32"/>
          <w:highlight w:val="none"/>
          <w:lang w:val="en-US" w:eastAsia="zh-CN"/>
        </w:rPr>
        <w:t>第一批</w:t>
      </w:r>
      <w:r>
        <w:rPr>
          <w:rFonts w:hint="eastAsia" w:ascii="Times New Roman" w:hAnsi="Times New Roman" w:eastAsia="仿宋_GB2312" w:cs="Times New Roman"/>
          <w:sz w:val="32"/>
          <w:szCs w:val="32"/>
          <w:highlight w:val="none"/>
          <w:lang w:eastAsia="zh-CN"/>
        </w:rPr>
        <w:t>）</w:t>
      </w:r>
      <w:r>
        <w:rPr>
          <w:rFonts w:hint="eastAsia" w:ascii="Times New Roman" w:hAnsi="Times New Roman" w:eastAsia="仿宋_GB2312" w:cs="Times New Roman"/>
          <w:sz w:val="32"/>
          <w:szCs w:val="32"/>
          <w:highlight w:val="none"/>
        </w:rPr>
        <w:t>立项公示》（</w:t>
      </w:r>
      <w:r>
        <w:rPr>
          <w:rFonts w:hint="eastAsia" w:ascii="Times New Roman" w:hAnsi="Times New Roman" w:eastAsia="仿宋_GB2312" w:cs="Times New Roman"/>
          <w:sz w:val="32"/>
          <w:szCs w:val="32"/>
          <w:highlight w:val="none"/>
          <w:lang w:val="en-US" w:eastAsia="zh-CN"/>
        </w:rPr>
        <w:t>苏州智协</w:t>
      </w:r>
      <w:r>
        <w:rPr>
          <w:rFonts w:hint="eastAsia" w:ascii="Times New Roman" w:hAnsi="Times New Roman" w:eastAsia="仿宋_GB2312" w:cs="Times New Roman"/>
          <w:sz w:val="32"/>
          <w:szCs w:val="32"/>
          <w:highlight w:val="none"/>
        </w:rPr>
        <w:t>〔202</w:t>
      </w:r>
      <w:r>
        <w:rPr>
          <w:rFonts w:hint="eastAsia" w:ascii="Times New Roman" w:hAnsi="Times New Roman"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val="en-US" w:eastAsia="zh-CN"/>
        </w:rPr>
        <w:t>2</w:t>
      </w:r>
      <w:r>
        <w:rPr>
          <w:rFonts w:hint="eastAsia" w:ascii="Times New Roman" w:hAnsi="Times New Roman" w:eastAsia="仿宋_GB2312" w:cs="Times New Roman"/>
          <w:sz w:val="32"/>
          <w:szCs w:val="32"/>
          <w:highlight w:val="none"/>
        </w:rPr>
        <w:t>号）制定，为规范利用卫星、无人机等遥感平台对人工养殖水体（池塘、网箱、围栏等）进行叶绿素a、总磷、总氮、氨氮、悬浮物浓度、化学需氧量等关键水质参数监测的全流程技术要求，填补国内该领域技术标准空白，由苏州市农业科学院提出，联合多家科研与企业单位共同制定。</w:t>
      </w:r>
      <w:r>
        <w:rPr>
          <w:rFonts w:hint="eastAsia" w:ascii="Times New Roman" w:hAnsi="Times New Roman" w:eastAsia="仿宋_GB2312" w:cs="Times New Roman"/>
          <w:sz w:val="32"/>
          <w:szCs w:val="32"/>
          <w:highlight w:val="none"/>
          <w:lang w:val="en-US" w:eastAsia="zh-CN"/>
        </w:rPr>
        <w:t>计划</w:t>
      </w:r>
      <w:r>
        <w:rPr>
          <w:rFonts w:hint="eastAsia" w:ascii="Times New Roman" w:hAnsi="Times New Roman" w:eastAsia="仿宋_GB2312" w:cs="Times New Roman"/>
          <w:sz w:val="32"/>
          <w:szCs w:val="32"/>
          <w:highlight w:val="none"/>
        </w:rPr>
        <w:t>完成时</w:t>
      </w:r>
      <w:r>
        <w:rPr>
          <w:rFonts w:hint="eastAsia" w:ascii="Times New Roman" w:hAnsi="Times New Roman" w:eastAsia="仿宋_GB2312" w:cs="Times New Roman"/>
          <w:sz w:val="32"/>
          <w:szCs w:val="32"/>
          <w:highlight w:val="none"/>
          <w:lang w:eastAsia="zh-CN"/>
        </w:rPr>
        <w:t>间为</w:t>
      </w:r>
      <w:r>
        <w:rPr>
          <w:rFonts w:hint="eastAsia" w:ascii="Times New Roman" w:hAnsi="Times New Roman" w:eastAsia="仿宋_GB2312" w:cs="Times New Roman"/>
          <w:sz w:val="32"/>
          <w:szCs w:val="32"/>
          <w:highlight w:val="none"/>
        </w:rPr>
        <w:t>202</w:t>
      </w:r>
      <w:r>
        <w:rPr>
          <w:rFonts w:hint="eastAsia" w:ascii="Times New Roman" w:hAnsi="Times New Roman"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rPr>
        <w:t>月</w:t>
      </w:r>
      <w:r>
        <w:rPr>
          <w:rFonts w:hint="eastAsia" w:ascii="Times New Roman" w:hAnsi="Times New Roman" w:eastAsia="仿宋_GB2312" w:cs="Times New Roman"/>
          <w:sz w:val="32"/>
          <w:szCs w:val="32"/>
          <w:highlight w:val="none"/>
          <w:lang w:eastAsia="zh-CN"/>
        </w:rPr>
        <w:t>。</w:t>
      </w:r>
    </w:p>
    <w:p w14:paraId="01C74AFE">
      <w:pPr>
        <w:adjustRightInd w:val="0"/>
        <w:snapToGrid w:val="0"/>
        <w:spacing w:line="560" w:lineRule="atLeast"/>
        <w:ind w:firstLine="640" w:firstLineChars="200"/>
        <w:rPr>
          <w:rFonts w:hint="eastAsia" w:ascii="楷体_GB2312" w:hAnsi="楷体_GB2312" w:eastAsia="楷体_GB2312" w:cs="楷体_GB2312"/>
          <w:sz w:val="32"/>
          <w:szCs w:val="32"/>
          <w:highlight w:val="none"/>
          <w:lang w:eastAsia="zh-CN"/>
        </w:rPr>
      </w:pPr>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lang w:val="en-US" w:eastAsia="zh-CN"/>
        </w:rPr>
        <w:t>二</w:t>
      </w:r>
      <w:r>
        <w:rPr>
          <w:rFonts w:hint="eastAsia" w:ascii="楷体_GB2312" w:hAnsi="楷体_GB2312" w:eastAsia="楷体_GB2312" w:cs="楷体_GB2312"/>
          <w:sz w:val="32"/>
          <w:szCs w:val="32"/>
          <w:highlight w:val="none"/>
          <w:lang w:eastAsia="zh-CN"/>
        </w:rPr>
        <w:t>）主要工作过程</w:t>
      </w:r>
    </w:p>
    <w:p w14:paraId="6A6A682C">
      <w:pPr>
        <w:adjustRightInd w:val="0"/>
        <w:snapToGrid w:val="0"/>
        <w:spacing w:line="560" w:lineRule="atLeast"/>
        <w:ind w:firstLine="640" w:firstLineChars="20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1.</w:t>
      </w:r>
      <w:r>
        <w:rPr>
          <w:rFonts w:hint="eastAsia" w:ascii="Times New Roman" w:hAnsi="Times New Roman" w:eastAsia="仿宋_GB2312" w:cs="Times New Roman"/>
          <w:sz w:val="32"/>
          <w:szCs w:val="32"/>
          <w:highlight w:val="none"/>
        </w:rPr>
        <w:t>调研立项阶段</w:t>
      </w:r>
    </w:p>
    <w:p w14:paraId="74CC82DD">
      <w:pPr>
        <w:adjustRightInd w:val="0"/>
        <w:snapToGrid w:val="0"/>
        <w:spacing w:line="560" w:lineRule="atLeast"/>
        <w:ind w:firstLine="640" w:firstLineChars="200"/>
        <w:rPr>
          <w:rFonts w:hint="default"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为推进水产养殖业绿色转型与高质量发展，落实生态文明建设要求，“十五五”是苏州市水产养殖业从传统模式向智慧化、绿色化升级的关键阶段，其中水质监测环节面临着双重挑战：一方面，传统人工采样监测方式存在时效性差、覆盖面小、成本高等固有局限，难以满足现代化养殖管理的精细化需求；另一方面，现有的遥感水质监测标准多针对海洋或大型内陆水体设计，其模型构建与精度要求难以直接应用于面积小、异质性高的人工养殖水体。技术标准与实际应用场景的不匹配，导致技术推广和监管采信存在障碍。为解决上述问题，苏州市农业科学院在项目试验应用支撑下，联合行业单位开展了广泛调研，制定一套专门针对养殖水体的遥感监测技术规程，以统一技术流程、明确精度要求、保障数据可靠性。为推动技术规模化应用、支撑产业绿色高质量发展的迫切需求，苏州市农业科学院</w:t>
      </w:r>
      <w:r>
        <w:rPr>
          <w:rFonts w:hint="eastAsia" w:ascii="Times New Roman" w:hAnsi="Times New Roman" w:eastAsia="仿宋_GB2312" w:cs="Times New Roman"/>
          <w:sz w:val="32"/>
          <w:szCs w:val="32"/>
          <w:highlight w:val="none"/>
          <w:lang w:eastAsia="zh-CN"/>
        </w:rPr>
        <w:t>于202</w:t>
      </w:r>
      <w:r>
        <w:rPr>
          <w:rFonts w:hint="eastAsia" w:ascii="Times New Roman" w:hAnsi="Times New Roman"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lang w:eastAsia="zh-CN"/>
        </w:rPr>
        <w:t>年</w:t>
      </w:r>
      <w:r>
        <w:rPr>
          <w:rFonts w:hint="eastAsia" w:ascii="Times New Roman" w:hAnsi="Times New Roman" w:eastAsia="仿宋_GB2312" w:cs="Times New Roman"/>
          <w:sz w:val="32"/>
          <w:szCs w:val="32"/>
          <w:highlight w:val="none"/>
          <w:lang w:val="en-US" w:eastAsia="zh-CN"/>
        </w:rPr>
        <w:t>3月提出《养殖水体水质参数遥感监测技术规程》团体标准的立项申请，并</w:t>
      </w:r>
      <w:r>
        <w:rPr>
          <w:rFonts w:hint="eastAsia" w:ascii="Times New Roman" w:hAnsi="Times New Roman" w:eastAsia="仿宋_GB2312" w:cs="Times New Roman"/>
          <w:sz w:val="32"/>
          <w:szCs w:val="32"/>
          <w:highlight w:val="none"/>
        </w:rPr>
        <w:t>召开了团体标准立项评审会议，</w:t>
      </w:r>
      <w:r>
        <w:rPr>
          <w:rFonts w:hint="eastAsia" w:ascii="Times New Roman" w:hAnsi="Times New Roman" w:eastAsia="仿宋_GB2312" w:cs="Times New Roman"/>
          <w:sz w:val="32"/>
          <w:szCs w:val="32"/>
          <w:highlight w:val="none"/>
          <w:lang w:val="en-US" w:eastAsia="zh-CN"/>
        </w:rPr>
        <w:t>对该项</w:t>
      </w:r>
      <w:r>
        <w:rPr>
          <w:rFonts w:hint="eastAsia" w:ascii="Times New Roman" w:hAnsi="Times New Roman" w:eastAsia="仿宋_GB2312" w:cs="Times New Roman"/>
          <w:sz w:val="32"/>
          <w:szCs w:val="32"/>
          <w:highlight w:val="none"/>
        </w:rPr>
        <w:t>团体标准通过立项评审</w:t>
      </w:r>
      <w:r>
        <w:rPr>
          <w:rFonts w:hint="eastAsia" w:ascii="Times New Roman" w:hAnsi="Times New Roman" w:eastAsia="仿宋_GB2312" w:cs="Times New Roman"/>
          <w:sz w:val="32"/>
          <w:szCs w:val="32"/>
          <w:highlight w:val="none"/>
          <w:lang w:val="en-US" w:eastAsia="zh-CN"/>
        </w:rPr>
        <w:t>及公示</w:t>
      </w:r>
      <w:r>
        <w:rPr>
          <w:rFonts w:hint="eastAsia" w:ascii="Times New Roman" w:hAnsi="Times New Roman" w:eastAsia="仿宋_GB2312" w:cs="Times New Roman"/>
          <w:sz w:val="32"/>
          <w:szCs w:val="32"/>
          <w:highlight w:val="none"/>
          <w:lang w:eastAsia="zh-CN"/>
        </w:rPr>
        <w:t>。</w:t>
      </w:r>
    </w:p>
    <w:p w14:paraId="3AA291D3">
      <w:pPr>
        <w:adjustRightInd w:val="0"/>
        <w:snapToGrid w:val="0"/>
        <w:spacing w:line="560" w:lineRule="atLeast"/>
        <w:ind w:firstLine="640" w:firstLineChars="20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2.</w:t>
      </w:r>
      <w:r>
        <w:rPr>
          <w:rFonts w:hint="eastAsia" w:ascii="Times New Roman" w:hAnsi="Times New Roman" w:eastAsia="仿宋_GB2312" w:cs="Times New Roman"/>
          <w:sz w:val="32"/>
          <w:szCs w:val="32"/>
          <w:highlight w:val="none"/>
        </w:rPr>
        <w:t>组建工作组，形成标准草案</w:t>
      </w:r>
    </w:p>
    <w:p w14:paraId="3DAB2299">
      <w:pPr>
        <w:adjustRightInd w:val="0"/>
        <w:snapToGrid w:val="0"/>
        <w:spacing w:line="560" w:lineRule="atLeast"/>
        <w:ind w:firstLine="640" w:firstLineChars="20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通过立项评审后，苏州市农业科学院作为牵头单位，公开征集并联合苏州市农业信息中心、江苏省苏力环境科技有限责任公司、金澄福生物科技（苏州）有限公司、浙江海洋大学等单位，共同组建了标准起草工作组，由牵头单位、参编单位的相关技术专家、企业专家</w:t>
      </w:r>
      <w:r>
        <w:rPr>
          <w:rFonts w:hint="eastAsia" w:ascii="Times New Roman" w:hAnsi="Times New Roman" w:eastAsia="仿宋_GB2312" w:cs="Times New Roman"/>
          <w:sz w:val="32"/>
          <w:szCs w:val="32"/>
          <w:highlight w:val="none"/>
        </w:rPr>
        <w:t>共同组建了团体标准</w:t>
      </w:r>
      <w:r>
        <w:rPr>
          <w:rFonts w:hint="eastAsia" w:ascii="Times New Roman" w:hAnsi="Times New Roman" w:eastAsia="仿宋_GB2312" w:cs="Times New Roman"/>
          <w:sz w:val="32"/>
          <w:szCs w:val="32"/>
          <w:highlight w:val="none"/>
          <w:lang w:val="en-US" w:eastAsia="zh-CN"/>
        </w:rPr>
        <w:t>起草小</w:t>
      </w:r>
      <w:r>
        <w:rPr>
          <w:rFonts w:hint="eastAsia" w:ascii="Times New Roman" w:hAnsi="Times New Roman" w:eastAsia="仿宋_GB2312" w:cs="Times New Roman"/>
          <w:sz w:val="32"/>
          <w:szCs w:val="32"/>
          <w:highlight w:val="none"/>
        </w:rPr>
        <w:t>组。起草小组结合</w:t>
      </w:r>
      <w:r>
        <w:rPr>
          <w:rFonts w:hint="eastAsia" w:ascii="Times New Roman" w:hAnsi="Times New Roman" w:eastAsia="仿宋_GB2312" w:cs="Times New Roman"/>
          <w:sz w:val="32"/>
          <w:szCs w:val="32"/>
          <w:highlight w:val="none"/>
          <w:lang w:val="en-US" w:eastAsia="zh-CN"/>
        </w:rPr>
        <w:t>行业内、企业内的发展经验和相关</w:t>
      </w:r>
      <w:r>
        <w:rPr>
          <w:rFonts w:hint="eastAsia" w:ascii="Times New Roman" w:hAnsi="Times New Roman" w:eastAsia="仿宋_GB2312" w:cs="Times New Roman"/>
          <w:sz w:val="32"/>
          <w:szCs w:val="32"/>
          <w:highlight w:val="none"/>
        </w:rPr>
        <w:t>资料，形成标准</w:t>
      </w:r>
      <w:r>
        <w:rPr>
          <w:rFonts w:hint="eastAsia" w:ascii="Times New Roman" w:hAnsi="Times New Roman" w:eastAsia="仿宋_GB2312" w:cs="Times New Roman"/>
          <w:sz w:val="32"/>
          <w:szCs w:val="32"/>
          <w:highlight w:val="none"/>
          <w:lang w:val="en-US" w:eastAsia="zh-CN"/>
        </w:rPr>
        <w:t>草案</w:t>
      </w:r>
      <w:r>
        <w:rPr>
          <w:rFonts w:hint="eastAsia" w:ascii="Times New Roman" w:hAnsi="Times New Roman" w:eastAsia="仿宋_GB2312" w:cs="Times New Roman"/>
          <w:sz w:val="32"/>
          <w:szCs w:val="32"/>
          <w:highlight w:val="none"/>
        </w:rPr>
        <w:t>，并</w:t>
      </w:r>
      <w:r>
        <w:rPr>
          <w:rFonts w:hint="eastAsia" w:ascii="Times New Roman" w:hAnsi="Times New Roman" w:eastAsia="仿宋_GB2312" w:cs="Times New Roman"/>
          <w:sz w:val="32"/>
          <w:szCs w:val="32"/>
          <w:highlight w:val="none"/>
          <w:lang w:val="en-US" w:eastAsia="zh-CN"/>
        </w:rPr>
        <w:t>开展线上团组讨论、一对一交流等多种形式的</w:t>
      </w:r>
      <w:r>
        <w:rPr>
          <w:rFonts w:hint="eastAsia" w:ascii="Times New Roman" w:hAnsi="Times New Roman" w:eastAsia="仿宋_GB2312" w:cs="Times New Roman"/>
          <w:sz w:val="32"/>
          <w:szCs w:val="32"/>
          <w:highlight w:val="none"/>
        </w:rPr>
        <w:t>内部研讨会，邀请了专家和相关企业对标准进行指导，</w:t>
      </w:r>
      <w:r>
        <w:rPr>
          <w:rFonts w:hint="eastAsia" w:ascii="Times New Roman" w:hAnsi="Times New Roman" w:eastAsia="仿宋_GB2312" w:cs="Times New Roman"/>
          <w:sz w:val="32"/>
          <w:szCs w:val="32"/>
          <w:highlight w:val="none"/>
          <w:lang w:val="en-US" w:eastAsia="zh-CN"/>
        </w:rPr>
        <w:t>最终起草小组</w:t>
      </w:r>
      <w:r>
        <w:rPr>
          <w:rFonts w:hint="eastAsia" w:ascii="Times New Roman" w:hAnsi="Times New Roman" w:eastAsia="仿宋_GB2312" w:cs="Times New Roman"/>
          <w:sz w:val="32"/>
          <w:szCs w:val="32"/>
          <w:highlight w:val="none"/>
        </w:rPr>
        <w:t xml:space="preserve">对《养殖水体水质参数遥感监测技术规程》的标准编制工作重点、标准制定依据和编制原则等形成了共识，于 </w:t>
      </w:r>
      <w:r>
        <w:rPr>
          <w:rFonts w:hint="eastAsia" w:ascii="Times New Roman" w:hAnsi="Times New Roman" w:eastAsia="仿宋_GB2312" w:cs="Times New Roman"/>
          <w:sz w:val="32"/>
          <w:szCs w:val="32"/>
          <w:highlight w:val="none"/>
          <w:lang w:val="en-US" w:eastAsia="zh-CN"/>
        </w:rPr>
        <w:t>2026年4月3日</w:t>
      </w:r>
      <w:r>
        <w:rPr>
          <w:rFonts w:hint="eastAsia" w:ascii="Times New Roman" w:hAnsi="Times New Roman" w:eastAsia="仿宋_GB2312" w:cs="Times New Roman"/>
          <w:sz w:val="32"/>
          <w:szCs w:val="32"/>
          <w:highlight w:val="none"/>
        </w:rPr>
        <w:t>形成标准征求意见稿。</w:t>
      </w:r>
    </w:p>
    <w:p w14:paraId="59449D65">
      <w:pPr>
        <w:adjustRightInd w:val="0"/>
        <w:snapToGrid w:val="0"/>
        <w:spacing w:line="560" w:lineRule="atLeast"/>
        <w:ind w:firstLine="640" w:firstLineChars="20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3.</w:t>
      </w:r>
      <w:r>
        <w:rPr>
          <w:rFonts w:hint="eastAsia" w:ascii="Times New Roman" w:hAnsi="Times New Roman" w:eastAsia="仿宋_GB2312" w:cs="Times New Roman"/>
          <w:sz w:val="32"/>
          <w:szCs w:val="32"/>
          <w:highlight w:val="none"/>
        </w:rPr>
        <w:t>主要参加单位和工作组成员及分工</w:t>
      </w:r>
    </w:p>
    <w:p w14:paraId="6C5A09F0">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eastAsia="zh-CN"/>
        </w:rPr>
      </w:pPr>
      <w:r>
        <w:rPr>
          <w:rFonts w:hint="eastAsia" w:ascii="Times New Roman" w:hAnsi="Times New Roman" w:eastAsia="仿宋_GB2312" w:cs="Times New Roman"/>
          <w:sz w:val="32"/>
          <w:szCs w:val="32"/>
          <w:highlight w:val="none"/>
        </w:rPr>
        <w:t>本标准由苏州市农业科学院、苏州市农业信息中心、江苏省苏力环境科技有限责任公司、金澄福生物科技（苏州）有限公司、浙江海洋大学共同起草</w:t>
      </w:r>
      <w:r>
        <w:rPr>
          <w:rFonts w:hint="eastAsia" w:ascii="Times New Roman" w:hAnsi="Times New Roman" w:eastAsia="仿宋_GB2312" w:cs="Times New Roman"/>
          <w:sz w:val="32"/>
          <w:szCs w:val="32"/>
          <w:highlight w:val="none"/>
          <w:lang w:eastAsia="zh-CN"/>
        </w:rPr>
        <w:t>。</w:t>
      </w:r>
    </w:p>
    <w:p w14:paraId="31967637">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rPr>
        <w:t>主要成员：</w:t>
      </w:r>
      <w:r>
        <w:rPr>
          <w:rFonts w:hint="eastAsia" w:ascii="Times New Roman" w:hAnsi="Times New Roman" w:eastAsia="仿宋_GB2312" w:cs="Times New Roman"/>
          <w:sz w:val="32"/>
          <w:szCs w:val="32"/>
          <w:highlight w:val="none"/>
          <w:lang w:val="en-US" w:eastAsia="zh-CN"/>
        </w:rPr>
        <w:t>何其全、王敦亮、任志强、陶玥玥、田婷、何苗、李瑞、刘好丽、李跃文、朱琳、季方芳、许爱国、张青、莫云华。</w:t>
      </w:r>
    </w:p>
    <w:p w14:paraId="30289DC4">
      <w:pPr>
        <w:pStyle w:val="2"/>
        <w:jc w:val="both"/>
        <w:outlineLvl w:val="0"/>
        <w:rPr>
          <w:rFonts w:hint="eastAsia" w:ascii="黑体" w:hAnsi="黑体" w:eastAsia="黑体" w:cs="黑体"/>
          <w:highlight w:val="none"/>
          <w:lang w:val="en-US" w:eastAsia="zh-CN"/>
        </w:rPr>
      </w:pPr>
      <w:r>
        <w:rPr>
          <w:rFonts w:hint="eastAsia" w:ascii="黑体" w:hAnsi="黑体" w:eastAsia="黑体" w:cs="黑体"/>
          <w:highlight w:val="none"/>
          <w:lang w:val="en-US" w:eastAsia="zh-CN"/>
        </w:rPr>
        <w:t>二、标准编制原则和主要内容</w:t>
      </w:r>
    </w:p>
    <w:p w14:paraId="09306207">
      <w:pPr>
        <w:adjustRightInd w:val="0"/>
        <w:snapToGrid w:val="0"/>
        <w:spacing w:line="560" w:lineRule="atLeast"/>
        <w:ind w:firstLine="640" w:firstLineChars="200"/>
        <w:rPr>
          <w:rFonts w:hint="eastAsia" w:ascii="楷体_GB2312" w:hAnsi="楷体_GB2312" w:eastAsia="楷体_GB2312" w:cs="楷体_GB2312"/>
          <w:sz w:val="32"/>
          <w:szCs w:val="32"/>
          <w:highlight w:val="none"/>
          <w:lang w:eastAsia="zh-CN"/>
        </w:rPr>
      </w:pPr>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lang w:val="en-US" w:eastAsia="zh-CN"/>
        </w:rPr>
        <w:t>一</w:t>
      </w:r>
      <w:r>
        <w:rPr>
          <w:rFonts w:hint="eastAsia" w:ascii="楷体_GB2312" w:hAnsi="楷体_GB2312" w:eastAsia="楷体_GB2312" w:cs="楷体_GB2312"/>
          <w:sz w:val="32"/>
          <w:szCs w:val="32"/>
          <w:highlight w:val="none"/>
          <w:lang w:eastAsia="zh-CN"/>
        </w:rPr>
        <w:t>）编制原则</w:t>
      </w:r>
    </w:p>
    <w:p w14:paraId="6D7969FF">
      <w:pPr>
        <w:pStyle w:val="2"/>
        <w:jc w:val="left"/>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2024年农业农村部印发的《关于大力发展智慧农业的指导意见》（农市发〔2024〕3号）明确提出全方位提升智慧农业应用水平，推进渔业生产智能化，为智慧化技术在渔业领域的应用提供了政策指引。《江苏省“十四五”渔业发展规划》和《关于推进全省智慧农业高质量发展的实施意见》进一步要求提升渔业生产设施和装备智能化水平，但缺乏具体可操作的技术规范，导致各地在遥感监测技术应用中数据源选择、处理流程、精度评价等方面标准不一，造成重复建设与资源浪费。此外，随着生态环境保护督察常态化，基层农业农村与生态环境部门在养殖尾水监管执法中面临技术依据不足、监测数据可信度低的现实困境，亟须统一、权威的技术标准提供支撑。遥感技术作为高效、低成本的监测手段，若无标准规范，不仅难以充分发挥其技术优势，还可能因数据不一致、精度不可控等问题引发监管争议，甚至影响产业稳定发展。故本标准的制定是落实国家政策要求、解决基层监管难题、促进产业绿色发展的迫切需要。经全国标准信息公共服务平台（https://std.samr.gov.cn/）检索，截至2025年1</w:t>
      </w:r>
      <w:r>
        <w:rPr>
          <w:rFonts w:hint="eastAsia" w:ascii="Times New Roman" w:eastAsia="仿宋_GB2312" w:cs="Times New Roman"/>
          <w:sz w:val="32"/>
          <w:szCs w:val="32"/>
          <w:highlight w:val="none"/>
          <w:lang w:val="en-US" w:eastAsia="zh-CN"/>
        </w:rPr>
        <w:t>2</w:t>
      </w:r>
      <w:r>
        <w:rPr>
          <w:rFonts w:hint="eastAsia" w:ascii="Times New Roman" w:hAnsi="Times New Roman" w:eastAsia="仿宋_GB2312" w:cs="Times New Roman"/>
          <w:sz w:val="32"/>
          <w:szCs w:val="32"/>
          <w:highlight w:val="none"/>
        </w:rPr>
        <w:t>月，国内外尚无专门针对养殖水体水质遥感监测的技术标准。现有标准如SL/T 277-2024《水土保持监测技术规范》主要面向水土保持监测，正在制定的《海洋水体环境遥感调查技术规范》适用于海洋环境，HJ 1098-2020 《水华遥感与地面监测评价技术规范》针对淡水水体藻类水华的遥感监测，均未考虑水产养殖水体的小尺度、高异质性特点。因此，本标准在江苏省、苏州市范围内具有较高</w:t>
      </w:r>
      <w:r>
        <w:rPr>
          <w:rFonts w:hint="eastAsia" w:ascii="Times New Roman" w:eastAsia="仿宋_GB2312" w:cs="Times New Roman"/>
          <w:sz w:val="32"/>
          <w:szCs w:val="32"/>
          <w:highlight w:val="none"/>
          <w:lang w:val="en-US" w:eastAsia="zh-CN"/>
        </w:rPr>
        <w:t>的</w:t>
      </w:r>
      <w:r>
        <w:rPr>
          <w:rFonts w:hint="eastAsia" w:ascii="Times New Roman" w:hAnsi="Times New Roman" w:eastAsia="仿宋_GB2312" w:cs="Times New Roman"/>
          <w:sz w:val="32"/>
          <w:szCs w:val="32"/>
          <w:highlight w:val="none"/>
        </w:rPr>
        <w:t>前瞻性及应用价值。</w:t>
      </w:r>
    </w:p>
    <w:p w14:paraId="1BC570E6">
      <w:pPr>
        <w:adjustRightInd w:val="0"/>
        <w:snapToGrid w:val="0"/>
        <w:spacing w:line="560" w:lineRule="atLeast"/>
        <w:ind w:firstLine="640" w:firstLineChars="200"/>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在标准编制格式方面，该标准的编制依据 GB/T 1.1《标准化工作导则 第 1 部分：标准的结构和编写》。在起草过程中，广泛收集查阅了国内</w:t>
      </w:r>
      <w:r>
        <w:rPr>
          <w:rFonts w:hint="eastAsia" w:ascii="Times New Roman" w:hAnsi="Times New Roman" w:eastAsia="仿宋_GB2312" w:cs="Times New Roman"/>
          <w:sz w:val="32"/>
          <w:szCs w:val="32"/>
          <w:highlight w:val="none"/>
          <w:lang w:val="en-US" w:eastAsia="zh-CN"/>
        </w:rPr>
        <w:t>相关</w:t>
      </w:r>
      <w:r>
        <w:rPr>
          <w:rFonts w:hint="eastAsia" w:ascii="Times New Roman" w:hAnsi="Times New Roman" w:eastAsia="仿宋_GB2312" w:cs="Times New Roman"/>
          <w:sz w:val="32"/>
          <w:szCs w:val="32"/>
          <w:highlight w:val="none"/>
        </w:rPr>
        <w:t>标准和相关技术文献，对于本标准的编写遵循</w:t>
      </w:r>
      <w:r>
        <w:rPr>
          <w:rFonts w:hint="eastAsia" w:ascii="Times New Roman" w:hAnsi="Times New Roman" w:eastAsia="仿宋_GB2312" w:cs="Times New Roman"/>
          <w:sz w:val="32"/>
          <w:szCs w:val="32"/>
          <w:highlight w:val="none"/>
          <w:lang w:val="en-US" w:eastAsia="zh-CN"/>
        </w:rPr>
        <w:t>科学、先进、适用、可操作的原则，满足生产端与监管端的实际需求</w:t>
      </w:r>
      <w:r>
        <w:rPr>
          <w:rFonts w:hint="eastAsia" w:ascii="Times New Roman" w:hAnsi="Times New Roman" w:eastAsia="仿宋_GB2312" w:cs="Times New Roman"/>
          <w:sz w:val="32"/>
          <w:szCs w:val="32"/>
          <w:highlight w:val="none"/>
        </w:rPr>
        <w:t>，</w:t>
      </w:r>
      <w:r>
        <w:rPr>
          <w:rFonts w:hint="eastAsia" w:ascii="Times New Roman" w:hAnsi="Times New Roman" w:eastAsia="仿宋_GB2312" w:cs="Times New Roman"/>
          <w:sz w:val="32"/>
          <w:szCs w:val="32"/>
          <w:highlight w:val="none"/>
          <w:lang w:val="en-US" w:eastAsia="zh-CN"/>
        </w:rPr>
        <w:t>将</w:t>
      </w:r>
      <w:r>
        <w:rPr>
          <w:rFonts w:hint="eastAsia" w:ascii="Times New Roman" w:hAnsi="Times New Roman" w:eastAsia="仿宋_GB2312" w:cs="Times New Roman"/>
          <w:sz w:val="32"/>
          <w:szCs w:val="32"/>
          <w:highlight w:val="none"/>
        </w:rPr>
        <w:t>有力驱动</w:t>
      </w:r>
      <w:r>
        <w:rPr>
          <w:rFonts w:hint="eastAsia" w:ascii="Times New Roman" w:hAnsi="Times New Roman" w:eastAsia="仿宋_GB2312" w:cs="Times New Roman"/>
          <w:sz w:val="32"/>
          <w:szCs w:val="32"/>
          <w:highlight w:val="none"/>
          <w:lang w:val="en-US" w:eastAsia="zh-CN"/>
        </w:rPr>
        <w:t>苏州</w:t>
      </w:r>
      <w:r>
        <w:rPr>
          <w:rFonts w:hint="eastAsia" w:ascii="Times New Roman" w:hAnsi="Times New Roman" w:eastAsia="仿宋_GB2312" w:cs="Times New Roman"/>
          <w:sz w:val="32"/>
          <w:szCs w:val="32"/>
          <w:highlight w:val="none"/>
        </w:rPr>
        <w:t>水产养殖业智慧化与绿色化升级，提升行业监管效能与规范性。</w:t>
      </w:r>
    </w:p>
    <w:p w14:paraId="43527C1F">
      <w:pPr>
        <w:adjustRightInd w:val="0"/>
        <w:snapToGrid w:val="0"/>
        <w:spacing w:line="560" w:lineRule="atLeast"/>
        <w:ind w:firstLine="640" w:firstLineChars="200"/>
        <w:rPr>
          <w:rFonts w:hint="default"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lang w:val="en-US" w:eastAsia="zh-CN"/>
        </w:rPr>
        <w:t>二</w:t>
      </w:r>
      <w:r>
        <w:rPr>
          <w:rFonts w:hint="eastAsia" w:ascii="楷体_GB2312" w:hAnsi="楷体_GB2312" w:eastAsia="楷体_GB2312" w:cs="楷体_GB2312"/>
          <w:sz w:val="32"/>
          <w:szCs w:val="32"/>
          <w:highlight w:val="none"/>
          <w:lang w:eastAsia="zh-CN"/>
        </w:rPr>
        <w:t>）</w:t>
      </w:r>
      <w:r>
        <w:rPr>
          <w:rFonts w:hint="eastAsia" w:ascii="楷体_GB2312" w:hAnsi="楷体_GB2312" w:eastAsia="楷体_GB2312" w:cs="楷体_GB2312"/>
          <w:sz w:val="32"/>
          <w:szCs w:val="32"/>
          <w:highlight w:val="none"/>
          <w:lang w:val="en-US" w:eastAsia="zh-CN"/>
        </w:rPr>
        <w:t>主要内容</w:t>
      </w:r>
    </w:p>
    <w:p w14:paraId="383A12EB">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该标准对利用卫星、无人机等遥感平台开展养殖水体水质监测的全流程进行了技术规范。标准首先界定了适用的水体类型（池塘、网箱等）与核心水质参数（叶绿素a、总磷等），并明确了从数据获取、地面同步调查、模型构建到成果输出的完整技术流程。在技术要求上，详细规定了卫星与无人机数据源的选择标准、质量控制及协同应用模式，地面调查的样点布设与采样方法，并优先推荐使用机器学习反演模型。标准的核心是建立了分参数的精度评价指标体系，明确了各项参数反演结果需满足的决定系数（R²）、均方根误差（RMSE）和相对误差（RE）阈值，并规定了精度不达标时的改进措施。最后，标准对监测专题图制作与报告编写的内容提出了统一要求，以确保成果的规范性与可用性。</w:t>
      </w:r>
    </w:p>
    <w:p w14:paraId="51EC0EE2">
      <w:pPr>
        <w:pStyle w:val="2"/>
        <w:jc w:val="both"/>
        <w:outlineLvl w:val="0"/>
        <w:rPr>
          <w:rFonts w:hint="eastAsia" w:ascii="黑体" w:hAnsi="黑体" w:eastAsia="黑体" w:cs="黑体"/>
          <w:highlight w:val="none"/>
        </w:rPr>
      </w:pPr>
      <w:r>
        <w:rPr>
          <w:rFonts w:hint="eastAsia" w:ascii="黑体" w:hAnsi="黑体" w:eastAsia="黑体" w:cs="黑体"/>
          <w:highlight w:val="none"/>
          <w:lang w:val="en-US" w:eastAsia="zh-CN"/>
        </w:rPr>
        <w:t>三</w:t>
      </w:r>
      <w:r>
        <w:rPr>
          <w:rFonts w:hint="eastAsia" w:ascii="黑体" w:hAnsi="黑体" w:eastAsia="黑体" w:cs="黑体"/>
          <w:highlight w:val="none"/>
        </w:rPr>
        <w:t>、主要评价指标体系及试验（或验证）情况</w:t>
      </w:r>
    </w:p>
    <w:p w14:paraId="43B5834E">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本标准建立了针对不同水质参数的精度评价指标体系，包括决定系数（R²）、均方根误差（RMSE）和相对误差（RE）。具体指标要求如下：</w:t>
      </w:r>
    </w:p>
    <w:p w14:paraId="44E28AC3">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叶绿素a (Chl-a)：R²≥0.70，RMSE≤15 μg/L，RE≤30%；</w:t>
      </w:r>
    </w:p>
    <w:p w14:paraId="235A929A">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总磷 (TP)：R²≥0.65，RMSE≤0.05 mg/L，RE≤40%；</w:t>
      </w:r>
    </w:p>
    <w:p w14:paraId="0041956C">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总氮 (TN)：R²≥0.60，RMSE≤0.30 mg/L，RE≤35%；</w:t>
      </w:r>
    </w:p>
    <w:p w14:paraId="26079B5F">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悬浮物 (TSS)：R²≥0.75，RMSE≤10 mg/L，RE≤25%；</w:t>
      </w:r>
    </w:p>
    <w:p w14:paraId="7C2A8552">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氨氮 (NH₃-N)：R²≥0.60，RMSE≤0.20 mg/L，RE≤45%；</w:t>
      </w:r>
    </w:p>
    <w:p w14:paraId="32F79E46">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化学需氧量 (COD)：R²≥0.65，RMSE≤5.0 mg/L，RE≤30%。</w:t>
      </w:r>
    </w:p>
    <w:p w14:paraId="2B7467E7">
      <w:pPr>
        <w:adjustRightInd w:val="0"/>
        <w:snapToGrid w:val="0"/>
        <w:spacing w:line="560" w:lineRule="atLeast"/>
        <w:ind w:firstLine="640" w:firstLineChars="200"/>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验证情况表明，利用机器学习算法结合多光谱或高光谱遥感数据，能够有效提升养殖水体水质参数的反演精度。相关研究成果已在科研项目及试点区域得到验证，证明本标准规定的技术路线可行，精度指标设置合理。</w:t>
      </w:r>
    </w:p>
    <w:p w14:paraId="5B64D32F">
      <w:pPr>
        <w:pStyle w:val="2"/>
        <w:jc w:val="both"/>
        <w:outlineLvl w:val="0"/>
        <w:rPr>
          <w:rFonts w:hint="eastAsia" w:ascii="黑体" w:hAnsi="黑体" w:eastAsia="黑体" w:cs="黑体"/>
          <w:highlight w:val="none"/>
        </w:rPr>
      </w:pPr>
      <w:r>
        <w:rPr>
          <w:rFonts w:hint="eastAsia" w:ascii="黑体" w:hAnsi="黑体" w:eastAsia="黑体" w:cs="黑体"/>
          <w:highlight w:val="none"/>
          <w:lang w:val="en-US" w:eastAsia="zh-CN"/>
        </w:rPr>
        <w:t>四</w:t>
      </w:r>
      <w:r>
        <w:rPr>
          <w:rFonts w:hint="eastAsia" w:ascii="黑体" w:hAnsi="黑体" w:eastAsia="黑体" w:cs="黑体"/>
          <w:highlight w:val="none"/>
        </w:rPr>
        <w:t>、标准中如果涉及专利，应有明确的知识产权说明</w:t>
      </w:r>
    </w:p>
    <w:p w14:paraId="20549E12">
      <w:pPr>
        <w:pStyle w:val="2"/>
        <w:jc w:val="both"/>
        <w:rPr>
          <w:rFonts w:hint="eastAsia" w:ascii="Times New Roman" w:hAnsi="Times New Roman" w:eastAsia="仿宋_GB2312" w:cs="Times New Roman"/>
          <w:sz w:val="32"/>
          <w:szCs w:val="32"/>
          <w:highlight w:val="none"/>
        </w:rPr>
      </w:pPr>
      <w:r>
        <w:rPr>
          <w:rFonts w:hint="eastAsia" w:ascii="Times New Roman" w:eastAsia="仿宋_GB2312" w:cs="Times New Roman"/>
          <w:sz w:val="32"/>
          <w:szCs w:val="32"/>
          <w:highlight w:val="none"/>
          <w:lang w:val="en-US" w:eastAsia="zh-CN"/>
        </w:rPr>
        <w:t>本</w:t>
      </w:r>
      <w:r>
        <w:rPr>
          <w:rFonts w:hint="eastAsia" w:ascii="Times New Roman" w:hAnsi="Times New Roman" w:eastAsia="仿宋_GB2312" w:cs="Times New Roman"/>
          <w:sz w:val="32"/>
          <w:szCs w:val="32"/>
          <w:highlight w:val="none"/>
        </w:rPr>
        <w:t>标准</w:t>
      </w:r>
      <w:r>
        <w:rPr>
          <w:rFonts w:hint="eastAsia" w:ascii="Times New Roman" w:eastAsia="仿宋_GB2312" w:cs="Times New Roman"/>
          <w:sz w:val="32"/>
          <w:szCs w:val="32"/>
          <w:highlight w:val="none"/>
          <w:lang w:val="en-US" w:eastAsia="zh-CN"/>
        </w:rPr>
        <w:t>中不涉及知识产权</w:t>
      </w:r>
      <w:r>
        <w:rPr>
          <w:rFonts w:hint="eastAsia" w:ascii="Times New Roman" w:hAnsi="Times New Roman" w:eastAsia="仿宋_GB2312" w:cs="Times New Roman"/>
          <w:sz w:val="32"/>
          <w:szCs w:val="32"/>
          <w:highlight w:val="none"/>
        </w:rPr>
        <w:t>。</w:t>
      </w:r>
    </w:p>
    <w:p w14:paraId="4F0F71D7">
      <w:pPr>
        <w:pStyle w:val="2"/>
        <w:jc w:val="both"/>
        <w:outlineLvl w:val="0"/>
        <w:rPr>
          <w:rFonts w:hint="eastAsia" w:ascii="黑体" w:hAnsi="黑体" w:eastAsia="黑体" w:cs="黑体"/>
          <w:highlight w:val="none"/>
        </w:rPr>
      </w:pPr>
      <w:r>
        <w:rPr>
          <w:rFonts w:hint="eastAsia" w:ascii="黑体" w:hAnsi="黑体" w:eastAsia="黑体" w:cs="黑体"/>
          <w:highlight w:val="none"/>
          <w:lang w:val="en-US" w:eastAsia="zh-CN"/>
        </w:rPr>
        <w:t>五</w:t>
      </w:r>
      <w:r>
        <w:rPr>
          <w:rFonts w:hint="eastAsia" w:ascii="黑体" w:hAnsi="黑体" w:eastAsia="黑体" w:cs="黑体"/>
          <w:highlight w:val="none"/>
        </w:rPr>
        <w:t>、预期达到的社会、对产业发展的作用等情况</w:t>
      </w:r>
    </w:p>
    <w:p w14:paraId="41D9CC9C">
      <w:pPr>
        <w:pStyle w:val="2"/>
        <w:jc w:val="both"/>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lang w:val="en-US" w:eastAsia="zh-CN"/>
        </w:rPr>
        <w:t>本标准实施后，将显著提升行业监管效能与规范性，为生态环境与农业农村部门提供统一的技术规范，借助遥感技术实现对大范围养殖水体的同步、高频次监测，推动监管模式向精准化、高效化转型，并通过统一技术流程增强监测数据的可比性与公信力；同时，标准将有力驱动水产养殖业智慧化与绿色化升级，为精细化管理提供实时数据支撑，推动产业从经验依赖向数据驱动转变，实现提质增效与可持续发展。</w:t>
      </w:r>
    </w:p>
    <w:p w14:paraId="3931055C">
      <w:pPr>
        <w:pStyle w:val="2"/>
        <w:jc w:val="both"/>
        <w:outlineLvl w:val="0"/>
        <w:rPr>
          <w:rFonts w:hint="eastAsia" w:ascii="黑体" w:hAnsi="黑体" w:eastAsia="黑体" w:cs="黑体"/>
          <w:highlight w:val="none"/>
        </w:rPr>
      </w:pPr>
      <w:r>
        <w:rPr>
          <w:rFonts w:hint="eastAsia" w:ascii="黑体" w:hAnsi="黑体" w:eastAsia="黑体" w:cs="黑体"/>
          <w:highlight w:val="none"/>
          <w:lang w:val="en-US" w:eastAsia="zh-CN"/>
        </w:rPr>
        <w:t>六</w:t>
      </w:r>
      <w:r>
        <w:rPr>
          <w:rFonts w:hint="eastAsia" w:ascii="黑体" w:hAnsi="黑体" w:eastAsia="黑体" w:cs="黑体"/>
          <w:highlight w:val="none"/>
        </w:rPr>
        <w:t>、采用国际标准和国外先进标准情况，与国际、国外同类标准水平的对比分析情况</w:t>
      </w:r>
    </w:p>
    <w:p w14:paraId="2341A34C">
      <w:pPr>
        <w:pStyle w:val="2"/>
        <w:jc w:val="both"/>
        <w:rPr>
          <w:rFonts w:hint="eastAsia" w:ascii="Times New Roman" w:hAnsi="Times New Roman" w:eastAsia="仿宋_GB2312" w:cs="Times New Roman"/>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本标准填补了苏州市养殖水体水质参数遥感监测的空缺，在框架设计和技术指标上，参考了国内外在水环境遥感监测领域的通用规范与先进研究成果，并结合养殖水体的特殊性和实际应用需求进行创新性编制，具有前瞻性和实用性。</w:t>
      </w:r>
    </w:p>
    <w:p w14:paraId="4F9C1D58">
      <w:pPr>
        <w:pStyle w:val="2"/>
        <w:jc w:val="both"/>
        <w:outlineLvl w:val="0"/>
        <w:rPr>
          <w:rFonts w:hint="eastAsia" w:ascii="黑体" w:hAnsi="黑体" w:eastAsia="黑体" w:cs="黑体"/>
          <w:highlight w:val="none"/>
        </w:rPr>
      </w:pPr>
      <w:r>
        <w:rPr>
          <w:rFonts w:hint="eastAsia" w:ascii="黑体" w:hAnsi="黑体" w:eastAsia="黑体" w:cs="黑体"/>
          <w:highlight w:val="none"/>
          <w:lang w:val="en-US" w:eastAsia="zh-CN"/>
        </w:rPr>
        <w:t>七、</w:t>
      </w:r>
      <w:r>
        <w:rPr>
          <w:rFonts w:hint="eastAsia" w:ascii="黑体" w:hAnsi="黑体" w:eastAsia="黑体" w:cs="黑体"/>
          <w:highlight w:val="none"/>
        </w:rPr>
        <w:t>与现行相关法律、法规、规章及相关强制性标准的协调性</w:t>
      </w:r>
    </w:p>
    <w:p w14:paraId="53769DCB">
      <w:pPr>
        <w:pStyle w:val="2"/>
        <w:jc w:val="both"/>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该标准与现行法律、法规、规章及相关标准内容无矛盾和冲突。</w:t>
      </w:r>
    </w:p>
    <w:p w14:paraId="2E6A692E">
      <w:pPr>
        <w:pStyle w:val="2"/>
        <w:jc w:val="both"/>
        <w:outlineLvl w:val="0"/>
        <w:rPr>
          <w:rFonts w:hint="eastAsia" w:ascii="黑体" w:hAnsi="黑体" w:eastAsia="黑体" w:cs="黑体"/>
          <w:highlight w:val="none"/>
        </w:rPr>
      </w:pPr>
      <w:r>
        <w:rPr>
          <w:rFonts w:hint="eastAsia" w:ascii="黑体" w:hAnsi="黑体" w:eastAsia="黑体" w:cs="黑体"/>
          <w:highlight w:val="none"/>
          <w:lang w:val="en-US" w:eastAsia="zh-CN"/>
        </w:rPr>
        <w:t>八</w:t>
      </w:r>
      <w:r>
        <w:rPr>
          <w:rFonts w:hint="eastAsia" w:ascii="黑体" w:hAnsi="黑体" w:eastAsia="黑体" w:cs="黑体"/>
          <w:highlight w:val="none"/>
        </w:rPr>
        <w:t>、重大分歧意见的处理经过和依据</w:t>
      </w:r>
    </w:p>
    <w:p w14:paraId="2E3F15CD">
      <w:pPr>
        <w:pStyle w:val="2"/>
        <w:jc w:val="both"/>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无。</w:t>
      </w:r>
    </w:p>
    <w:p w14:paraId="681F20BF">
      <w:pPr>
        <w:pStyle w:val="2"/>
        <w:jc w:val="both"/>
        <w:outlineLvl w:val="0"/>
        <w:rPr>
          <w:rFonts w:hint="eastAsia" w:ascii="黑体" w:hAnsi="黑体" w:eastAsia="黑体" w:cs="黑体"/>
          <w:highlight w:val="none"/>
        </w:rPr>
      </w:pPr>
      <w:r>
        <w:rPr>
          <w:rFonts w:hint="eastAsia" w:ascii="黑体" w:hAnsi="黑体" w:eastAsia="黑体" w:cs="黑体"/>
          <w:highlight w:val="none"/>
          <w:lang w:val="en-US" w:eastAsia="zh-CN"/>
        </w:rPr>
        <w:t>九</w:t>
      </w:r>
      <w:r>
        <w:rPr>
          <w:rFonts w:hint="eastAsia" w:ascii="黑体" w:hAnsi="黑体" w:eastAsia="黑体" w:cs="黑体"/>
          <w:highlight w:val="none"/>
        </w:rPr>
        <w:t>、标准性质的建议说明</w:t>
      </w:r>
    </w:p>
    <w:p w14:paraId="67D1E20E">
      <w:pPr>
        <w:pStyle w:val="2"/>
        <w:jc w:val="both"/>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建议本标准的性质为团体标准。</w:t>
      </w:r>
    </w:p>
    <w:p w14:paraId="205A80CA">
      <w:pPr>
        <w:pStyle w:val="2"/>
        <w:jc w:val="both"/>
        <w:outlineLvl w:val="0"/>
        <w:rPr>
          <w:rFonts w:hint="eastAsia" w:ascii="黑体" w:hAnsi="黑体" w:eastAsia="黑体" w:cs="黑体"/>
          <w:highlight w:val="none"/>
        </w:rPr>
      </w:pPr>
      <w:r>
        <w:rPr>
          <w:rFonts w:hint="eastAsia" w:ascii="黑体" w:hAnsi="黑体" w:eastAsia="黑体" w:cs="黑体"/>
          <w:highlight w:val="none"/>
          <w:lang w:val="en-US" w:eastAsia="zh-CN"/>
        </w:rPr>
        <w:t>十</w:t>
      </w:r>
      <w:r>
        <w:rPr>
          <w:rFonts w:hint="eastAsia" w:ascii="黑体" w:hAnsi="黑体" w:eastAsia="黑体" w:cs="黑体"/>
          <w:highlight w:val="none"/>
        </w:rPr>
        <w:t>、贯彻标准的要求和措施建议</w:t>
      </w:r>
    </w:p>
    <w:p w14:paraId="7F24AF47">
      <w:pPr>
        <w:pStyle w:val="2"/>
        <w:jc w:val="both"/>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建议本标准在审定、报批后尽快颁布，标委会及时组织宣贯和实施。因本标准首次制定，执行起来难度不大，建议本标准发布即实施。</w:t>
      </w:r>
    </w:p>
    <w:p w14:paraId="731E0B9D">
      <w:pPr>
        <w:pStyle w:val="2"/>
        <w:jc w:val="both"/>
        <w:outlineLvl w:val="0"/>
        <w:rPr>
          <w:rFonts w:hint="eastAsia" w:ascii="黑体" w:hAnsi="黑体" w:eastAsia="黑体" w:cs="黑体"/>
          <w:highlight w:val="none"/>
        </w:rPr>
      </w:pPr>
      <w:r>
        <w:rPr>
          <w:rFonts w:hint="eastAsia" w:ascii="黑体" w:hAnsi="黑体" w:eastAsia="黑体" w:cs="黑体"/>
          <w:highlight w:val="none"/>
        </w:rPr>
        <w:t>十</w:t>
      </w:r>
      <w:r>
        <w:rPr>
          <w:rFonts w:hint="eastAsia" w:ascii="黑体" w:hAnsi="黑体" w:eastAsia="黑体" w:cs="黑体"/>
          <w:highlight w:val="none"/>
          <w:lang w:val="en-US" w:eastAsia="zh-CN"/>
        </w:rPr>
        <w:t>一</w:t>
      </w:r>
      <w:r>
        <w:rPr>
          <w:rFonts w:hint="eastAsia" w:ascii="黑体" w:hAnsi="黑体" w:eastAsia="黑体" w:cs="黑体"/>
          <w:highlight w:val="none"/>
        </w:rPr>
        <w:t>、废止现行相关标准的建议</w:t>
      </w:r>
    </w:p>
    <w:p w14:paraId="7D6B58A8">
      <w:pPr>
        <w:pStyle w:val="2"/>
        <w:jc w:val="both"/>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无。</w:t>
      </w:r>
    </w:p>
    <w:p w14:paraId="028C0310">
      <w:pPr>
        <w:pStyle w:val="2"/>
        <w:jc w:val="both"/>
        <w:outlineLvl w:val="0"/>
        <w:rPr>
          <w:rFonts w:hint="eastAsia" w:ascii="黑体" w:hAnsi="黑体" w:eastAsia="黑体" w:cs="黑体"/>
          <w:highlight w:val="none"/>
        </w:rPr>
      </w:pPr>
      <w:r>
        <w:rPr>
          <w:rFonts w:hint="eastAsia" w:ascii="黑体" w:hAnsi="黑体" w:eastAsia="黑体" w:cs="黑体"/>
          <w:highlight w:val="none"/>
        </w:rPr>
        <w:t>十</w:t>
      </w:r>
      <w:r>
        <w:rPr>
          <w:rFonts w:hint="eastAsia" w:ascii="黑体" w:hAnsi="黑体" w:eastAsia="黑体" w:cs="黑体"/>
          <w:highlight w:val="none"/>
          <w:lang w:val="en-US" w:eastAsia="zh-CN"/>
        </w:rPr>
        <w:t>二</w:t>
      </w:r>
      <w:r>
        <w:rPr>
          <w:rFonts w:hint="eastAsia" w:ascii="黑体" w:hAnsi="黑体" w:eastAsia="黑体" w:cs="黑体"/>
          <w:highlight w:val="none"/>
        </w:rPr>
        <w:t>、其他应予说明的事项</w:t>
      </w:r>
    </w:p>
    <w:p w14:paraId="1E1A3D70">
      <w:pPr>
        <w:pStyle w:val="2"/>
        <w:jc w:val="both"/>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无。</w:t>
      </w:r>
    </w:p>
    <w:p w14:paraId="09EB8469">
      <w:pPr>
        <w:pStyle w:val="2"/>
        <w:jc w:val="both"/>
        <w:rPr>
          <w:rFonts w:hint="eastAsia" w:ascii="Times New Roman" w:hAnsi="Times New Roman" w:eastAsia="仿宋_GB2312" w:cs="Times New Roman"/>
          <w:sz w:val="32"/>
          <w:szCs w:val="32"/>
          <w:highlight w:val="none"/>
        </w:rPr>
      </w:pPr>
    </w:p>
    <w:p w14:paraId="74DD2365">
      <w:pPr>
        <w:pStyle w:val="2"/>
        <w:jc w:val="both"/>
        <w:rPr>
          <w:rFonts w:hint="eastAsia" w:ascii="Times New Roman" w:hAnsi="Times New Roman" w:eastAsia="仿宋_GB2312" w:cs="Times New Roman"/>
          <w:sz w:val="32"/>
          <w:szCs w:val="32"/>
          <w:highlight w:val="none"/>
        </w:rPr>
      </w:pPr>
      <w:bookmarkStart w:id="0" w:name="_GoBack"/>
      <w:bookmarkEnd w:id="0"/>
    </w:p>
    <w:p w14:paraId="30A5C780">
      <w:pPr>
        <w:pStyle w:val="2"/>
        <w:jc w:val="right"/>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《养殖水体水质参数遥感监测技术规程》</w:t>
      </w:r>
    </w:p>
    <w:p w14:paraId="248BA2F7">
      <w:pPr>
        <w:pStyle w:val="2"/>
        <w:jc w:val="right"/>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标准起草工作组</w:t>
      </w:r>
    </w:p>
    <w:p w14:paraId="64D0BD5E">
      <w:pPr>
        <w:pStyle w:val="2"/>
        <w:jc w:val="right"/>
        <w:rPr>
          <w:rFonts w:hint="eastAsia" w:ascii="Times New Roman" w:hAnsi="Times New Roman" w:eastAsia="仿宋_GB2312" w:cs="Times New Roman"/>
          <w:sz w:val="32"/>
          <w:szCs w:val="32"/>
          <w:highlight w:val="none"/>
        </w:rPr>
      </w:pPr>
      <w:r>
        <w:rPr>
          <w:rFonts w:hint="eastAsia" w:ascii="Times New Roman" w:hAnsi="Times New Roman" w:eastAsia="仿宋_GB2312" w:cs="Times New Roman"/>
          <w:sz w:val="32"/>
          <w:szCs w:val="32"/>
          <w:highlight w:val="none"/>
        </w:rPr>
        <w:t>202</w:t>
      </w:r>
      <w:r>
        <w:rPr>
          <w:rFonts w:hint="eastAsia" w:ascii="Times New Roman"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rPr>
        <w:t>年</w:t>
      </w:r>
      <w:r>
        <w:rPr>
          <w:rFonts w:hint="eastAsia" w:ascii="Times New Roman" w:eastAsia="仿宋_GB2312" w:cs="Times New Roman"/>
          <w:sz w:val="32"/>
          <w:szCs w:val="32"/>
          <w:highlight w:val="none"/>
          <w:lang w:val="en-US" w:eastAsia="zh-CN"/>
        </w:rPr>
        <w:t>4</w:t>
      </w:r>
      <w:r>
        <w:rPr>
          <w:rFonts w:hint="eastAsia" w:ascii="Times New Roman" w:hAnsi="Times New Roman" w:eastAsia="仿宋_GB2312" w:cs="Times New Roman"/>
          <w:sz w:val="32"/>
          <w:szCs w:val="32"/>
          <w:highlight w:val="none"/>
        </w:rPr>
        <w:t>月</w:t>
      </w:r>
      <w:r>
        <w:rPr>
          <w:rFonts w:hint="eastAsia" w:ascii="Times New Roman" w:eastAsia="仿宋_GB2312" w:cs="Times New Roman"/>
          <w:sz w:val="32"/>
          <w:szCs w:val="32"/>
          <w:highlight w:val="none"/>
          <w:lang w:val="en-US" w:eastAsia="zh-CN"/>
        </w:rPr>
        <w:t>6</w:t>
      </w:r>
      <w:r>
        <w:rPr>
          <w:rFonts w:hint="eastAsia" w:ascii="Times New Roman" w:hAnsi="Times New Roman" w:eastAsia="仿宋_GB2312" w:cs="Times New Roman"/>
          <w:sz w:val="32"/>
          <w:szCs w:val="32"/>
          <w:highlight w:val="none"/>
        </w:rPr>
        <w:t>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A102A79-F460-436A-BD3E-E99A8B63370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embedRegular r:id="rId2" w:fontKey="{3EACF858-2813-4E25-8877-35E48053258C}"/>
  </w:font>
  <w:font w:name="方正小标宋_GBK">
    <w:panose1 w:val="02000000000000000000"/>
    <w:charset w:val="86"/>
    <w:family w:val="script"/>
    <w:pitch w:val="default"/>
    <w:sig w:usb0="A00002BF" w:usb1="38CF7CFA" w:usb2="00082016" w:usb3="00000000" w:csb0="00040001" w:csb1="00000000"/>
    <w:embedRegular r:id="rId3" w:fontKey="{25A11764-4C34-4E52-A55C-4E016765CADE}"/>
  </w:font>
  <w:font w:name="仿宋_GB2312">
    <w:panose1 w:val="02010609030101010101"/>
    <w:charset w:val="86"/>
    <w:family w:val="modern"/>
    <w:pitch w:val="default"/>
    <w:sig w:usb0="00000001" w:usb1="080E0000" w:usb2="00000000" w:usb3="00000000" w:csb0="00040000" w:csb1="00000000"/>
    <w:embedRegular r:id="rId4" w:fontKey="{E0ACDC47-A7AB-42D6-82B1-E059ABDD67D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A9457">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682590">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7682590">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MmMxZDU5MTIwY2M2YmY4NzhhODY0MTQ1NTg1ZjYifQ=="/>
  </w:docVars>
  <w:rsids>
    <w:rsidRoot w:val="7D9E4119"/>
    <w:rsid w:val="0319067F"/>
    <w:rsid w:val="05490A29"/>
    <w:rsid w:val="057A17B3"/>
    <w:rsid w:val="075F422A"/>
    <w:rsid w:val="09397875"/>
    <w:rsid w:val="09953787"/>
    <w:rsid w:val="0ADD5B52"/>
    <w:rsid w:val="0AEC6CAF"/>
    <w:rsid w:val="0BA34F0E"/>
    <w:rsid w:val="0DAC0772"/>
    <w:rsid w:val="0E8F13F6"/>
    <w:rsid w:val="0F156231"/>
    <w:rsid w:val="0F212073"/>
    <w:rsid w:val="0FEC2530"/>
    <w:rsid w:val="11F62875"/>
    <w:rsid w:val="121B537B"/>
    <w:rsid w:val="13D86489"/>
    <w:rsid w:val="141D0AF0"/>
    <w:rsid w:val="14EE162E"/>
    <w:rsid w:val="1577001A"/>
    <w:rsid w:val="16790493"/>
    <w:rsid w:val="169938C0"/>
    <w:rsid w:val="188D654A"/>
    <w:rsid w:val="1B1A33C4"/>
    <w:rsid w:val="1D623813"/>
    <w:rsid w:val="1F390A46"/>
    <w:rsid w:val="1F7E6C14"/>
    <w:rsid w:val="21242795"/>
    <w:rsid w:val="228378DC"/>
    <w:rsid w:val="22E430DD"/>
    <w:rsid w:val="256D3E8A"/>
    <w:rsid w:val="26040CE7"/>
    <w:rsid w:val="27FA7AE4"/>
    <w:rsid w:val="281731AC"/>
    <w:rsid w:val="29D4073A"/>
    <w:rsid w:val="2B342700"/>
    <w:rsid w:val="31324444"/>
    <w:rsid w:val="3157484F"/>
    <w:rsid w:val="32FC598F"/>
    <w:rsid w:val="33A154C2"/>
    <w:rsid w:val="34A04AFF"/>
    <w:rsid w:val="352069CE"/>
    <w:rsid w:val="387459BA"/>
    <w:rsid w:val="3B5E1C8C"/>
    <w:rsid w:val="3FF94DE0"/>
    <w:rsid w:val="402B5CF3"/>
    <w:rsid w:val="407E20E8"/>
    <w:rsid w:val="41815401"/>
    <w:rsid w:val="44844BD4"/>
    <w:rsid w:val="450D3E6C"/>
    <w:rsid w:val="45F44680"/>
    <w:rsid w:val="46486729"/>
    <w:rsid w:val="48AD5966"/>
    <w:rsid w:val="4A023AA5"/>
    <w:rsid w:val="4B6872D9"/>
    <w:rsid w:val="4C830A39"/>
    <w:rsid w:val="4DBD36F2"/>
    <w:rsid w:val="4EB208A7"/>
    <w:rsid w:val="4F1D3F97"/>
    <w:rsid w:val="515D338B"/>
    <w:rsid w:val="54FC15E4"/>
    <w:rsid w:val="55F67388"/>
    <w:rsid w:val="56912B84"/>
    <w:rsid w:val="56C708EE"/>
    <w:rsid w:val="56CA372B"/>
    <w:rsid w:val="5CEE28DA"/>
    <w:rsid w:val="60450CA2"/>
    <w:rsid w:val="60774A1D"/>
    <w:rsid w:val="60873133"/>
    <w:rsid w:val="63523575"/>
    <w:rsid w:val="63B448E5"/>
    <w:rsid w:val="6521425E"/>
    <w:rsid w:val="65281E25"/>
    <w:rsid w:val="67252CD4"/>
    <w:rsid w:val="679D38D9"/>
    <w:rsid w:val="67BB4B6B"/>
    <w:rsid w:val="689B3E83"/>
    <w:rsid w:val="698F6455"/>
    <w:rsid w:val="6A43371C"/>
    <w:rsid w:val="6B3D73E3"/>
    <w:rsid w:val="6CE9509F"/>
    <w:rsid w:val="708B6080"/>
    <w:rsid w:val="710C0A9A"/>
    <w:rsid w:val="71C90CD8"/>
    <w:rsid w:val="71D45939"/>
    <w:rsid w:val="72B775C1"/>
    <w:rsid w:val="74A73EE6"/>
    <w:rsid w:val="751B5C1C"/>
    <w:rsid w:val="776C1795"/>
    <w:rsid w:val="788F3C1F"/>
    <w:rsid w:val="79883CE2"/>
    <w:rsid w:val="7B872107"/>
    <w:rsid w:val="7BC61F26"/>
    <w:rsid w:val="7D9E4119"/>
    <w:rsid w:val="7ECD63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autoRedefine/>
    <w:semiHidden/>
    <w:unhideWhenUsed/>
    <w:qFormat/>
    <w:uiPriority w:val="0"/>
    <w:pPr>
      <w:keepNext/>
      <w:keepLines/>
      <w:spacing w:before="140" w:beforeLines="0" w:beforeAutospacing="0" w:after="140" w:afterLines="0" w:afterAutospacing="0" w:line="413" w:lineRule="auto"/>
      <w:outlineLvl w:val="1"/>
    </w:pPr>
    <w:rPr>
      <w:rFonts w:ascii="Arial" w:hAnsi="Arial" w:eastAsia="黑体"/>
      <w:b/>
      <w:sz w:val="32"/>
    </w:rPr>
  </w:style>
  <w:style w:type="paragraph" w:styleId="4">
    <w:name w:val="heading 3"/>
    <w:basedOn w:val="1"/>
    <w:next w:val="1"/>
    <w:link w:val="11"/>
    <w:autoRedefine/>
    <w:semiHidden/>
    <w:unhideWhenUsed/>
    <w:qFormat/>
    <w:uiPriority w:val="0"/>
    <w:pPr>
      <w:keepNext/>
      <w:keepLines/>
      <w:spacing w:before="140" w:beforeLines="0" w:beforeAutospacing="0" w:after="140" w:afterLines="0" w:afterAutospacing="0" w:line="520" w:lineRule="exact"/>
      <w:outlineLvl w:val="2"/>
    </w:pPr>
    <w:rPr>
      <w:rFonts w:asciiTheme="minorAscii" w:hAnsiTheme="minorAscii"/>
      <w:b/>
      <w:sz w:val="32"/>
    </w:rPr>
  </w:style>
  <w:style w:type="paragraph" w:styleId="5">
    <w:name w:val="heading 4"/>
    <w:basedOn w:val="1"/>
    <w:next w:val="1"/>
    <w:autoRedefine/>
    <w:semiHidden/>
    <w:unhideWhenUsed/>
    <w:qFormat/>
    <w:uiPriority w:val="0"/>
    <w:pPr>
      <w:keepNext/>
      <w:keepLines/>
      <w:spacing w:before="160" w:beforeLines="0" w:beforeAutospacing="0" w:after="100" w:afterLines="0" w:afterAutospacing="0" w:line="240" w:lineRule="auto"/>
      <w:outlineLvl w:val="3"/>
    </w:pPr>
    <w:rPr>
      <w:rFonts w:ascii="Arial" w:hAnsi="Arial" w:eastAsia="黑体"/>
      <w:b/>
      <w:sz w:val="28"/>
    </w:rPr>
  </w:style>
  <w:style w:type="paragraph" w:styleId="6">
    <w:name w:val="heading 5"/>
    <w:basedOn w:val="1"/>
    <w:next w:val="1"/>
    <w:autoRedefine/>
    <w:semiHidden/>
    <w:unhideWhenUsed/>
    <w:qFormat/>
    <w:uiPriority w:val="0"/>
    <w:pPr>
      <w:keepNext/>
      <w:keepLines/>
      <w:spacing w:before="80" w:beforeLines="0" w:beforeAutospacing="0" w:after="80" w:afterLines="0" w:afterAutospacing="0" w:line="240" w:lineRule="auto"/>
      <w:ind w:left="840" w:leftChars="400"/>
      <w:outlineLvl w:val="4"/>
    </w:pPr>
    <w:rPr>
      <w:rFonts w:asciiTheme="minorAscii" w:hAnsiTheme="minorAscii"/>
      <w:b/>
      <w:sz w:val="28"/>
    </w:rPr>
  </w:style>
  <w:style w:type="character" w:default="1" w:styleId="10">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spacing w:line="560" w:lineRule="exact"/>
      <w:ind w:firstLine="640" w:firstLineChars="200"/>
      <w:jc w:val="right"/>
    </w:pPr>
    <w:rPr>
      <w:rFonts w:ascii="楷体_GB2312" w:hAnsi="Times New Roman" w:eastAsia="楷体_GB2312"/>
      <w:sz w:val="32"/>
      <w:szCs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11">
    <w:name w:val="标题 3 Char"/>
    <w:link w:val="4"/>
    <w:autoRedefine/>
    <w:qFormat/>
    <w:uiPriority w:val="0"/>
    <w:rPr>
      <w:rFonts w:asciiTheme="minorAscii" w:hAnsiTheme="minorAscii" w:eastAsiaTheme="minorEastAsia"/>
      <w:b/>
      <w:sz w:val="32"/>
    </w:rPr>
  </w:style>
  <w:style w:type="paragraph" w:customStyle="1" w:styleId="12">
    <w:name w:val="表格标题"/>
    <w:basedOn w:val="1"/>
    <w:autoRedefine/>
    <w:qFormat/>
    <w:uiPriority w:val="0"/>
    <w:pPr>
      <w:spacing w:after="100" w:afterLines="100" w:line="580" w:lineRule="exact"/>
      <w:ind w:firstLine="640" w:firstLineChars="200"/>
      <w:jc w:val="center"/>
    </w:pPr>
    <w:rPr>
      <w:rFonts w:hint="eastAsia" w:ascii="Times New Roman" w:hAnsi="Times New Roman" w:eastAsia="黑体" w:cs="Times New Roman"/>
      <w:sz w:val="24"/>
      <w:szCs w:val="32"/>
      <w:lang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3068</Words>
  <Characters>3271</Characters>
  <Lines>0</Lines>
  <Paragraphs>0</Paragraphs>
  <TotalTime>35</TotalTime>
  <ScaleCrop>false</ScaleCrop>
  <LinksUpToDate>false</LinksUpToDate>
  <CharactersWithSpaces>3292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2024-08-14T03:43:00Z</dcterms:created>
  <dc:creator>屠曦贤（屠蕴文）</dc:creator>
  <cp:lastModifiedBy>苏州市人工智能行业协会</cp:lastModifiedBy>
  <dcterms:modified xsi:type="dcterms:W3CDTF">2026-04-17T08:01:00Z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C6C7276A5FC04F94AA961B3829B75856_13</vt:lpwstr>
  </property>
  <property fmtid="{D5CDD505-2E9C-101B-9397-08002B2CF9AE}" pid="4" name="KSOTemplateDocerSaveRecord">
    <vt:lpwstr>eyJoZGlkIjoiYTgwNmM5NWI1MGRiZmYwOTM3NjNlZWQzNjg1NzgxMWIiLCJ1c2VySWQiOiI0MDQyOTA0ODkifQ==</vt:lpwstr>
  </property>
</Properties>
</file>