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3AC352">
      <w:pPr>
        <w:adjustRightInd w:val="0"/>
        <w:snapToGrid w:val="0"/>
        <w:spacing w:line="240" w:lineRule="atLeast"/>
        <w:jc w:val="center"/>
        <w:rPr>
          <w:rFonts w:hint="default" w:ascii="Times New Roman" w:hAnsi="Times New Roman" w:eastAsia="方正小标宋_GBK" w:cs="Times New Roman"/>
          <w:bCs/>
          <w:sz w:val="44"/>
          <w:szCs w:val="44"/>
          <w:lang w:val="en-US" w:eastAsia="zh-CN"/>
        </w:rPr>
      </w:pPr>
      <w:r>
        <w:rPr>
          <w:rFonts w:hint="eastAsia" w:ascii="Times New Roman" w:hAnsi="Times New Roman" w:eastAsia="方正小标宋_GBK" w:cs="Times New Roman"/>
          <w:bCs/>
          <w:sz w:val="44"/>
          <w:szCs w:val="44"/>
          <w:lang w:eastAsia="zh-CN"/>
        </w:rPr>
        <w:t>《</w:t>
      </w:r>
      <w:r>
        <w:rPr>
          <w:rFonts w:hint="eastAsia" w:ascii="Times New Roman" w:hAnsi="Times New Roman" w:eastAsia="方正小标宋_GBK" w:cs="Times New Roman"/>
          <w:bCs/>
          <w:sz w:val="44"/>
          <w:szCs w:val="44"/>
        </w:rPr>
        <w:t>水稻苗情遥感监测技术规程</w:t>
      </w:r>
      <w:r>
        <w:rPr>
          <w:rFonts w:hint="eastAsia" w:ascii="Times New Roman" w:hAnsi="Times New Roman" w:eastAsia="方正小标宋_GBK" w:cs="Times New Roman"/>
          <w:bCs/>
          <w:sz w:val="44"/>
          <w:szCs w:val="44"/>
          <w:lang w:eastAsia="zh-CN"/>
        </w:rPr>
        <w:t>》</w:t>
      </w:r>
      <w:r>
        <w:rPr>
          <w:rFonts w:hint="eastAsia" w:ascii="Times New Roman" w:hAnsi="Times New Roman" w:eastAsia="方正小标宋_GBK" w:cs="Times New Roman"/>
          <w:bCs/>
          <w:sz w:val="44"/>
          <w:szCs w:val="44"/>
          <w:lang w:val="en-US" w:eastAsia="zh-CN"/>
        </w:rPr>
        <w:t>团体标准（征求意见稿）编制说明</w:t>
      </w:r>
    </w:p>
    <w:p w14:paraId="4D56D3E2">
      <w:pPr>
        <w:adjustRightInd w:val="0"/>
        <w:snapToGrid w:val="0"/>
        <w:spacing w:line="560" w:lineRule="atLeast"/>
        <w:ind w:firstLine="640" w:firstLineChars="200"/>
        <w:rPr>
          <w:rFonts w:hint="eastAsia" w:ascii="Times New Roman" w:hAnsi="Times New Roman" w:eastAsia="仿宋_GB2312" w:cs="Times New Roman"/>
          <w:sz w:val="32"/>
          <w:szCs w:val="32"/>
        </w:rPr>
      </w:pPr>
    </w:p>
    <w:p w14:paraId="1700BEC4">
      <w:pPr>
        <w:pStyle w:val="2"/>
        <w:jc w:val="both"/>
        <w:outlineLvl w:val="0"/>
        <w:rPr>
          <w:rFonts w:hint="eastAsia" w:ascii="黑体" w:hAnsi="黑体" w:eastAsia="黑体" w:cs="黑体"/>
        </w:rPr>
      </w:pPr>
      <w:r>
        <w:rPr>
          <w:rFonts w:hint="eastAsia" w:ascii="黑体" w:hAnsi="黑体" w:eastAsia="黑体" w:cs="黑体"/>
        </w:rPr>
        <w:t>一、工作简况</w:t>
      </w:r>
    </w:p>
    <w:p w14:paraId="3A9B50F1">
      <w:pPr>
        <w:adjustRightInd w:val="0"/>
        <w:snapToGrid w:val="0"/>
        <w:spacing w:line="560" w:lineRule="atLeast"/>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一</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任务来源</w:t>
      </w:r>
    </w:p>
    <w:p w14:paraId="0EFC58B7">
      <w:pPr>
        <w:adjustRightInd w:val="0"/>
        <w:snapToGrid w:val="0"/>
        <w:spacing w:line="560" w:lineRule="atLeast"/>
        <w:ind w:firstLine="640" w:firstLineChars="200"/>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rPr>
        <w:t>本项目是根据苏州市人工智能行业协会团体标准立项要求制定，为规范水稻苗情遥感监测工作的数据采集、处理流程、成果制作等环节，提供科学统一的技术依据，由苏州市农业科学院牵头提出，联合苏州市农业信息中心、苏州市吴江区农业技术服务中心、苏州市吴中区农业环境与土壤肥料站、苏州市农业技术推广中心、昆山市农业技术推广中心等单位共同参与制定。计划开始时间2026年3月1日，计划完成时间2026年6月30日。</w:t>
      </w:r>
    </w:p>
    <w:p w14:paraId="01C74AFE">
      <w:pPr>
        <w:adjustRightInd w:val="0"/>
        <w:snapToGrid w:val="0"/>
        <w:spacing w:line="560" w:lineRule="atLeast"/>
        <w:ind w:firstLine="640" w:firstLineChars="200"/>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二</w:t>
      </w:r>
      <w:r>
        <w:rPr>
          <w:rFonts w:hint="eastAsia" w:ascii="楷体_GB2312" w:hAnsi="楷体_GB2312" w:eastAsia="楷体_GB2312" w:cs="楷体_GB2312"/>
          <w:sz w:val="32"/>
          <w:szCs w:val="32"/>
          <w:lang w:eastAsia="zh-CN"/>
        </w:rPr>
        <w:t>）主要工作过程</w:t>
      </w:r>
    </w:p>
    <w:p w14:paraId="6A6A682C">
      <w:pPr>
        <w:adjustRightInd w:val="0"/>
        <w:snapToGrid w:val="0"/>
        <w:spacing w:line="560" w:lineRule="atLeast"/>
        <w:ind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1.</w:t>
      </w:r>
      <w:r>
        <w:rPr>
          <w:rFonts w:hint="eastAsia" w:ascii="Times New Roman" w:hAnsi="Times New Roman" w:eastAsia="仿宋_GB2312" w:cs="Times New Roman"/>
          <w:sz w:val="32"/>
          <w:szCs w:val="32"/>
        </w:rPr>
        <w:t>调研立项阶段</w:t>
      </w:r>
    </w:p>
    <w:p w14:paraId="316A575C">
      <w:pPr>
        <w:adjustRightInd w:val="0"/>
        <w:snapToGrid w:val="0"/>
        <w:spacing w:line="560" w:lineRule="atLeast"/>
        <w:ind w:firstLine="640" w:firstLineChars="200"/>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水稻是我国最重要的粮食作物之一，其苗情监测是农业生产管理的关键环节。长期以来，水稻苗情监测主要依赖人工田间调查，存在效率低、成本高、时效性差等突出问题，难以满足现代农业精准化管理的需求。随着GF-1、HJ-CCD、Sentinel-2等中高分辨率卫星的广泛应用，遥感技术已成为突破传统监测瓶颈的必然选择，但当前水稻苗情遥感监测工作尚缺乏统一的技术规范和标准体系。</w:t>
      </w:r>
    </w:p>
    <w:p w14:paraId="74CC82DD">
      <w:pPr>
        <w:adjustRightInd w:val="0"/>
        <w:snapToGrid w:val="0"/>
        <w:spacing w:line="560" w:lineRule="atLeast"/>
        <w:ind w:firstLine="640" w:firstLineChars="200"/>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在此背景下，苏州市农业科学院联合相关农业技术推广单位，于2026年3月提出《水稻苗情遥感监测技术规程》团体标准的立项申请，旨在建立科学、规范、可操作的遥感监测技术体系，统一监测标准、保障数据质量、促进技术推广应用。</w:t>
      </w:r>
    </w:p>
    <w:p w14:paraId="3AA291D3">
      <w:pPr>
        <w:adjustRightInd w:val="0"/>
        <w:snapToGrid w:val="0"/>
        <w:spacing w:line="560" w:lineRule="atLeast"/>
        <w:ind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2.</w:t>
      </w:r>
      <w:r>
        <w:rPr>
          <w:rFonts w:hint="eastAsia" w:ascii="Times New Roman" w:hAnsi="Times New Roman" w:eastAsia="仿宋_GB2312" w:cs="Times New Roman"/>
          <w:sz w:val="32"/>
          <w:szCs w:val="32"/>
        </w:rPr>
        <w:t>组建工作组，形成标准草案</w:t>
      </w:r>
    </w:p>
    <w:p w14:paraId="56F85CF9">
      <w:pPr>
        <w:adjustRightInd w:val="0"/>
        <w:snapToGrid w:val="0"/>
        <w:spacing w:line="560" w:lineRule="atLeast"/>
        <w:ind w:firstLine="640" w:firstLineChars="200"/>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通过立项评审后，苏州市农业科学院公开征集参编单位，组建了由农业遥感、智慧农业、植物保护、土壤肥料、粮油栽培、地理信息系统等多领域专家构成的标准起草小组。起草小组结合江苏省水稻主产区（种植面积超3000万亩）的实际情况，参考GB/T 15968-2008《遥感影像平面图制作规范》、GB/T 30115-2013《卫星遥感影像植被指数产品规范》、GB/T 34808-2017《农业气象观测规范》等现有国家标准，以及美国农业部、欧盟在农业遥感监测方面的技术经验，形成标准草案。</w:t>
      </w:r>
    </w:p>
    <w:p w14:paraId="3DAB2299">
      <w:pPr>
        <w:adjustRightInd w:val="0"/>
        <w:snapToGrid w:val="0"/>
        <w:spacing w:line="560" w:lineRule="atLeast"/>
        <w:ind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起草小组针对卫星影像数据源选择、植被指数计算、纹理参数提取、辐射定标、大气校正、几何校正、统计建模及精度评价等关键技术环节开展内部研讨，邀请了农业遥感领域专家和相关技术人员对标准进行指导，最终对标准编制工作重点、制定依据和编制原则形成共识，于2026年4月3日形成标准征求意见稿。</w:t>
      </w:r>
    </w:p>
    <w:p w14:paraId="59449D65">
      <w:pPr>
        <w:adjustRightInd w:val="0"/>
        <w:snapToGrid w:val="0"/>
        <w:spacing w:line="560" w:lineRule="atLeast"/>
        <w:ind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3.</w:t>
      </w:r>
      <w:r>
        <w:rPr>
          <w:rFonts w:hint="eastAsia" w:ascii="Times New Roman" w:hAnsi="Times New Roman" w:eastAsia="仿宋_GB2312" w:cs="Times New Roman"/>
          <w:sz w:val="32"/>
          <w:szCs w:val="32"/>
        </w:rPr>
        <w:t>主要参加单位和工作组成员及分工</w:t>
      </w:r>
    </w:p>
    <w:p w14:paraId="61F3B3D1">
      <w:pPr>
        <w:adjustRightInd w:val="0"/>
        <w:snapToGrid w:val="0"/>
        <w:spacing w:line="560" w:lineRule="atLeast"/>
        <w:ind w:firstLine="640" w:firstLineChars="200"/>
        <w:rPr>
          <w:rFonts w:hint="eastAsia"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本标准由苏州市农业科学院、苏州市农业信息中心、苏州市吴江区农业技术服务中心、苏州市吴中区农业环境与土壤肥料站、苏州市农业技术推广中心、昆山市农业技术推广中心等单位共同起草。</w:t>
      </w:r>
    </w:p>
    <w:p w14:paraId="31967637">
      <w:pPr>
        <w:adjustRightInd w:val="0"/>
        <w:snapToGrid w:val="0"/>
        <w:spacing w:line="560" w:lineRule="atLeast"/>
        <w:ind w:firstLine="640" w:firstLineChars="200"/>
        <w:rPr>
          <w:rFonts w:hint="eastAsia"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sz w:val="32"/>
          <w:szCs w:val="32"/>
          <w:highlight w:val="none"/>
        </w:rPr>
        <w:t>主要成员：王敦亮、田婷、周君、陶玥玥、李瑞、刘好丽、李晓峰、姜光明、严凯、娄丽娟、许俊伟、何其全等人。其中，王敦亮负责总体框架设计和技术统筹，田婷负责农业信息技术内容编制，周君、陶玥玥负责农学参数与遥感指标关联性研究，其他成员分别负责数据预处理、专题图制作、报告编写规范等具体技术内容的起草工作。</w:t>
      </w:r>
    </w:p>
    <w:p w14:paraId="30289DC4">
      <w:pPr>
        <w:pStyle w:val="2"/>
        <w:jc w:val="both"/>
        <w:outlineLvl w:val="0"/>
        <w:rPr>
          <w:rFonts w:hint="eastAsia" w:ascii="黑体" w:hAnsi="黑体" w:eastAsia="黑体" w:cs="黑体"/>
          <w:lang w:val="en-US" w:eastAsia="zh-CN"/>
        </w:rPr>
      </w:pPr>
      <w:r>
        <w:rPr>
          <w:rFonts w:hint="eastAsia" w:ascii="黑体" w:hAnsi="黑体" w:eastAsia="黑体" w:cs="黑体"/>
          <w:lang w:val="en-US" w:eastAsia="zh-CN"/>
        </w:rPr>
        <w:t>二、标准编制原则和主要内容</w:t>
      </w:r>
    </w:p>
    <w:p w14:paraId="09306207">
      <w:pPr>
        <w:adjustRightInd w:val="0"/>
        <w:snapToGrid w:val="0"/>
        <w:spacing w:line="560" w:lineRule="atLeast"/>
        <w:ind w:firstLine="640" w:firstLineChars="200"/>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一</w:t>
      </w:r>
      <w:r>
        <w:rPr>
          <w:rFonts w:hint="eastAsia" w:ascii="楷体_GB2312" w:hAnsi="楷体_GB2312" w:eastAsia="楷体_GB2312" w:cs="楷体_GB2312"/>
          <w:sz w:val="32"/>
          <w:szCs w:val="32"/>
          <w:lang w:eastAsia="zh-CN"/>
        </w:rPr>
        <w:t>）编制原则</w:t>
      </w:r>
    </w:p>
    <w:p w14:paraId="1CB42243">
      <w:pPr>
        <w:adjustRightInd w:val="0"/>
        <w:snapToGrid w:val="0"/>
        <w:spacing w:line="560" w:lineRule="atLeast"/>
        <w:ind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本标准制定高度契合国家乡村振兴战略和数字农业建设需求，旨在推动水稻生产管理方式从传统经验型向现代科技型转变，为农业大数据平台建设、智能决策系统开发提供标准化数据支撑。</w:t>
      </w:r>
    </w:p>
    <w:p w14:paraId="16FEE75E">
      <w:pPr>
        <w:adjustRightInd w:val="0"/>
        <w:snapToGrid w:val="0"/>
        <w:spacing w:line="560" w:lineRule="atLeast"/>
        <w:ind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在标准编制格式方面，该标准的编制依据GB/T 1.1《标准化工作导则 第1部分：标准的结构和编写》。在起草过程中，广泛收集查阅了国内相关标准和国外先进技术文献，结合江苏省及类似稻区水稻种植特点，遵循科学性、先进性、实用性和可操作性的原则，确保标准既符合遥感技术发展趋势，又满足基层农业技术推广的实际需求。</w:t>
      </w:r>
    </w:p>
    <w:p w14:paraId="43527C1F">
      <w:pPr>
        <w:adjustRightInd w:val="0"/>
        <w:snapToGrid w:val="0"/>
        <w:spacing w:line="560" w:lineRule="atLeast"/>
        <w:ind w:firstLine="640" w:firstLineChars="200"/>
        <w:rPr>
          <w:rFonts w:hint="default"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二</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highlight w:val="none"/>
          <w:lang w:val="en-US" w:eastAsia="zh-CN"/>
        </w:rPr>
        <w:t>主要内容</w:t>
      </w:r>
    </w:p>
    <w:p w14:paraId="67F9C090">
      <w:pPr>
        <w:pStyle w:val="2"/>
        <w:jc w:val="both"/>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该标准适用于江苏省及类似稻区水稻苗情遥感监测工作，涵盖数据采集、预测过程、专题图制作和报告编写等全流程环节。</w:t>
      </w:r>
    </w:p>
    <w:p w14:paraId="2B2F1D77">
      <w:pPr>
        <w:pStyle w:val="2"/>
        <w:jc w:val="both"/>
        <w:rPr>
          <w:rFonts w:hint="eastAsia" w:ascii="Times New Roman" w:eastAsia="仿宋_GB2312" w:cs="Times New Roman"/>
          <w:sz w:val="32"/>
          <w:szCs w:val="32"/>
          <w:lang w:val="en-US" w:eastAsia="zh-CN"/>
        </w:rPr>
      </w:pPr>
      <w:r>
        <w:rPr>
          <w:rFonts w:hint="eastAsia" w:ascii="Times New Roman" w:hAnsi="Times New Roman" w:eastAsia="仿宋_GB2312" w:cs="Times New Roman"/>
          <w:sz w:val="32"/>
          <w:szCs w:val="32"/>
        </w:rPr>
        <w:t>标准详细规定了卫星影像数据源选择标准（包括GF-1、HJ-CCD、Sentinel-2等中高分辨率卫星）、坐标投影系统要求、植被指数（如归一化植被指数NDVI等）与纹理参数计算方法；明确了农学样点调查的布点原则、调查指标和采样规范；规范了遥感数据预处理的技术流程，包括辐射定标、大气校正、几何校正等步骤；建立了基于相关性分析、敏感指数筛选、模型构建与精度评价的统计分析方法体系；并对专题图制作要素、报告编写内容等成果产出作出了具体规定，确保监测成果的规范性和实用性。</w:t>
      </w:r>
    </w:p>
    <w:p w14:paraId="51EC0EE2">
      <w:pPr>
        <w:pStyle w:val="2"/>
        <w:jc w:val="both"/>
        <w:outlineLvl w:val="0"/>
        <w:rPr>
          <w:rFonts w:hint="eastAsia" w:ascii="黑体" w:hAnsi="黑体" w:eastAsia="黑体" w:cs="黑体"/>
        </w:rPr>
      </w:pPr>
      <w:r>
        <w:rPr>
          <w:rFonts w:hint="eastAsia" w:ascii="黑体" w:hAnsi="黑体" w:eastAsia="黑体" w:cs="黑体"/>
          <w:lang w:val="en-US" w:eastAsia="zh-CN"/>
        </w:rPr>
        <w:t>三</w:t>
      </w:r>
      <w:r>
        <w:rPr>
          <w:rFonts w:hint="eastAsia" w:ascii="黑体" w:hAnsi="黑体" w:eastAsia="黑体" w:cs="黑体"/>
        </w:rPr>
        <w:t>、主要评价指标体系及试验（或验证）情况</w:t>
      </w:r>
    </w:p>
    <w:p w14:paraId="26523145">
      <w:pPr>
        <w:pStyle w:val="2"/>
        <w:jc w:val="both"/>
        <w:rPr>
          <w:rFonts w:hint="default" w:ascii="Times New Roman" w:eastAsia="仿宋_GB2312" w:cs="Times New Roman"/>
          <w:sz w:val="32"/>
          <w:szCs w:val="32"/>
          <w:lang w:val="en-US" w:eastAsia="zh-CN"/>
        </w:rPr>
      </w:pPr>
      <w:r>
        <w:rPr>
          <w:rFonts w:hint="eastAsia" w:ascii="Times New Roman" w:eastAsia="仿宋_GB2312" w:cs="Times New Roman"/>
          <w:sz w:val="32"/>
          <w:szCs w:val="32"/>
          <w:lang w:val="en-US" w:eastAsia="zh-CN"/>
        </w:rPr>
        <w:t>本标准的技术指标主要参考国内外成熟的遥感影像处理规范和农业遥感应用实践，包括卫星影像空间分辨率要求、植被指数计算精度、几何校正误差限值、模型预测精度评价指标等。标准起草过程中，起草单位已利用江苏省水稻种植区进行了方法验证，证实技术路线可行，数据处理方法科学有效。</w:t>
      </w:r>
    </w:p>
    <w:p w14:paraId="5B64D32F">
      <w:pPr>
        <w:pStyle w:val="2"/>
        <w:jc w:val="both"/>
        <w:outlineLvl w:val="0"/>
        <w:rPr>
          <w:rFonts w:hint="eastAsia" w:ascii="黑体" w:hAnsi="黑体" w:eastAsia="黑体" w:cs="黑体"/>
        </w:rPr>
      </w:pPr>
      <w:r>
        <w:rPr>
          <w:rFonts w:hint="eastAsia" w:ascii="黑体" w:hAnsi="黑体" w:eastAsia="黑体" w:cs="黑体"/>
          <w:lang w:val="en-US" w:eastAsia="zh-CN"/>
        </w:rPr>
        <w:t>四</w:t>
      </w:r>
      <w:r>
        <w:rPr>
          <w:rFonts w:hint="eastAsia" w:ascii="黑体" w:hAnsi="黑体" w:eastAsia="黑体" w:cs="黑体"/>
        </w:rPr>
        <w:t>、标准中如果涉及专利，应有明确的知识产权说明</w:t>
      </w:r>
    </w:p>
    <w:p w14:paraId="20549E12">
      <w:pPr>
        <w:pStyle w:val="2"/>
        <w:jc w:val="both"/>
        <w:rPr>
          <w:rFonts w:hint="eastAsia" w:ascii="Times New Roman" w:hAnsi="Times New Roman" w:eastAsia="仿宋_GB2312" w:cs="Times New Roman"/>
          <w:sz w:val="32"/>
          <w:szCs w:val="32"/>
          <w:highlight w:val="none"/>
        </w:rPr>
      </w:pPr>
      <w:r>
        <w:rPr>
          <w:rFonts w:hint="eastAsia" w:ascii="Times New Roman" w:eastAsia="仿宋_GB2312" w:cs="Times New Roman"/>
          <w:sz w:val="32"/>
          <w:szCs w:val="32"/>
          <w:highlight w:val="none"/>
          <w:lang w:val="en-US" w:eastAsia="zh-CN"/>
        </w:rPr>
        <w:t>本</w:t>
      </w:r>
      <w:r>
        <w:rPr>
          <w:rFonts w:hint="eastAsia" w:ascii="Times New Roman" w:hAnsi="Times New Roman" w:eastAsia="仿宋_GB2312" w:cs="Times New Roman"/>
          <w:sz w:val="32"/>
          <w:szCs w:val="32"/>
          <w:highlight w:val="none"/>
        </w:rPr>
        <w:t>标准</w:t>
      </w:r>
      <w:r>
        <w:rPr>
          <w:rFonts w:hint="eastAsia" w:ascii="Times New Roman" w:eastAsia="仿宋_GB2312" w:cs="Times New Roman"/>
          <w:sz w:val="32"/>
          <w:szCs w:val="32"/>
          <w:highlight w:val="none"/>
          <w:lang w:val="en-US" w:eastAsia="zh-CN"/>
        </w:rPr>
        <w:t>中不涉及知识产权</w:t>
      </w:r>
      <w:r>
        <w:rPr>
          <w:rFonts w:hint="eastAsia" w:ascii="Times New Roman" w:hAnsi="Times New Roman" w:eastAsia="仿宋_GB2312" w:cs="Times New Roman"/>
          <w:sz w:val="32"/>
          <w:szCs w:val="32"/>
          <w:highlight w:val="none"/>
        </w:rPr>
        <w:t>。</w:t>
      </w:r>
    </w:p>
    <w:p w14:paraId="4F0F71D7">
      <w:pPr>
        <w:pStyle w:val="2"/>
        <w:jc w:val="both"/>
        <w:outlineLvl w:val="0"/>
        <w:rPr>
          <w:rFonts w:hint="eastAsia" w:ascii="黑体" w:hAnsi="黑体" w:eastAsia="黑体" w:cs="黑体"/>
        </w:rPr>
      </w:pPr>
      <w:r>
        <w:rPr>
          <w:rFonts w:hint="eastAsia" w:ascii="黑体" w:hAnsi="黑体" w:eastAsia="黑体" w:cs="黑体"/>
          <w:lang w:val="en-US" w:eastAsia="zh-CN"/>
        </w:rPr>
        <w:t>五</w:t>
      </w:r>
      <w:r>
        <w:rPr>
          <w:rFonts w:hint="eastAsia" w:ascii="黑体" w:hAnsi="黑体" w:eastAsia="黑体" w:cs="黑体"/>
        </w:rPr>
        <w:t>、预期达到的社会、对产业发展的作用等情况</w:t>
      </w:r>
    </w:p>
    <w:p w14:paraId="2C2B992D">
      <w:pPr>
        <w:pStyle w:val="2"/>
        <w:jc w:val="both"/>
        <w:outlineLvl w:val="0"/>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通过制定《水稻苗情遥感监测技术规程》，有助于建立科学统一的水稻苗情遥感监测技术体系，提升监测工作的时效性和准确性，为政府部门决策、农业生产指导、灾害预警评估等提供可靠的技术支撑。本标准的实施将促进遥感信息技术与现代农业生产深度融合，推动农业信息资源的整合共享和深度应用，为数字乡村建设和乡村振兴战略实施提供技术保障。</w:t>
      </w:r>
    </w:p>
    <w:p w14:paraId="3931055C">
      <w:pPr>
        <w:pStyle w:val="2"/>
        <w:jc w:val="both"/>
        <w:outlineLvl w:val="0"/>
        <w:rPr>
          <w:rFonts w:hint="eastAsia" w:ascii="黑体" w:hAnsi="黑体" w:eastAsia="黑体" w:cs="黑体"/>
        </w:rPr>
      </w:pPr>
      <w:r>
        <w:rPr>
          <w:rFonts w:hint="eastAsia" w:ascii="黑体" w:hAnsi="黑体" w:eastAsia="黑体" w:cs="黑体"/>
          <w:lang w:val="en-US" w:eastAsia="zh-CN"/>
        </w:rPr>
        <w:t>六</w:t>
      </w:r>
      <w:r>
        <w:rPr>
          <w:rFonts w:hint="eastAsia" w:ascii="黑体" w:hAnsi="黑体" w:eastAsia="黑体" w:cs="黑体"/>
        </w:rPr>
        <w:t>、采用国际标准和国外先进标准情况，与国际、国外同类标准水平的对比分析情况</w:t>
      </w:r>
    </w:p>
    <w:p w14:paraId="01D41095">
      <w:pPr>
        <w:pStyle w:val="2"/>
        <w:jc w:val="both"/>
        <w:outlineLvl w:val="0"/>
        <w:rPr>
          <w:rFonts w:hint="eastAsia"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国际方面，美国农业部依托Landsat、MODIS等卫星数据建立了作物长势监测与产量预测业务化系统，欧盟通过Sentinel系列卫星实现了农作物种植分布和生长状况的自动化监测，并制定了数据产品质量控制规范。国外标准多侧重于数据产品规范和质量控制，而在结合农学参数、构建本地化监测模型方面的技术标准相对较少。</w:t>
      </w:r>
    </w:p>
    <w:p w14:paraId="2341A34C">
      <w:pPr>
        <w:pStyle w:val="2"/>
        <w:jc w:val="both"/>
        <w:outlineLvl w:val="0"/>
        <w:rPr>
          <w:rFonts w:hint="eastAsia"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本标准在借鉴国际先进经验的基础上，结合江苏省水稻种植制度特点，重点填补了国内水稻苗情遥感监测专项标准的空白，在农学参数与遥感指标融合、本地化监测模型构建等方面具有创新性和实用性。</w:t>
      </w:r>
    </w:p>
    <w:p w14:paraId="4F9C1D58">
      <w:pPr>
        <w:pStyle w:val="2"/>
        <w:jc w:val="both"/>
        <w:outlineLvl w:val="0"/>
        <w:rPr>
          <w:rFonts w:hint="eastAsia" w:ascii="黑体" w:hAnsi="黑体" w:eastAsia="黑体" w:cs="黑体"/>
        </w:rPr>
      </w:pPr>
      <w:r>
        <w:rPr>
          <w:rFonts w:hint="eastAsia" w:ascii="黑体" w:hAnsi="黑体" w:eastAsia="黑体" w:cs="黑体"/>
          <w:lang w:val="en-US" w:eastAsia="zh-CN"/>
        </w:rPr>
        <w:t>七、</w:t>
      </w:r>
      <w:r>
        <w:rPr>
          <w:rFonts w:hint="eastAsia" w:ascii="黑体" w:hAnsi="黑体" w:eastAsia="黑体" w:cs="黑体"/>
        </w:rPr>
        <w:t>与现行相关法律、法规、规章及相关强制性标准的协调性</w:t>
      </w:r>
    </w:p>
    <w:p w14:paraId="53769DCB">
      <w:pPr>
        <w:pStyle w:val="2"/>
        <w:jc w:val="both"/>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该标准与现行法律、法规、规章及相关标准内容无矛盾和冲突。</w:t>
      </w:r>
    </w:p>
    <w:p w14:paraId="2E6A692E">
      <w:pPr>
        <w:pStyle w:val="2"/>
        <w:jc w:val="both"/>
        <w:outlineLvl w:val="0"/>
        <w:rPr>
          <w:rFonts w:hint="eastAsia" w:ascii="黑体" w:hAnsi="黑体" w:eastAsia="黑体" w:cs="黑体"/>
        </w:rPr>
      </w:pPr>
      <w:r>
        <w:rPr>
          <w:rFonts w:hint="eastAsia" w:ascii="黑体" w:hAnsi="黑体" w:eastAsia="黑体" w:cs="黑体"/>
          <w:lang w:val="en-US" w:eastAsia="zh-CN"/>
        </w:rPr>
        <w:t>八</w:t>
      </w:r>
      <w:r>
        <w:rPr>
          <w:rFonts w:hint="eastAsia" w:ascii="黑体" w:hAnsi="黑体" w:eastAsia="黑体" w:cs="黑体"/>
        </w:rPr>
        <w:t>、重大分歧意见的处理经过和依据</w:t>
      </w:r>
    </w:p>
    <w:p w14:paraId="2E3F15CD">
      <w:pPr>
        <w:pStyle w:val="2"/>
        <w:jc w:val="both"/>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无。</w:t>
      </w:r>
    </w:p>
    <w:p w14:paraId="681F20BF">
      <w:pPr>
        <w:pStyle w:val="2"/>
        <w:jc w:val="both"/>
        <w:outlineLvl w:val="0"/>
        <w:rPr>
          <w:rFonts w:hint="eastAsia" w:ascii="黑体" w:hAnsi="黑体" w:eastAsia="黑体" w:cs="黑体"/>
        </w:rPr>
      </w:pPr>
      <w:r>
        <w:rPr>
          <w:rFonts w:hint="eastAsia" w:ascii="黑体" w:hAnsi="黑体" w:eastAsia="黑体" w:cs="黑体"/>
          <w:lang w:val="en-US" w:eastAsia="zh-CN"/>
        </w:rPr>
        <w:t>九</w:t>
      </w:r>
      <w:r>
        <w:rPr>
          <w:rFonts w:hint="eastAsia" w:ascii="黑体" w:hAnsi="黑体" w:eastAsia="黑体" w:cs="黑体"/>
        </w:rPr>
        <w:t>、标准性质的建议说明</w:t>
      </w:r>
    </w:p>
    <w:p w14:paraId="67D1E20E">
      <w:pPr>
        <w:pStyle w:val="2"/>
        <w:jc w:val="both"/>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建议本标准的性质为团体标准。</w:t>
      </w:r>
    </w:p>
    <w:p w14:paraId="205A80CA">
      <w:pPr>
        <w:pStyle w:val="2"/>
        <w:jc w:val="both"/>
        <w:outlineLvl w:val="0"/>
        <w:rPr>
          <w:rFonts w:hint="eastAsia" w:ascii="黑体" w:hAnsi="黑体" w:eastAsia="黑体" w:cs="黑体"/>
        </w:rPr>
      </w:pPr>
      <w:r>
        <w:rPr>
          <w:rFonts w:hint="eastAsia" w:ascii="黑体" w:hAnsi="黑体" w:eastAsia="黑体" w:cs="黑体"/>
          <w:lang w:val="en-US" w:eastAsia="zh-CN"/>
        </w:rPr>
        <w:t>十</w:t>
      </w:r>
      <w:r>
        <w:rPr>
          <w:rFonts w:hint="eastAsia" w:ascii="黑体" w:hAnsi="黑体" w:eastAsia="黑体" w:cs="黑体"/>
        </w:rPr>
        <w:t>、贯彻标准的要求和措施建议</w:t>
      </w:r>
    </w:p>
    <w:p w14:paraId="7F24AF47">
      <w:pPr>
        <w:pStyle w:val="2"/>
        <w:jc w:val="both"/>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建议本标准在审定、报批后尽快颁布，苏州市人工智能行业协会及时组织宣贯和实施。因本标准首次制定，技术内容具有较强的可操作性，建议本标准发布即实施。各参与单位应在江苏省及类似稻区积极开展标准应用示范，组织农业技术人员培训，推动标准的广泛应用。</w:t>
      </w:r>
    </w:p>
    <w:p w14:paraId="731E0B9D">
      <w:pPr>
        <w:pStyle w:val="2"/>
        <w:jc w:val="both"/>
        <w:outlineLvl w:val="0"/>
        <w:rPr>
          <w:rFonts w:hint="eastAsia" w:ascii="黑体" w:hAnsi="黑体" w:eastAsia="黑体" w:cs="黑体"/>
        </w:rPr>
      </w:pPr>
      <w:r>
        <w:rPr>
          <w:rFonts w:hint="eastAsia" w:ascii="黑体" w:hAnsi="黑体" w:eastAsia="黑体" w:cs="黑体"/>
        </w:rPr>
        <w:t>十</w:t>
      </w:r>
      <w:r>
        <w:rPr>
          <w:rFonts w:hint="eastAsia" w:ascii="黑体" w:hAnsi="黑体" w:eastAsia="黑体" w:cs="黑体"/>
          <w:lang w:val="en-US" w:eastAsia="zh-CN"/>
        </w:rPr>
        <w:t>一</w:t>
      </w:r>
      <w:r>
        <w:rPr>
          <w:rFonts w:hint="eastAsia" w:ascii="黑体" w:hAnsi="黑体" w:eastAsia="黑体" w:cs="黑体"/>
        </w:rPr>
        <w:t>、废止现行相关标准的建议</w:t>
      </w:r>
    </w:p>
    <w:p w14:paraId="7D6B58A8">
      <w:pPr>
        <w:pStyle w:val="2"/>
        <w:jc w:val="both"/>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无。</w:t>
      </w:r>
    </w:p>
    <w:p w14:paraId="028C0310">
      <w:pPr>
        <w:pStyle w:val="2"/>
        <w:jc w:val="both"/>
        <w:outlineLvl w:val="0"/>
        <w:rPr>
          <w:rFonts w:hint="eastAsia" w:ascii="黑体" w:hAnsi="黑体" w:eastAsia="黑体" w:cs="黑体"/>
        </w:rPr>
      </w:pPr>
      <w:r>
        <w:rPr>
          <w:rFonts w:hint="eastAsia" w:ascii="黑体" w:hAnsi="黑体" w:eastAsia="黑体" w:cs="黑体"/>
        </w:rPr>
        <w:t>十</w:t>
      </w:r>
      <w:r>
        <w:rPr>
          <w:rFonts w:hint="eastAsia" w:ascii="黑体" w:hAnsi="黑体" w:eastAsia="黑体" w:cs="黑体"/>
          <w:lang w:val="en-US" w:eastAsia="zh-CN"/>
        </w:rPr>
        <w:t>二</w:t>
      </w:r>
      <w:r>
        <w:rPr>
          <w:rFonts w:hint="eastAsia" w:ascii="黑体" w:hAnsi="黑体" w:eastAsia="黑体" w:cs="黑体"/>
        </w:rPr>
        <w:t>、其他应予说明的事项</w:t>
      </w:r>
    </w:p>
    <w:p w14:paraId="1E1A3D70">
      <w:pPr>
        <w:pStyle w:val="2"/>
        <w:jc w:val="both"/>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无。</w:t>
      </w:r>
    </w:p>
    <w:p w14:paraId="349161FE">
      <w:pPr>
        <w:pStyle w:val="2"/>
        <w:jc w:val="both"/>
        <w:rPr>
          <w:rFonts w:hint="eastAsia" w:ascii="Times New Roman" w:hAnsi="Times New Roman" w:eastAsia="仿宋_GB2312" w:cs="Times New Roman"/>
          <w:sz w:val="32"/>
          <w:szCs w:val="32"/>
        </w:rPr>
      </w:pPr>
    </w:p>
    <w:p w14:paraId="759CF81C">
      <w:pPr>
        <w:pStyle w:val="2"/>
        <w:jc w:val="both"/>
        <w:rPr>
          <w:rFonts w:hint="eastAsia" w:ascii="Times New Roman" w:hAnsi="Times New Roman" w:eastAsia="仿宋_GB2312" w:cs="Times New Roman"/>
          <w:sz w:val="32"/>
          <w:szCs w:val="32"/>
        </w:rPr>
      </w:pPr>
      <w:bookmarkStart w:id="0" w:name="_GoBack"/>
      <w:bookmarkEnd w:id="0"/>
    </w:p>
    <w:p w14:paraId="5D7A94AD">
      <w:pPr>
        <w:pStyle w:val="2"/>
        <w:jc w:val="right"/>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《人工智能企业</w:t>
      </w:r>
      <w:r>
        <w:rPr>
          <w:rFonts w:hint="eastAsia" w:ascii="Times New Roman" w:eastAsia="仿宋_GB2312" w:cs="Times New Roman"/>
          <w:sz w:val="32"/>
          <w:szCs w:val="32"/>
          <w:lang w:eastAsia="zh-CN"/>
        </w:rPr>
        <w:t>分类</w:t>
      </w:r>
      <w:r>
        <w:rPr>
          <w:rFonts w:hint="eastAsia" w:ascii="Times New Roman" w:hAnsi="Times New Roman" w:eastAsia="仿宋_GB2312" w:cs="Times New Roman"/>
          <w:sz w:val="32"/>
          <w:szCs w:val="32"/>
        </w:rPr>
        <w:t>评价指南》</w:t>
      </w:r>
    </w:p>
    <w:p w14:paraId="248BA2F7">
      <w:pPr>
        <w:pStyle w:val="2"/>
        <w:jc w:val="right"/>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标准起草工作组</w:t>
      </w:r>
    </w:p>
    <w:p w14:paraId="64D0BD5E">
      <w:pPr>
        <w:pStyle w:val="2"/>
        <w:jc w:val="right"/>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202</w:t>
      </w:r>
      <w:r>
        <w:rPr>
          <w:rFonts w:hint="eastAsia" w:ascii="Times New Roman" w:eastAsia="仿宋_GB2312" w:cs="Times New Roman"/>
          <w:sz w:val="32"/>
          <w:szCs w:val="32"/>
          <w:lang w:val="en-US" w:eastAsia="zh-CN"/>
        </w:rPr>
        <w:t>6</w:t>
      </w:r>
      <w:r>
        <w:rPr>
          <w:rFonts w:hint="eastAsia" w:ascii="Times New Roman" w:hAnsi="Times New Roman" w:eastAsia="仿宋_GB2312" w:cs="Times New Roman"/>
          <w:sz w:val="32"/>
          <w:szCs w:val="32"/>
        </w:rPr>
        <w:t>年</w:t>
      </w:r>
      <w:r>
        <w:rPr>
          <w:rFonts w:hint="eastAsia" w:ascii="Times New Roman" w:eastAsia="仿宋_GB2312" w:cs="Times New Roman"/>
          <w:sz w:val="32"/>
          <w:szCs w:val="32"/>
          <w:lang w:val="en-US" w:eastAsia="zh-CN"/>
        </w:rPr>
        <w:t>4</w:t>
      </w:r>
      <w:r>
        <w:rPr>
          <w:rFonts w:hint="eastAsia" w:ascii="Times New Roman" w:hAnsi="Times New Roman" w:eastAsia="仿宋_GB2312" w:cs="Times New Roman"/>
          <w:sz w:val="32"/>
          <w:szCs w:val="32"/>
        </w:rPr>
        <w:t>月</w:t>
      </w:r>
      <w:r>
        <w:rPr>
          <w:rFonts w:hint="eastAsia" w:ascii="Times New Roman" w:eastAsia="仿宋_GB2312" w:cs="Times New Roman"/>
          <w:sz w:val="32"/>
          <w:szCs w:val="32"/>
          <w:lang w:val="en-US" w:eastAsia="zh-CN"/>
        </w:rPr>
        <w:t>6</w:t>
      </w:r>
      <w:r>
        <w:rPr>
          <w:rFonts w:hint="eastAsia" w:ascii="Times New Roman" w:hAnsi="Times New Roman" w:eastAsia="仿宋_GB2312" w:cs="Times New Roman"/>
          <w:sz w:val="32"/>
          <w:szCs w:val="32"/>
        </w:rPr>
        <w:t>日</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FE2E3DF-1436-4693-A56D-6279B68153AF}"/>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panose1 w:val="02010609030101010101"/>
    <w:charset w:val="86"/>
    <w:family w:val="modern"/>
    <w:pitch w:val="default"/>
    <w:sig w:usb0="00000001" w:usb1="080E0000" w:usb2="00000000" w:usb3="00000000" w:csb0="00040000" w:csb1="00000000"/>
    <w:embedRegular r:id="rId2" w:fontKey="{97FD5965-77BF-4292-B3C9-AA9014EC9312}"/>
  </w:font>
  <w:font w:name="方正小标宋_GBK">
    <w:panose1 w:val="02000000000000000000"/>
    <w:charset w:val="86"/>
    <w:family w:val="script"/>
    <w:pitch w:val="default"/>
    <w:sig w:usb0="A00002BF" w:usb1="38CF7CFA" w:usb2="00082016" w:usb3="00000000" w:csb0="00040001" w:csb1="00000000"/>
    <w:embedRegular r:id="rId3" w:fontKey="{80301BA2-006D-421B-8E25-F74075E52EBB}"/>
  </w:font>
  <w:font w:name="仿宋_GB2312">
    <w:panose1 w:val="02010609030101010101"/>
    <w:charset w:val="86"/>
    <w:family w:val="modern"/>
    <w:pitch w:val="default"/>
    <w:sig w:usb0="00000001" w:usb1="080E0000" w:usb2="00000000" w:usb3="00000000" w:csb0="00040000" w:csb1="00000000"/>
    <w:embedRegular r:id="rId4" w:fontKey="{0A8F306C-CF70-45B7-9E1A-746E6DEF6415}"/>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5A9457">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7682590">
                          <w:pPr>
                            <w:pStyle w:val="7"/>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57682590">
                    <w:pPr>
                      <w:pStyle w:val="7"/>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M0MmMxZDU5MTIwY2M2YmY4NzhhODY0MTQ1NTg1ZjYifQ=="/>
  </w:docVars>
  <w:rsids>
    <w:rsidRoot w:val="7D9E4119"/>
    <w:rsid w:val="0319067F"/>
    <w:rsid w:val="05490A29"/>
    <w:rsid w:val="057A17B3"/>
    <w:rsid w:val="075F422A"/>
    <w:rsid w:val="09397875"/>
    <w:rsid w:val="0ADD5B52"/>
    <w:rsid w:val="0AEC6CAF"/>
    <w:rsid w:val="0BA34F0E"/>
    <w:rsid w:val="0DAC0772"/>
    <w:rsid w:val="0E8F13F6"/>
    <w:rsid w:val="0F156231"/>
    <w:rsid w:val="0FEC2530"/>
    <w:rsid w:val="11F62875"/>
    <w:rsid w:val="121B537B"/>
    <w:rsid w:val="13D86489"/>
    <w:rsid w:val="141D0AF0"/>
    <w:rsid w:val="14EE162E"/>
    <w:rsid w:val="1577001A"/>
    <w:rsid w:val="16790493"/>
    <w:rsid w:val="188D654A"/>
    <w:rsid w:val="1B1A33C4"/>
    <w:rsid w:val="1D623813"/>
    <w:rsid w:val="1F390A46"/>
    <w:rsid w:val="1F7E6C14"/>
    <w:rsid w:val="21242795"/>
    <w:rsid w:val="228378DC"/>
    <w:rsid w:val="22E430DD"/>
    <w:rsid w:val="256D3E8A"/>
    <w:rsid w:val="26040CE7"/>
    <w:rsid w:val="27FA7AE4"/>
    <w:rsid w:val="281731AC"/>
    <w:rsid w:val="29D4073A"/>
    <w:rsid w:val="31324444"/>
    <w:rsid w:val="3157484F"/>
    <w:rsid w:val="32FC598F"/>
    <w:rsid w:val="33A154C2"/>
    <w:rsid w:val="34A04AFF"/>
    <w:rsid w:val="352069CE"/>
    <w:rsid w:val="387459BA"/>
    <w:rsid w:val="3B5E1C8C"/>
    <w:rsid w:val="3D732FA8"/>
    <w:rsid w:val="3FF94DE0"/>
    <w:rsid w:val="402B5CF3"/>
    <w:rsid w:val="407E20E8"/>
    <w:rsid w:val="41815401"/>
    <w:rsid w:val="44844BD4"/>
    <w:rsid w:val="450D3E6C"/>
    <w:rsid w:val="45F44680"/>
    <w:rsid w:val="46486729"/>
    <w:rsid w:val="46F833AC"/>
    <w:rsid w:val="47F008BB"/>
    <w:rsid w:val="4826124F"/>
    <w:rsid w:val="4A023AA5"/>
    <w:rsid w:val="4B6872D9"/>
    <w:rsid w:val="4C830A39"/>
    <w:rsid w:val="4DBD36F2"/>
    <w:rsid w:val="4EB208A7"/>
    <w:rsid w:val="4F1D3F97"/>
    <w:rsid w:val="54FC15E4"/>
    <w:rsid w:val="55F67388"/>
    <w:rsid w:val="56912B84"/>
    <w:rsid w:val="56C708EE"/>
    <w:rsid w:val="56CA372B"/>
    <w:rsid w:val="5CEE28DA"/>
    <w:rsid w:val="60450CA2"/>
    <w:rsid w:val="60774A1D"/>
    <w:rsid w:val="60873133"/>
    <w:rsid w:val="629C2E82"/>
    <w:rsid w:val="63523575"/>
    <w:rsid w:val="63B448E5"/>
    <w:rsid w:val="6521425E"/>
    <w:rsid w:val="65281E25"/>
    <w:rsid w:val="67252CD4"/>
    <w:rsid w:val="679D38D9"/>
    <w:rsid w:val="689B3E83"/>
    <w:rsid w:val="698F6455"/>
    <w:rsid w:val="6A43371C"/>
    <w:rsid w:val="6B3D73E3"/>
    <w:rsid w:val="6CE9509F"/>
    <w:rsid w:val="708B6080"/>
    <w:rsid w:val="710C0A9A"/>
    <w:rsid w:val="71C90CD8"/>
    <w:rsid w:val="71D45939"/>
    <w:rsid w:val="72B775C1"/>
    <w:rsid w:val="74A73EE6"/>
    <w:rsid w:val="751B5C1C"/>
    <w:rsid w:val="776C1795"/>
    <w:rsid w:val="788F3C1F"/>
    <w:rsid w:val="79883CE2"/>
    <w:rsid w:val="7B872107"/>
    <w:rsid w:val="7BC61F26"/>
    <w:rsid w:val="7D9E4119"/>
    <w:rsid w:val="7ECD63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2"/>
    <w:basedOn w:val="1"/>
    <w:next w:val="1"/>
    <w:autoRedefine/>
    <w:semiHidden/>
    <w:unhideWhenUsed/>
    <w:qFormat/>
    <w:uiPriority w:val="0"/>
    <w:pPr>
      <w:keepNext/>
      <w:keepLines/>
      <w:spacing w:before="140" w:beforeLines="0" w:beforeAutospacing="0" w:after="140" w:afterLines="0" w:afterAutospacing="0" w:line="413" w:lineRule="auto"/>
      <w:outlineLvl w:val="1"/>
    </w:pPr>
    <w:rPr>
      <w:rFonts w:ascii="Arial" w:hAnsi="Arial" w:eastAsia="黑体"/>
      <w:b/>
      <w:sz w:val="32"/>
    </w:rPr>
  </w:style>
  <w:style w:type="paragraph" w:styleId="4">
    <w:name w:val="heading 3"/>
    <w:basedOn w:val="1"/>
    <w:next w:val="1"/>
    <w:link w:val="11"/>
    <w:autoRedefine/>
    <w:semiHidden/>
    <w:unhideWhenUsed/>
    <w:qFormat/>
    <w:uiPriority w:val="0"/>
    <w:pPr>
      <w:keepNext/>
      <w:keepLines/>
      <w:spacing w:before="140" w:beforeLines="0" w:beforeAutospacing="0" w:after="140" w:afterLines="0" w:afterAutospacing="0" w:line="520" w:lineRule="exact"/>
      <w:outlineLvl w:val="2"/>
    </w:pPr>
    <w:rPr>
      <w:rFonts w:asciiTheme="minorAscii" w:hAnsiTheme="minorAscii"/>
      <w:b/>
      <w:sz w:val="32"/>
    </w:rPr>
  </w:style>
  <w:style w:type="paragraph" w:styleId="5">
    <w:name w:val="heading 4"/>
    <w:basedOn w:val="1"/>
    <w:next w:val="1"/>
    <w:autoRedefine/>
    <w:semiHidden/>
    <w:unhideWhenUsed/>
    <w:qFormat/>
    <w:uiPriority w:val="0"/>
    <w:pPr>
      <w:keepNext/>
      <w:keepLines/>
      <w:spacing w:before="160" w:beforeLines="0" w:beforeAutospacing="0" w:after="100" w:afterLines="0" w:afterAutospacing="0" w:line="240" w:lineRule="auto"/>
      <w:outlineLvl w:val="3"/>
    </w:pPr>
    <w:rPr>
      <w:rFonts w:ascii="Arial" w:hAnsi="Arial" w:eastAsia="黑体"/>
      <w:b/>
      <w:sz w:val="28"/>
    </w:rPr>
  </w:style>
  <w:style w:type="paragraph" w:styleId="6">
    <w:name w:val="heading 5"/>
    <w:basedOn w:val="1"/>
    <w:next w:val="1"/>
    <w:autoRedefine/>
    <w:semiHidden/>
    <w:unhideWhenUsed/>
    <w:qFormat/>
    <w:uiPriority w:val="0"/>
    <w:pPr>
      <w:keepNext/>
      <w:keepLines/>
      <w:spacing w:before="80" w:beforeLines="0" w:beforeAutospacing="0" w:after="80" w:afterLines="0" w:afterAutospacing="0" w:line="240" w:lineRule="auto"/>
      <w:ind w:left="840" w:leftChars="400"/>
      <w:outlineLvl w:val="4"/>
    </w:pPr>
    <w:rPr>
      <w:rFonts w:asciiTheme="minorAscii" w:hAnsiTheme="minorAscii"/>
      <w:b/>
      <w:sz w:val="28"/>
    </w:rPr>
  </w:style>
  <w:style w:type="character" w:default="1" w:styleId="10">
    <w:name w:val="Default Paragraph Font"/>
    <w:autoRedefine/>
    <w:semiHidden/>
    <w:qFormat/>
    <w:uiPriority w:val="0"/>
  </w:style>
  <w:style w:type="table" w:default="1" w:styleId="9">
    <w:name w:val="Normal Table"/>
    <w:autoRedefine/>
    <w:semiHidden/>
    <w:qFormat/>
    <w:uiPriority w:val="0"/>
    <w:tblPr>
      <w:tblCellMar>
        <w:top w:w="0" w:type="dxa"/>
        <w:left w:w="108" w:type="dxa"/>
        <w:bottom w:w="0" w:type="dxa"/>
        <w:right w:w="108" w:type="dxa"/>
      </w:tblCellMar>
    </w:tblPr>
  </w:style>
  <w:style w:type="paragraph" w:styleId="2">
    <w:name w:val="Normal Indent"/>
    <w:basedOn w:val="1"/>
    <w:unhideWhenUsed/>
    <w:qFormat/>
    <w:uiPriority w:val="99"/>
    <w:pPr>
      <w:spacing w:line="560" w:lineRule="exact"/>
      <w:ind w:firstLine="640" w:firstLineChars="200"/>
      <w:jc w:val="right"/>
    </w:pPr>
    <w:rPr>
      <w:rFonts w:ascii="楷体_GB2312" w:hAnsi="Times New Roman" w:eastAsia="楷体_GB2312"/>
      <w:sz w:val="32"/>
      <w:szCs w:val="32"/>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customStyle="1" w:styleId="11">
    <w:name w:val="标题 3 Char"/>
    <w:link w:val="4"/>
    <w:autoRedefine/>
    <w:qFormat/>
    <w:uiPriority w:val="0"/>
    <w:rPr>
      <w:rFonts w:asciiTheme="minorAscii" w:hAnsiTheme="minorAscii" w:eastAsiaTheme="minorEastAsia"/>
      <w:b/>
      <w:sz w:val="32"/>
    </w:rPr>
  </w:style>
  <w:style w:type="paragraph" w:customStyle="1" w:styleId="12">
    <w:name w:val="表格标题"/>
    <w:basedOn w:val="1"/>
    <w:autoRedefine/>
    <w:qFormat/>
    <w:uiPriority w:val="0"/>
    <w:pPr>
      <w:spacing w:after="100" w:afterLines="100" w:line="580" w:lineRule="exact"/>
      <w:ind w:firstLine="640" w:firstLineChars="200"/>
      <w:jc w:val="center"/>
    </w:pPr>
    <w:rPr>
      <w:rFonts w:hint="eastAsia" w:ascii="Times New Roman" w:hAnsi="Times New Roman" w:eastAsia="黑体" w:cs="Times New Roman"/>
      <w:sz w:val="24"/>
      <w:szCs w:val="32"/>
      <w:lang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2547</Words>
  <Characters>2664</Characters>
  <Lines>0</Lines>
  <Paragraphs>0</Paragraphs>
  <TotalTime>25</TotalTime>
  <ScaleCrop>false</ScaleCrop>
  <LinksUpToDate>false</LinksUpToDate>
  <CharactersWithSpaces>2669</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2024-08-14T03:43:00Z</dcterms:created>
  <dc:creator>屠曦贤（屠蕴文）</dc:creator>
  <cp:lastModifiedBy>苏州市人工智能行业协会</cp:lastModifiedBy>
  <dcterms:modified xsi:type="dcterms:W3CDTF">2026-04-17T08:14:52Z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2C59E25173D74778A76B60AB820657C5_13</vt:lpwstr>
  </property>
  <property fmtid="{D5CDD505-2E9C-101B-9397-08002B2CF9AE}" pid="4" name="KSOTemplateDocerSaveRecord">
    <vt:lpwstr>eyJoZGlkIjoiYTgwNmM5NWI1MGRiZmYwOTM3NjNlZWQzNjg1NzgxMWIiLCJ1c2VySWQiOiI0MDQyOTA0ODkifQ==</vt:lpwstr>
  </property>
</Properties>
</file>