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26EFA2">
      <w:pPr>
        <w:ind w:firstLine="1440"/>
        <w:jc w:val="right"/>
        <w:rPr>
          <w:rFonts w:ascii="Times New Roman" w:hAnsi="Times New Roman"/>
          <w:b/>
          <w:w w:val="150"/>
          <w:sz w:val="72"/>
          <w:szCs w:val="72"/>
        </w:rPr>
      </w:pPr>
      <w:r>
        <w:rPr>
          <w:rFonts w:ascii="Times New Roman" w:hAnsi="Times New Roman"/>
          <w:sz w:val="72"/>
        </w:rPr>
        <mc:AlternateContent>
          <mc:Choice Requires="wps">
            <w:drawing>
              <wp:anchor distT="0" distB="0" distL="114300" distR="114300" simplePos="0" relativeHeight="251662336" behindDoc="0" locked="0" layoutInCell="1" allowOverlap="1">
                <wp:simplePos x="0" y="0"/>
                <wp:positionH relativeFrom="column">
                  <wp:posOffset>-260350</wp:posOffset>
                </wp:positionH>
                <wp:positionV relativeFrom="paragraph">
                  <wp:posOffset>46990</wp:posOffset>
                </wp:positionV>
                <wp:extent cx="2355215" cy="78676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2355215" cy="7867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5BFCFA">
                            <w:pPr>
                              <w:spacing w:line="400" w:lineRule="exact"/>
                              <w:ind w:firstLine="560"/>
                              <w:rPr>
                                <w:rFonts w:ascii="Times New Roman" w:hAnsi="Times New Roman"/>
                                <w:sz w:val="28"/>
                                <w:szCs w:val="28"/>
                              </w:rPr>
                            </w:pPr>
                            <w:r>
                              <w:rPr>
                                <w:rFonts w:ascii="Times New Roman" w:hAnsi="Times New Roman"/>
                                <w:sz w:val="28"/>
                                <w:szCs w:val="28"/>
                              </w:rPr>
                              <w:t xml:space="preserve">ICS </w:t>
                            </w:r>
                            <w:r>
                              <w:rPr>
                                <w:rFonts w:hint="eastAsia" w:ascii="Times New Roman" w:hAnsi="Times New Roman"/>
                                <w:sz w:val="28"/>
                                <w:szCs w:val="28"/>
                              </w:rPr>
                              <w:t xml:space="preserve"> 65.020</w:t>
                            </w:r>
                          </w:p>
                          <w:p w14:paraId="5304E427">
                            <w:pPr>
                              <w:spacing w:line="400" w:lineRule="exact"/>
                              <w:ind w:firstLine="560"/>
                              <w:rPr>
                                <w:rFonts w:ascii="Times New Roman" w:hAnsi="Times New Roman"/>
                                <w:sz w:val="28"/>
                                <w:szCs w:val="28"/>
                              </w:rPr>
                            </w:pPr>
                            <w:r>
                              <w:rPr>
                                <w:rFonts w:ascii="Times New Roman" w:hAnsi="Times New Roman"/>
                                <w:sz w:val="28"/>
                                <w:szCs w:val="28"/>
                              </w:rPr>
                              <w:t>CCS</w:t>
                            </w:r>
                            <w:r>
                              <w:rPr>
                                <w:rFonts w:hint="eastAsia" w:ascii="Times New Roman" w:hAnsi="Times New Roman"/>
                                <w:sz w:val="28"/>
                                <w:szCs w:val="28"/>
                              </w:rPr>
                              <w:t xml:space="preserve">  B22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0.5pt;margin-top:3.7pt;height:61.95pt;width:185.45pt;z-index:251662336;mso-width-relative:page;mso-height-relative:page;" filled="f" stroked="f" coordsize="21600,21600" o:gfxdata="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Br0bHdsAAAAJAQAADwAAAAAAAAABACAAAAAiAAAA&#10;ZHJzL2Rvd25yZXYueG1sUEsBAhQAFAAAAAgAh07iQNEHXtc9AgAAaAQAAA4AAAAAAAAAAQAgAAAA&#10;KgEAAGRycy9lMm9Eb2MueG1sUEsFBgAAAAAGAAYAWQEAANkFAAAAAA==&#10;">
                <v:fill on="f" focussize="0,0"/>
                <v:stroke on="f" weight="0.5pt"/>
                <v:imagedata o:title=""/>
                <o:lock v:ext="edit" aspectratio="f"/>
                <v:textbox>
                  <w:txbxContent>
                    <w:p w14:paraId="3B5BFCFA">
                      <w:pPr>
                        <w:spacing w:line="400" w:lineRule="exact"/>
                        <w:ind w:firstLine="560"/>
                        <w:rPr>
                          <w:rFonts w:ascii="Times New Roman" w:hAnsi="Times New Roman"/>
                          <w:sz w:val="28"/>
                          <w:szCs w:val="28"/>
                        </w:rPr>
                      </w:pPr>
                      <w:r>
                        <w:rPr>
                          <w:rFonts w:ascii="Times New Roman" w:hAnsi="Times New Roman"/>
                          <w:sz w:val="28"/>
                          <w:szCs w:val="28"/>
                        </w:rPr>
                        <w:t xml:space="preserve">ICS </w:t>
                      </w:r>
                      <w:r>
                        <w:rPr>
                          <w:rFonts w:hint="eastAsia" w:ascii="Times New Roman" w:hAnsi="Times New Roman"/>
                          <w:sz w:val="28"/>
                          <w:szCs w:val="28"/>
                        </w:rPr>
                        <w:t xml:space="preserve"> 65.020</w:t>
                      </w:r>
                    </w:p>
                    <w:p w14:paraId="5304E427">
                      <w:pPr>
                        <w:spacing w:line="400" w:lineRule="exact"/>
                        <w:ind w:firstLine="560"/>
                        <w:rPr>
                          <w:rFonts w:ascii="Times New Roman" w:hAnsi="Times New Roman"/>
                          <w:sz w:val="28"/>
                          <w:szCs w:val="28"/>
                        </w:rPr>
                      </w:pPr>
                      <w:r>
                        <w:rPr>
                          <w:rFonts w:ascii="Times New Roman" w:hAnsi="Times New Roman"/>
                          <w:sz w:val="28"/>
                          <w:szCs w:val="28"/>
                        </w:rPr>
                        <w:t>CCS</w:t>
                      </w:r>
                      <w:r>
                        <w:rPr>
                          <w:rFonts w:hint="eastAsia" w:ascii="Times New Roman" w:hAnsi="Times New Roman"/>
                          <w:sz w:val="28"/>
                          <w:szCs w:val="28"/>
                        </w:rPr>
                        <w:t xml:space="preserve">  B22</w:t>
                      </w:r>
                    </w:p>
                  </w:txbxContent>
                </v:textbox>
              </v:shape>
            </w:pict>
          </mc:Fallback>
        </mc:AlternateContent>
      </w:r>
      <w:r>
        <w:rPr>
          <w:rFonts w:ascii="Times New Roman" w:hAnsi="Times New Roman"/>
          <w:b/>
          <w:w w:val="150"/>
          <w:sz w:val="72"/>
          <w:szCs w:val="72"/>
        </w:rPr>
        <w:t xml:space="preserve"> </w:t>
      </w:r>
    </w:p>
    <w:p w14:paraId="56C3E740">
      <w:pPr>
        <w:ind w:firstLine="2177"/>
        <w:jc w:val="right"/>
        <w:rPr>
          <w:rFonts w:ascii="Times New Roman" w:hAnsi="Times New Roman"/>
          <w:b/>
          <w:w w:val="150"/>
          <w:sz w:val="72"/>
          <w:szCs w:val="72"/>
        </w:rPr>
      </w:pPr>
      <w:r>
        <w:rPr>
          <w:rFonts w:ascii="Times New Roman" w:hAnsi="Times New Roman"/>
          <w:b/>
          <w:w w:val="150"/>
          <w:sz w:val="72"/>
          <w:szCs w:val="72"/>
        </w:rPr>
        <w:t>T/SZAI</w:t>
      </w:r>
    </w:p>
    <w:p w14:paraId="348B7471">
      <w:pPr>
        <w:ind w:firstLine="0" w:firstLineChars="0"/>
        <w:jc w:val="distribute"/>
        <w:rPr>
          <w:rFonts w:ascii="Times New Roman" w:hAnsi="Times New Roman" w:eastAsia="黑体"/>
          <w:spacing w:val="20"/>
          <w:sz w:val="72"/>
          <w:szCs w:val="72"/>
        </w:rPr>
      </w:pPr>
      <w:r>
        <w:rPr>
          <w:rFonts w:ascii="Times New Roman" w:hAnsi="Times New Roman" w:eastAsia="黑体"/>
          <w:spacing w:val="20"/>
          <w:sz w:val="72"/>
          <w:szCs w:val="72"/>
        </w:rPr>
        <w:t>团体标准</w:t>
      </w:r>
    </w:p>
    <w:p w14:paraId="64FEE5FF">
      <w:pPr>
        <w:ind w:firstLine="640"/>
        <w:jc w:val="right"/>
        <w:rPr>
          <w:rFonts w:hint="eastAsia" w:ascii="Times New Roman" w:hAnsi="Times New Roman" w:eastAsia="黑体"/>
          <w:spacing w:val="20"/>
          <w:sz w:val="28"/>
          <w:szCs w:val="28"/>
          <w:lang w:val="en-US" w:eastAsia="zh-CN"/>
        </w:rPr>
      </w:pPr>
      <w:r>
        <w:rPr>
          <w:rFonts w:ascii="Times New Roman" w:hAnsi="Times New Roman" w:eastAsia="黑体"/>
          <w:spacing w:val="20"/>
          <w:sz w:val="28"/>
          <w:szCs w:val="28"/>
        </w:rPr>
        <w:t>T/SZAI XXX-202</w:t>
      </w:r>
      <w:r>
        <w:rPr>
          <w:rFonts w:hint="eastAsia" w:eastAsia="黑体"/>
          <w:spacing w:val="20"/>
          <w:sz w:val="28"/>
          <w:szCs w:val="28"/>
          <w:lang w:val="en-US" w:eastAsia="zh-CN"/>
        </w:rPr>
        <w:t>6</w:t>
      </w:r>
    </w:p>
    <w:p w14:paraId="21CA4466">
      <w:pPr>
        <w:ind w:firstLine="560"/>
        <w:rPr>
          <w:rFonts w:ascii="Times New Roman" w:hAnsi="Times New Roman" w:eastAsia="黑体"/>
          <w:spacing w:val="20"/>
          <w:sz w:val="28"/>
          <w:szCs w:val="28"/>
        </w:rPr>
      </w:pPr>
      <w:r>
        <w:rPr>
          <w:rFonts w:ascii="Times New Roman" w:hAnsi="Times New Roman" w:eastAsia="黑体"/>
          <w:spacing w:val="20"/>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943600" cy="0"/>
                <wp:effectExtent l="0" t="4445" r="0" b="5080"/>
                <wp:wrapNone/>
                <wp:docPr id="15" name="Line 4"/>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175">
                          <a:solidFill>
                            <a:srgbClr val="000000"/>
                          </a:solidFill>
                          <a:round/>
                        </a:ln>
                      </wps:spPr>
                      <wps:bodyPr/>
                    </wps:wsp>
                  </a:graphicData>
                </a:graphic>
              </wp:anchor>
            </w:drawing>
          </mc:Choice>
          <mc:Fallback>
            <w:pict>
              <v:line id="Line 4" o:spid="_x0000_s1026" o:spt="20" style="position:absolute;left:0pt;margin-left:0pt;margin-top:0pt;height:0pt;width:468pt;z-index:251660288;mso-width-relative:page;mso-height-relative:page;" filled="f" stroked="t" coordsize="21600,21600" o:gfxdata="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thdkRNIAAAACAQAADwAAAAAAAAABACAAAAAiAAAAZHJzL2Rvd25y&#10;ZXYueG1sUEsBAhQAFAAAAAgAh07iQP/MghHLAQAAoAMAAA4AAAAAAAAAAQAgAAAAIQEAAGRycy9l&#10;Mm9Eb2MueG1sUEsFBgAAAAAGAAYAWQEAAF4FAAAAAA==&#10;">
                <v:fill on="f" focussize="0,0"/>
                <v:stroke weight="0.25pt" color="#000000" joinstyle="round"/>
                <v:imagedata o:title=""/>
                <o:lock v:ext="edit" aspectratio="f"/>
              </v:line>
            </w:pict>
          </mc:Fallback>
        </mc:AlternateContent>
      </w:r>
    </w:p>
    <w:p w14:paraId="67AED1F2">
      <w:pPr>
        <w:ind w:firstLine="640"/>
        <w:rPr>
          <w:rFonts w:ascii="Times New Roman" w:hAnsi="Times New Roman" w:eastAsia="黑体"/>
          <w:spacing w:val="20"/>
          <w:sz w:val="28"/>
          <w:szCs w:val="28"/>
        </w:rPr>
      </w:pPr>
    </w:p>
    <w:p w14:paraId="38B92966">
      <w:pPr>
        <w:ind w:firstLine="640"/>
        <w:rPr>
          <w:rFonts w:ascii="Times New Roman" w:hAnsi="Times New Roman" w:eastAsia="黑体"/>
          <w:spacing w:val="20"/>
          <w:sz w:val="28"/>
          <w:szCs w:val="28"/>
        </w:rPr>
      </w:pPr>
    </w:p>
    <w:p w14:paraId="32760AE4">
      <w:pPr>
        <w:ind w:firstLine="640"/>
        <w:rPr>
          <w:rFonts w:ascii="Times New Roman" w:hAnsi="Times New Roman" w:eastAsia="黑体"/>
          <w:spacing w:val="20"/>
          <w:sz w:val="28"/>
          <w:szCs w:val="28"/>
        </w:rPr>
      </w:pPr>
    </w:p>
    <w:p w14:paraId="758CA8B0">
      <w:pPr>
        <w:ind w:firstLine="0" w:firstLineChars="0"/>
        <w:jc w:val="center"/>
        <w:rPr>
          <w:rFonts w:ascii="Times New Roman" w:hAnsi="Times New Roman" w:eastAsia="黑体"/>
          <w:spacing w:val="20"/>
          <w:sz w:val="52"/>
          <w:szCs w:val="52"/>
        </w:rPr>
      </w:pPr>
      <w:r>
        <w:rPr>
          <w:rFonts w:hint="eastAsia" w:ascii="Times New Roman" w:hAnsi="Times New Roman" w:eastAsia="黑体"/>
          <w:spacing w:val="20"/>
          <w:sz w:val="52"/>
          <w:szCs w:val="52"/>
        </w:rPr>
        <w:t>水稻苗情遥感监测技术规程</w:t>
      </w:r>
      <w:r>
        <w:rPr>
          <w:rFonts w:ascii="Times New Roman" w:hAnsi="Times New Roman" w:eastAsia="黑体"/>
          <w:spacing w:val="20"/>
          <w:sz w:val="52"/>
          <w:szCs w:val="52"/>
        </w:rPr>
        <w:t xml:space="preserve"> </w:t>
      </w:r>
    </w:p>
    <w:p w14:paraId="4084F1AE">
      <w:pPr>
        <w:ind w:firstLine="0" w:firstLineChars="0"/>
        <w:jc w:val="center"/>
        <w:rPr>
          <w:rFonts w:hint="eastAsia" w:ascii="Times New Roman" w:hAnsi="Times New Roman" w:eastAsia="黑体"/>
          <w:spacing w:val="20"/>
          <w:sz w:val="28"/>
          <w:szCs w:val="28"/>
        </w:rPr>
      </w:pPr>
      <w:r>
        <w:rPr>
          <w:rFonts w:hint="eastAsia" w:ascii="Times New Roman" w:hAnsi="Times New Roman" w:eastAsia="黑体"/>
          <w:spacing w:val="20"/>
          <w:sz w:val="28"/>
          <w:szCs w:val="28"/>
        </w:rPr>
        <w:t>Technical Specification for Remote Sensing Monitoring of Rice Seedling Conditions</w:t>
      </w:r>
    </w:p>
    <w:p w14:paraId="4A51D342">
      <w:pPr>
        <w:ind w:firstLine="0" w:firstLineChars="0"/>
        <w:jc w:val="center"/>
        <w:rPr>
          <w:rFonts w:ascii="Times New Roman" w:hAnsi="Times New Roman" w:eastAsia="楷体_GB2312"/>
          <w:spacing w:val="20"/>
          <w:sz w:val="36"/>
          <w:szCs w:val="36"/>
        </w:rPr>
      </w:pPr>
      <w:r>
        <w:rPr>
          <w:rFonts w:ascii="Times New Roman" w:hAnsi="Times New Roman" w:eastAsia="楷体_GB2312"/>
          <w:spacing w:val="20"/>
          <w:sz w:val="36"/>
          <w:szCs w:val="36"/>
        </w:rPr>
        <w:t>（征求意见稿）</w:t>
      </w:r>
    </w:p>
    <w:p w14:paraId="40226A49">
      <w:pPr>
        <w:ind w:firstLine="640"/>
        <w:rPr>
          <w:rFonts w:ascii="Times New Roman" w:hAnsi="Times New Roman" w:eastAsia="黑体"/>
          <w:spacing w:val="20"/>
          <w:sz w:val="28"/>
          <w:szCs w:val="28"/>
        </w:rPr>
      </w:pPr>
    </w:p>
    <w:p w14:paraId="03544E29">
      <w:pPr>
        <w:ind w:firstLine="640"/>
        <w:rPr>
          <w:rFonts w:ascii="Times New Roman" w:hAnsi="Times New Roman" w:eastAsia="黑体"/>
          <w:spacing w:val="20"/>
          <w:sz w:val="28"/>
          <w:szCs w:val="28"/>
        </w:rPr>
      </w:pPr>
    </w:p>
    <w:p w14:paraId="544733FD">
      <w:pPr>
        <w:ind w:firstLine="640"/>
        <w:rPr>
          <w:rFonts w:ascii="Times New Roman" w:hAnsi="Times New Roman" w:eastAsia="黑体"/>
          <w:spacing w:val="20"/>
          <w:sz w:val="28"/>
          <w:szCs w:val="28"/>
        </w:rPr>
      </w:pPr>
    </w:p>
    <w:p w14:paraId="51763544">
      <w:pPr>
        <w:ind w:firstLine="640"/>
        <w:rPr>
          <w:rFonts w:ascii="Times New Roman" w:hAnsi="Times New Roman" w:eastAsia="黑体"/>
          <w:spacing w:val="20"/>
          <w:sz w:val="28"/>
          <w:szCs w:val="28"/>
        </w:rPr>
      </w:pPr>
    </w:p>
    <w:p w14:paraId="3EE652F6">
      <w:pPr>
        <w:ind w:firstLine="640"/>
        <w:rPr>
          <w:rFonts w:ascii="Times New Roman" w:hAnsi="Times New Roman" w:eastAsia="黑体"/>
          <w:spacing w:val="20"/>
          <w:sz w:val="28"/>
          <w:szCs w:val="28"/>
        </w:rPr>
      </w:pPr>
    </w:p>
    <w:p w14:paraId="2509785E">
      <w:pPr>
        <w:ind w:firstLine="560"/>
        <w:rPr>
          <w:rFonts w:ascii="Times New Roman" w:hAnsi="Times New Roman" w:eastAsia="黑体"/>
          <w:spacing w:val="20"/>
          <w:szCs w:val="21"/>
        </w:rPr>
      </w:pPr>
    </w:p>
    <w:p w14:paraId="775B6F2F">
      <w:pPr>
        <w:ind w:firstLine="0" w:firstLineChars="0"/>
        <w:rPr>
          <w:rFonts w:ascii="Times New Roman" w:hAnsi="Times New Roman" w:eastAsia="黑体"/>
          <w:spacing w:val="20"/>
          <w:sz w:val="28"/>
          <w:szCs w:val="28"/>
        </w:rPr>
      </w:pPr>
      <w:r>
        <w:rPr>
          <w:rFonts w:ascii="Times New Roman" w:hAnsi="Times New Roman" w:eastAsia="黑体"/>
          <w:spacing w:val="20"/>
          <w:sz w:val="28"/>
          <w:szCs w:val="28"/>
        </w:rPr>
        <w:t>202</w:t>
      </w:r>
      <w:r>
        <w:rPr>
          <w:rFonts w:hint="eastAsia" w:ascii="Times New Roman" w:hAnsi="Times New Roman" w:eastAsia="黑体"/>
          <w:spacing w:val="20"/>
          <w:sz w:val="28"/>
          <w:szCs w:val="28"/>
          <w:lang w:val="en-US" w:eastAsia="zh-CN"/>
        </w:rPr>
        <w:t>6</w:t>
      </w:r>
      <w:r>
        <w:rPr>
          <w:rFonts w:ascii="Times New Roman" w:hAnsi="Times New Roman" w:eastAsia="黑体"/>
          <w:spacing w:val="20"/>
          <w:sz w:val="28"/>
          <w:szCs w:val="28"/>
        </w:rPr>
        <w:t>-XX-XX发布                        202</w:t>
      </w:r>
      <w:r>
        <w:rPr>
          <w:rFonts w:hint="eastAsia" w:ascii="Times New Roman" w:hAnsi="Times New Roman" w:eastAsia="黑体"/>
          <w:spacing w:val="20"/>
          <w:sz w:val="28"/>
          <w:szCs w:val="28"/>
          <w:lang w:val="en-US" w:eastAsia="zh-CN"/>
        </w:rPr>
        <w:t>6</w:t>
      </w:r>
      <w:r>
        <w:rPr>
          <w:rFonts w:ascii="Times New Roman" w:hAnsi="Times New Roman" w:eastAsia="黑体"/>
          <w:spacing w:val="20"/>
          <w:sz w:val="28"/>
          <w:szCs w:val="28"/>
        </w:rPr>
        <w:t>-XX-XX实施</w:t>
      </w:r>
    </w:p>
    <w:p w14:paraId="09C55164">
      <w:pPr>
        <w:spacing w:line="800" w:lineRule="exact"/>
        <w:ind w:firstLine="0" w:firstLineChars="0"/>
        <w:jc w:val="center"/>
        <w:rPr>
          <w:rFonts w:ascii="Times New Roman" w:hAnsi="Times New Roman" w:eastAsia="黑体"/>
          <w:spacing w:val="20"/>
          <w:sz w:val="40"/>
          <w:szCs w:val="40"/>
        </w:rPr>
      </w:pPr>
      <w:r>
        <w:rPr>
          <w:rFonts w:ascii="Times New Roman" w:hAnsi="Times New Roman" w:eastAsia="黑体"/>
          <w:spacing w:val="20"/>
          <w:sz w:val="40"/>
          <w:szCs w:val="40"/>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-635</wp:posOffset>
                </wp:positionV>
                <wp:extent cx="5894705" cy="635"/>
                <wp:effectExtent l="0" t="0" r="0" b="0"/>
                <wp:wrapNone/>
                <wp:docPr id="17" name="Line 7"/>
                <wp:cNvGraphicFramePr/>
                <a:graphic xmlns:a="http://schemas.openxmlformats.org/drawingml/2006/main">
                  <a:graphicData uri="http://schemas.microsoft.com/office/word/2010/wordprocessingShape">
                    <wps:wsp>
                      <wps:cNvCnPr>
                        <a:cxnSpLocks noChangeShapeType="1"/>
                      </wps:cNvCnPr>
                      <wps:spPr bwMode="auto">
                        <a:xfrm>
                          <a:off x="0" y="0"/>
                          <a:ext cx="5894705" cy="635"/>
                        </a:xfrm>
                        <a:prstGeom prst="line">
                          <a:avLst/>
                        </a:prstGeom>
                        <a:noFill/>
                        <a:ln w="3175">
                          <a:solidFill>
                            <a:srgbClr val="000000"/>
                          </a:solidFill>
                          <a:round/>
                        </a:ln>
                      </wps:spPr>
                      <wps:bodyPr/>
                    </wps:wsp>
                  </a:graphicData>
                </a:graphic>
              </wp:anchor>
            </w:drawing>
          </mc:Choice>
          <mc:Fallback>
            <w:pict>
              <v:line id="Line 7" o:spid="_x0000_s1026" o:spt="20" style="position:absolute;left:0pt;margin-left:0pt;margin-top:-0.05pt;height:0.05pt;width:464.15pt;z-index:251661312;mso-width-relative:page;mso-height-relative:page;" filled="f" stroked="t" coordsize="21600,21600" o:gfxdata="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PKqN8nUAAAAAwEAAA8AAAAAAAAAAQAgAAAAIgAAAGRycy9k&#10;b3ducmV2LnhtbFBLAQIUABQAAAAIAIdO4kBAyuJwzQEAAKIDAAAOAAAAAAAAAAEAIAAAACMBAABk&#10;cnMvZTJvRG9jLnhtbFBLBQYAAAAABgAGAFkBAABiBQAAAAA=&#10;">
                <v:fill on="f" focussize="0,0"/>
                <v:stroke weight="0.25pt" color="#000000" joinstyle="round"/>
                <v:imagedata o:title=""/>
                <o:lock v:ext="edit" aspectratio="f"/>
              </v:line>
            </w:pict>
          </mc:Fallback>
        </mc:AlternateContent>
      </w:r>
      <w:r>
        <w:rPr>
          <w:rFonts w:ascii="Times New Roman" w:hAnsi="Times New Roman" w:eastAsia="黑体"/>
          <w:spacing w:val="20"/>
          <w:sz w:val="40"/>
          <w:szCs w:val="40"/>
        </w:rPr>
        <w:t>苏州市人工智能行业协会 发布</w:t>
      </w:r>
    </w:p>
    <w:p w14:paraId="1E2AEFAA">
      <w:pPr>
        <w:rPr>
          <w:sz w:val="32"/>
          <w:szCs w:val="32"/>
          <w:highlight w:val="yellow"/>
        </w:rPr>
        <w:sectPr>
          <w:headerReference r:id="rId3" w:type="first"/>
          <w:footerReference r:id="rId5" w:type="first"/>
          <w:footerReference r:id="rId4" w:type="default"/>
          <w:pgSz w:w="11907" w:h="16839"/>
          <w:pgMar w:top="1418" w:right="1134" w:bottom="1134" w:left="1418" w:header="1418" w:footer="851" w:gutter="0"/>
          <w:pgNumType w:fmt="lowerRoman" w:start="1"/>
          <w:cols w:space="720" w:num="1"/>
          <w:docGrid w:type="lines" w:linePitch="312" w:charSpace="0"/>
        </w:sectPr>
      </w:pPr>
    </w:p>
    <w:sdt>
      <w:sdtPr>
        <w:rPr>
          <w:rFonts w:ascii="宋体" w:hAnsi="宋体" w:eastAsia="宋体" w:cs="Times New Roman"/>
          <w:kern w:val="2"/>
          <w:sz w:val="21"/>
          <w:szCs w:val="24"/>
          <w:lang w:val="en-US" w:eastAsia="zh-CN" w:bidi="ar-SA"/>
        </w:rPr>
        <w:id w:val="147467827"/>
        <w15:color w:val="DBDBDB"/>
        <w:docPartObj>
          <w:docPartGallery w:val="Table of Contents"/>
          <w:docPartUnique/>
        </w:docPartObj>
      </w:sdtPr>
      <w:sdtEndPr>
        <w:rPr>
          <w:rFonts w:hint="default" w:ascii="Times New Roman" w:hAnsi="Times New Roman" w:eastAsia="黑体" w:cs="Times New Roman"/>
          <w:color w:val="auto"/>
          <w:kern w:val="2"/>
          <w:sz w:val="21"/>
          <w:szCs w:val="32"/>
          <w:highlight w:val="none"/>
          <w:lang w:val="en-US" w:eastAsia="zh-CN" w:bidi="ar-SA"/>
        </w:rPr>
      </w:sdtEndPr>
      <w:sdtContent>
        <w:p w14:paraId="4FACF729">
          <w:pPr>
            <w:spacing w:line="360" w:lineRule="auto"/>
            <w:ind w:firstLine="0" w:firstLineChars="0"/>
            <w:jc w:val="center"/>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目  次</w:t>
          </w:r>
        </w:p>
        <w:p w14:paraId="3CAEAFE2">
          <w:pPr>
            <w:spacing w:before="0" w:beforeLines="0" w:after="0" w:afterLines="0" w:line="240" w:lineRule="auto"/>
            <w:ind w:left="0" w:leftChars="0" w:right="0" w:rightChars="0" w:firstLine="0" w:firstLineChars="0"/>
            <w:jc w:val="center"/>
          </w:pPr>
        </w:p>
        <w:p w14:paraId="78DBBD85">
          <w:pPr>
            <w:pStyle w:val="13"/>
            <w:tabs>
              <w:tab w:val="right" w:leader="dot" w:pos="9355"/>
            </w:tabs>
            <w:rPr>
              <w:rFonts w:ascii="Times New Roman" w:hAnsi="Times New Roman" w:eastAsia="宋体"/>
              <w:b w:val="0"/>
              <w:bCs w:val="0"/>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color w:val="auto"/>
              <w:kern w:val="2"/>
              <w:sz w:val="24"/>
              <w:szCs w:val="32"/>
              <w:highlight w:val="none"/>
              <w:lang w:val="en-US" w:eastAsia="zh-CN" w:bidi="ar-SA"/>
            </w:rPr>
            <w:instrText xml:space="preserve">TOC \o "1-2" \h \u </w:instrText>
          </w:r>
          <w:r>
            <w:rPr>
              <w:rFonts w:hint="default" w:ascii="Times New Roman" w:hAnsi="Times New Roman" w:eastAsia="宋体" w:cs="Times New Roman"/>
              <w:caps w:val="0"/>
              <w:smallCaps w:val="0"/>
              <w:color w:val="auto"/>
              <w:kern w:val="2"/>
              <w:sz w:val="24"/>
              <w:szCs w:val="32"/>
              <w:highlight w:val="none"/>
              <w:lang w:val="en-US" w:eastAsia="zh-CN" w:bidi="ar-SA"/>
            </w:rPr>
            <w:fldChar w:fldCharType="separate"/>
          </w:r>
          <w:r>
            <w:rPr>
              <w:rFonts w:hint="default" w:ascii="Times New Roman" w:hAnsi="Times New Roman" w:eastAsia="黑体" w:cs="Times New Roman"/>
              <w:b w:val="0"/>
              <w:bCs w:val="0"/>
              <w:caps w:val="0"/>
              <w:smallCaps w:val="0"/>
              <w:color w:val="auto"/>
              <w:kern w:val="2"/>
              <w:sz w:val="24"/>
              <w:szCs w:val="32"/>
              <w:highlight w:val="none"/>
              <w:lang w:val="en-US" w:eastAsia="zh-CN" w:bidi="ar-SA"/>
            </w:rPr>
            <w:fldChar w:fldCharType="begin"/>
          </w:r>
          <w:r>
            <w:rPr>
              <w:rFonts w:hint="default" w:ascii="Times New Roman" w:hAnsi="Times New Roman" w:eastAsia="黑体" w:cs="Times New Roman"/>
              <w:b w:val="0"/>
              <w:bCs w:val="0"/>
              <w:caps w:val="0"/>
              <w:smallCaps w:val="0"/>
              <w:kern w:val="2"/>
              <w:sz w:val="24"/>
              <w:szCs w:val="32"/>
              <w:highlight w:val="none"/>
              <w:lang w:val="en-US" w:eastAsia="zh-CN" w:bidi="ar-SA"/>
            </w:rPr>
            <w:instrText xml:space="preserve"> HYPERLINK \l _Toc11249 </w:instrText>
          </w:r>
          <w:r>
            <w:rPr>
              <w:rFonts w:hint="default" w:ascii="Times New Roman" w:hAnsi="Times New Roman" w:eastAsia="黑体" w:cs="Times New Roman"/>
              <w:b w:val="0"/>
              <w:bCs w:val="0"/>
              <w:caps w:val="0"/>
              <w:smallCaps w:val="0"/>
              <w:kern w:val="2"/>
              <w:sz w:val="24"/>
              <w:szCs w:val="32"/>
              <w:highlight w:val="none"/>
              <w:lang w:val="en-US" w:eastAsia="zh-CN" w:bidi="ar-SA"/>
            </w:rPr>
            <w:fldChar w:fldCharType="separate"/>
          </w:r>
          <w:r>
            <w:rPr>
              <w:rFonts w:hint="default" w:ascii="Times New Roman" w:hAnsi="Times New Roman" w:eastAsia="黑体" w:cs="Times New Roman"/>
              <w:b w:val="0"/>
              <w:bCs w:val="0"/>
              <w:caps w:val="0"/>
              <w:smallCaps w:val="0"/>
              <w:sz w:val="24"/>
              <w:szCs w:val="32"/>
              <w:highlight w:val="none"/>
            </w:rPr>
            <w:t>前</w:t>
          </w:r>
          <w:r>
            <w:rPr>
              <w:rFonts w:hint="eastAsia" w:ascii="Times New Roman" w:hAnsi="Times New Roman" w:eastAsia="黑体" w:cs="Times New Roman"/>
              <w:b w:val="0"/>
              <w:bCs w:val="0"/>
              <w:caps w:val="0"/>
              <w:smallCaps w:val="0"/>
              <w:sz w:val="24"/>
              <w:szCs w:val="32"/>
              <w:highlight w:val="none"/>
            </w:rPr>
            <w:t xml:space="preserve">  </w:t>
          </w:r>
          <w:r>
            <w:rPr>
              <w:rFonts w:hint="default" w:ascii="Times New Roman" w:hAnsi="Times New Roman" w:eastAsia="黑体" w:cs="Times New Roman"/>
              <w:b w:val="0"/>
              <w:bCs w:val="0"/>
              <w:caps w:val="0"/>
              <w:smallCaps w:val="0"/>
              <w:sz w:val="24"/>
              <w:szCs w:val="32"/>
              <w:highlight w:val="none"/>
            </w:rPr>
            <w:t>言</w:t>
          </w:r>
          <w:r>
            <w:rPr>
              <w:rFonts w:ascii="Times New Roman" w:hAnsi="Times New Roman" w:eastAsia="黑体"/>
              <w:b w:val="0"/>
              <w:bCs w:val="0"/>
              <w:caps w:val="0"/>
              <w:smallCaps w:val="0"/>
              <w:sz w:val="24"/>
            </w:rPr>
            <w:tab/>
          </w:r>
          <w:r>
            <w:rPr>
              <w:rFonts w:ascii="Times New Roman" w:hAnsi="Times New Roman" w:eastAsia="黑体"/>
              <w:b w:val="0"/>
              <w:bCs w:val="0"/>
              <w:caps w:val="0"/>
              <w:smallCaps w:val="0"/>
              <w:sz w:val="24"/>
            </w:rPr>
            <w:fldChar w:fldCharType="begin"/>
          </w:r>
          <w:r>
            <w:rPr>
              <w:rFonts w:ascii="Times New Roman" w:hAnsi="Times New Roman" w:eastAsia="黑体"/>
              <w:b w:val="0"/>
              <w:bCs w:val="0"/>
              <w:caps w:val="0"/>
              <w:smallCaps w:val="0"/>
              <w:sz w:val="24"/>
            </w:rPr>
            <w:instrText xml:space="preserve"> PAGEREF _Toc11249 \h </w:instrText>
          </w:r>
          <w:r>
            <w:rPr>
              <w:rFonts w:ascii="Times New Roman" w:hAnsi="Times New Roman" w:eastAsia="黑体"/>
              <w:b w:val="0"/>
              <w:bCs w:val="0"/>
              <w:caps w:val="0"/>
              <w:smallCaps w:val="0"/>
              <w:sz w:val="24"/>
            </w:rPr>
            <w:fldChar w:fldCharType="separate"/>
          </w:r>
          <w:r>
            <w:rPr>
              <w:rFonts w:ascii="Times New Roman" w:hAnsi="Times New Roman" w:eastAsia="黑体"/>
              <w:b w:val="0"/>
              <w:bCs w:val="0"/>
              <w:caps w:val="0"/>
              <w:smallCaps w:val="0"/>
              <w:sz w:val="24"/>
            </w:rPr>
            <w:t>1</w:t>
          </w:r>
          <w:r>
            <w:rPr>
              <w:rFonts w:ascii="Times New Roman" w:hAnsi="Times New Roman" w:eastAsia="黑体"/>
              <w:b w:val="0"/>
              <w:bCs w:val="0"/>
              <w:caps w:val="0"/>
              <w:smallCaps w:val="0"/>
              <w:sz w:val="24"/>
            </w:rPr>
            <w:fldChar w:fldCharType="end"/>
          </w:r>
          <w:r>
            <w:rPr>
              <w:rFonts w:hint="default" w:ascii="Times New Roman" w:hAnsi="Times New Roman" w:eastAsia="黑体" w:cs="Times New Roman"/>
              <w:b w:val="0"/>
              <w:bCs w:val="0"/>
              <w:caps w:val="0"/>
              <w:smallCaps w:val="0"/>
              <w:color w:val="auto"/>
              <w:kern w:val="2"/>
              <w:sz w:val="24"/>
              <w:szCs w:val="32"/>
              <w:highlight w:val="none"/>
              <w:lang w:val="en-US" w:eastAsia="zh-CN" w:bidi="ar-SA"/>
            </w:rPr>
            <w:fldChar w:fldCharType="end"/>
          </w:r>
        </w:p>
        <w:p w14:paraId="50929917">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_Toc7150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hint="eastAsia" w:ascii="Times New Roman" w:hAnsi="Times New Roman" w:eastAsia="宋体"/>
              <w:caps w:val="0"/>
              <w:smallCaps w:val="0"/>
              <w:sz w:val="24"/>
              <w:szCs w:val="24"/>
            </w:rPr>
            <w:t>1  范围</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_Toc7150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2</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0DF5F16B">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_Toc31551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hint="eastAsia" w:ascii="Times New Roman" w:hAnsi="Times New Roman" w:eastAsia="宋体"/>
              <w:caps w:val="0"/>
              <w:smallCaps w:val="0"/>
              <w:sz w:val="24"/>
              <w:szCs w:val="24"/>
            </w:rPr>
            <w:t>2  规范性引用文件</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_Toc31551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2</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502BFC25">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_Toc31902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hint="eastAsia" w:ascii="Times New Roman" w:hAnsi="Times New Roman" w:eastAsia="宋体"/>
              <w:caps w:val="0"/>
              <w:smallCaps w:val="0"/>
              <w:sz w:val="24"/>
              <w:szCs w:val="24"/>
            </w:rPr>
            <w:t>3  术语和定义</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_Toc31902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2</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784CE511">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_Toc21241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hint="eastAsia" w:ascii="Times New Roman" w:hAnsi="Times New Roman" w:eastAsia="宋体"/>
              <w:caps w:val="0"/>
              <w:smallCaps w:val="0"/>
              <w:sz w:val="24"/>
              <w:szCs w:val="24"/>
            </w:rPr>
            <w:t>4  缩略语</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_Toc21241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2</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3027ED00">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_Toc22327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hint="eastAsia" w:ascii="Times New Roman" w:hAnsi="Times New Roman" w:eastAsia="宋体"/>
              <w:caps w:val="0"/>
              <w:smallCaps w:val="0"/>
              <w:sz w:val="24"/>
              <w:szCs w:val="24"/>
            </w:rPr>
            <w:t xml:space="preserve">5  </w:t>
          </w:r>
          <w:r>
            <w:rPr>
              <w:rFonts w:hint="eastAsia" w:ascii="Times New Roman" w:hAnsi="Times New Roman" w:eastAsia="宋体"/>
              <w:caps w:val="0"/>
              <w:smallCaps w:val="0"/>
              <w:sz w:val="24"/>
              <w:szCs w:val="24"/>
              <w:lang w:val="en-US" w:eastAsia="zh-CN"/>
            </w:rPr>
            <w:t>数据采集</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_Toc22327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3</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36E506E2">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_Toc12417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hint="eastAsia" w:ascii="Times New Roman" w:hAnsi="Times New Roman" w:eastAsia="宋体" w:cs="Times New Roman"/>
              <w:caps w:val="0"/>
              <w:smallCaps w:val="0"/>
              <w:sz w:val="24"/>
              <w:szCs w:val="24"/>
              <w:lang w:val="en-US" w:eastAsia="zh-CN" w:bidi="ar-SA"/>
            </w:rPr>
            <w:t>6</w:t>
          </w:r>
          <w:r>
            <w:rPr>
              <w:rFonts w:ascii="Times New Roman" w:hAnsi="Times New Roman" w:eastAsia="宋体" w:cs="Times New Roman"/>
              <w:caps w:val="0"/>
              <w:smallCaps w:val="0"/>
              <w:sz w:val="24"/>
              <w:szCs w:val="24"/>
              <w:lang w:val="en-US" w:eastAsia="zh-CN" w:bidi="ar-SA"/>
            </w:rPr>
            <w:t xml:space="preserve">  </w:t>
          </w:r>
          <w:r>
            <w:rPr>
              <w:rFonts w:hint="eastAsia" w:ascii="Times New Roman" w:hAnsi="Times New Roman" w:eastAsia="宋体" w:cs="Times New Roman"/>
              <w:caps w:val="0"/>
              <w:smallCaps w:val="0"/>
              <w:sz w:val="24"/>
              <w:szCs w:val="24"/>
              <w:lang w:val="en-US" w:eastAsia="zh-CN" w:bidi="ar-SA"/>
            </w:rPr>
            <w:t>预测过程</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_Toc12417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4</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694A12D3">
          <w:pPr>
            <w:pStyle w:val="16"/>
            <w:tabs>
              <w:tab w:val="right" w:leader="dot" w:pos="9355"/>
            </w:tabs>
            <w:rPr>
              <w:rFonts w:ascii="Times New Roman" w:hAnsi="Times New Roman" w:eastAsia="宋体"/>
              <w:caps w:val="0"/>
              <w:smallCaps w:val="0"/>
              <w:sz w:val="24"/>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begin"/>
          </w:r>
          <w:r>
            <w:rPr>
              <w:rFonts w:hint="default" w:ascii="Times New Roman" w:hAnsi="Times New Roman" w:eastAsia="宋体" w:cs="Times New Roman"/>
              <w:caps w:val="0"/>
              <w:smallCaps w:val="0"/>
              <w:kern w:val="2"/>
              <w:sz w:val="24"/>
              <w:szCs w:val="32"/>
              <w:highlight w:val="none"/>
              <w:lang w:val="en-US" w:eastAsia="zh-CN" w:bidi="ar-SA"/>
            </w:rPr>
            <w:instrText xml:space="preserve"> HYPERLINK \l _Toc16066 </w:instrText>
          </w:r>
          <w:r>
            <w:rPr>
              <w:rFonts w:hint="default" w:ascii="Times New Roman" w:hAnsi="Times New Roman" w:eastAsia="宋体" w:cs="Times New Roman"/>
              <w:caps w:val="0"/>
              <w:smallCaps w:val="0"/>
              <w:kern w:val="2"/>
              <w:sz w:val="24"/>
              <w:szCs w:val="32"/>
              <w:highlight w:val="none"/>
              <w:lang w:val="en-US" w:eastAsia="zh-CN" w:bidi="ar-SA"/>
            </w:rPr>
            <w:fldChar w:fldCharType="separate"/>
          </w:r>
          <w:r>
            <w:rPr>
              <w:rFonts w:ascii="Times New Roman" w:hAnsi="Times New Roman" w:eastAsia="宋体" w:cs="Times New Roman"/>
              <w:caps w:val="0"/>
              <w:smallCaps w:val="0"/>
              <w:sz w:val="24"/>
              <w:szCs w:val="24"/>
              <w:lang w:val="en-US" w:eastAsia="zh-CN" w:bidi="ar-SA"/>
            </w:rPr>
            <w:t xml:space="preserve">7  </w:t>
          </w:r>
          <w:r>
            <w:rPr>
              <w:rFonts w:hint="eastAsia" w:ascii="Times New Roman" w:hAnsi="Times New Roman" w:eastAsia="宋体" w:cs="Times New Roman"/>
              <w:caps w:val="0"/>
              <w:smallCaps w:val="0"/>
              <w:sz w:val="24"/>
              <w:szCs w:val="24"/>
              <w:lang w:val="en-US" w:eastAsia="zh-CN" w:bidi="ar-SA"/>
            </w:rPr>
            <w:t>专题图制作和报告编写</w:t>
          </w:r>
          <w:r>
            <w:rPr>
              <w:rFonts w:ascii="Times New Roman" w:hAnsi="Times New Roman" w:eastAsia="宋体"/>
              <w:caps w:val="0"/>
              <w:smallCaps w:val="0"/>
              <w:sz w:val="24"/>
            </w:rPr>
            <w:tab/>
          </w:r>
          <w:r>
            <w:rPr>
              <w:rFonts w:ascii="Times New Roman" w:hAnsi="Times New Roman" w:eastAsia="宋体"/>
              <w:caps w:val="0"/>
              <w:smallCaps w:val="0"/>
              <w:sz w:val="24"/>
            </w:rPr>
            <w:fldChar w:fldCharType="begin"/>
          </w:r>
          <w:r>
            <w:rPr>
              <w:rFonts w:ascii="Times New Roman" w:hAnsi="Times New Roman" w:eastAsia="宋体"/>
              <w:caps w:val="0"/>
              <w:smallCaps w:val="0"/>
              <w:sz w:val="24"/>
            </w:rPr>
            <w:instrText xml:space="preserve"> PAGEREF _Toc16066 \h </w:instrText>
          </w:r>
          <w:r>
            <w:rPr>
              <w:rFonts w:ascii="Times New Roman" w:hAnsi="Times New Roman" w:eastAsia="宋体"/>
              <w:caps w:val="0"/>
              <w:smallCaps w:val="0"/>
              <w:sz w:val="24"/>
            </w:rPr>
            <w:fldChar w:fldCharType="separate"/>
          </w:r>
          <w:r>
            <w:rPr>
              <w:rFonts w:ascii="Times New Roman" w:hAnsi="Times New Roman" w:eastAsia="宋体"/>
              <w:caps w:val="0"/>
              <w:smallCaps w:val="0"/>
              <w:sz w:val="24"/>
            </w:rPr>
            <w:t>5</w:t>
          </w:r>
          <w:r>
            <w:rPr>
              <w:rFonts w:ascii="Times New Roman" w:hAnsi="Times New Roman" w:eastAsia="宋体"/>
              <w:caps w:val="0"/>
              <w:smallCaps w:val="0"/>
              <w:sz w:val="24"/>
            </w:rPr>
            <w:fldChar w:fldCharType="end"/>
          </w: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p w14:paraId="4D43BF8B">
          <w:pPr>
            <w:spacing w:line="360" w:lineRule="auto"/>
            <w:ind w:firstLine="0" w:firstLineChars="0"/>
            <w:jc w:val="center"/>
            <w:outlineLvl w:val="0"/>
            <w:rPr>
              <w:rFonts w:hint="default" w:ascii="Times New Roman" w:hAnsi="Times New Roman" w:eastAsia="黑体" w:cs="Times New Roman"/>
              <w:color w:val="auto"/>
              <w:kern w:val="2"/>
              <w:sz w:val="21"/>
              <w:szCs w:val="32"/>
              <w:highlight w:val="none"/>
              <w:lang w:val="en-US" w:eastAsia="zh-CN" w:bidi="ar-SA"/>
            </w:rPr>
          </w:pPr>
          <w:r>
            <w:rPr>
              <w:rFonts w:hint="default" w:ascii="Times New Roman" w:hAnsi="Times New Roman" w:eastAsia="宋体" w:cs="Times New Roman"/>
              <w:caps w:val="0"/>
              <w:smallCaps w:val="0"/>
              <w:color w:val="auto"/>
              <w:kern w:val="2"/>
              <w:sz w:val="24"/>
              <w:szCs w:val="32"/>
              <w:highlight w:val="none"/>
              <w:lang w:val="en-US" w:eastAsia="zh-CN" w:bidi="ar-SA"/>
            </w:rPr>
            <w:fldChar w:fldCharType="end"/>
          </w:r>
        </w:p>
      </w:sdtContent>
    </w:sdt>
    <w:p w14:paraId="7F3E97D7">
      <w:pPr>
        <w:spacing w:line="360" w:lineRule="auto"/>
        <w:ind w:firstLine="0" w:firstLineChars="0"/>
        <w:jc w:val="center"/>
        <w:outlineLvl w:val="0"/>
        <w:rPr>
          <w:rFonts w:hint="default" w:ascii="Times New Roman" w:hAnsi="Times New Roman" w:eastAsia="黑体" w:cs="Times New Roman"/>
          <w:color w:val="auto"/>
          <w:kern w:val="2"/>
          <w:sz w:val="21"/>
          <w:szCs w:val="32"/>
          <w:highlight w:val="none"/>
          <w:lang w:val="en-US" w:eastAsia="zh-CN" w:bidi="ar-SA"/>
        </w:rPr>
        <w:sectPr>
          <w:headerReference r:id="rId6" w:type="default"/>
          <w:footerReference r:id="rId7" w:type="default"/>
          <w:pgSz w:w="11907" w:h="16839"/>
          <w:pgMar w:top="1418" w:right="1134" w:bottom="1134" w:left="1418" w:header="1418" w:footer="851" w:gutter="0"/>
          <w:pgNumType w:fmt="decimal" w:start="1"/>
          <w:cols w:space="720" w:num="1"/>
          <w:docGrid w:type="lines" w:linePitch="312" w:charSpace="0"/>
        </w:sectPr>
      </w:pPr>
    </w:p>
    <w:p w14:paraId="0EC21FAA">
      <w:pPr>
        <w:spacing w:line="360" w:lineRule="auto"/>
        <w:ind w:firstLine="0" w:firstLineChars="0"/>
        <w:jc w:val="center"/>
        <w:outlineLvl w:val="0"/>
        <w:rPr>
          <w:rFonts w:hint="default" w:ascii="Times New Roman" w:hAnsi="Times New Roman" w:eastAsia="黑体" w:cs="Times New Roman"/>
          <w:color w:val="auto"/>
          <w:sz w:val="32"/>
          <w:szCs w:val="32"/>
          <w:highlight w:val="none"/>
        </w:rPr>
      </w:pPr>
      <w:bookmarkStart w:id="0" w:name="_Toc11249"/>
      <w:r>
        <w:rPr>
          <w:rFonts w:hint="default" w:ascii="Times New Roman" w:hAnsi="Times New Roman" w:eastAsia="黑体" w:cs="Times New Roman"/>
          <w:color w:val="auto"/>
          <w:sz w:val="32"/>
          <w:szCs w:val="32"/>
          <w:highlight w:val="none"/>
        </w:rPr>
        <w:t>前</w:t>
      </w:r>
      <w:r>
        <w:rPr>
          <w:rFonts w:hint="eastAsia" w:ascii="Times New Roman" w:hAnsi="Times New Roman" w:eastAsia="黑体" w:cs="Times New Roman"/>
          <w:color w:val="auto"/>
          <w:sz w:val="32"/>
          <w:szCs w:val="32"/>
          <w:highlight w:val="none"/>
        </w:rPr>
        <w:t xml:space="preserve">  </w:t>
      </w:r>
      <w:r>
        <w:rPr>
          <w:rFonts w:hint="default" w:ascii="Times New Roman" w:hAnsi="Times New Roman" w:eastAsia="黑体" w:cs="Times New Roman"/>
          <w:color w:val="auto"/>
          <w:sz w:val="32"/>
          <w:szCs w:val="32"/>
          <w:highlight w:val="none"/>
        </w:rPr>
        <w:t>言</w:t>
      </w:r>
      <w:bookmarkEnd w:id="0"/>
    </w:p>
    <w:p w14:paraId="13C0CE79">
      <w:pPr>
        <w:spacing w:line="360" w:lineRule="auto"/>
        <w:ind w:firstLine="0" w:firstLineChars="0"/>
        <w:jc w:val="center"/>
        <w:outlineLvl w:val="0"/>
        <w:rPr>
          <w:rFonts w:hint="default" w:ascii="Times New Roman" w:hAnsi="Times New Roman" w:eastAsia="黑体" w:cs="Times New Roman"/>
          <w:color w:val="auto"/>
          <w:sz w:val="32"/>
          <w:szCs w:val="32"/>
          <w:highlight w:val="none"/>
        </w:rPr>
      </w:pPr>
    </w:p>
    <w:p w14:paraId="2B13E2EB">
      <w:pPr>
        <w:spacing w:line="360" w:lineRule="auto"/>
        <w:ind w:firstLine="440" w:firstLineChars="200"/>
        <w:jc w:val="left"/>
        <w:rPr>
          <w:rFonts w:hint="eastAsia" w:ascii="Times New Roman" w:hAnsi="Times New Roman" w:cs="Times New Roman" w:eastAsiaTheme="minorEastAsia"/>
          <w:color w:val="auto"/>
          <w:sz w:val="22"/>
          <w:szCs w:val="22"/>
          <w:highlight w:val="none"/>
        </w:rPr>
      </w:pPr>
      <w:r>
        <w:rPr>
          <w:rFonts w:hint="eastAsia" w:ascii="Times New Roman" w:hAnsi="Times New Roman" w:cs="Times New Roman" w:eastAsiaTheme="minorEastAsia"/>
          <w:color w:val="auto"/>
          <w:sz w:val="22"/>
          <w:szCs w:val="22"/>
          <w:highlight w:val="none"/>
        </w:rPr>
        <w:t>本文件按照GB/T 1.1—2020《标准化工作导则 第1部分：标准化文件的结构和起草规则》的规定起草。</w:t>
      </w:r>
      <w:r>
        <w:rPr>
          <w:rFonts w:hint="default" w:ascii="Times New Roman" w:hAnsi="Times New Roman" w:cs="Times New Roman"/>
          <w:color w:val="auto"/>
          <w:sz w:val="22"/>
          <w:szCs w:val="22"/>
          <w:highlight w:val="none"/>
        </w:rPr>
        <w:t>本文件内容</w:t>
      </w:r>
      <w:r>
        <w:rPr>
          <w:rFonts w:hint="default" w:ascii="Times New Roman" w:hAnsi="Times New Roman" w:cs="Times New Roman"/>
          <w:color w:val="auto"/>
          <w:sz w:val="22"/>
          <w:szCs w:val="22"/>
          <w:highlight w:val="none"/>
          <w:lang w:val="en-US" w:eastAsia="zh-CN"/>
        </w:rPr>
        <w:t>不</w:t>
      </w:r>
      <w:r>
        <w:rPr>
          <w:rFonts w:hint="default" w:ascii="Times New Roman" w:hAnsi="Times New Roman" w:cs="Times New Roman"/>
          <w:color w:val="auto"/>
          <w:sz w:val="22"/>
          <w:szCs w:val="22"/>
          <w:highlight w:val="none"/>
        </w:rPr>
        <w:t>涉及专利。</w:t>
      </w:r>
    </w:p>
    <w:p w14:paraId="4EEC70ED">
      <w:pPr>
        <w:spacing w:line="360" w:lineRule="auto"/>
        <w:ind w:firstLine="440" w:firstLineChars="200"/>
        <w:jc w:val="left"/>
        <w:rPr>
          <w:rFonts w:hint="eastAsia" w:ascii="Times New Roman" w:hAnsi="Times New Roman" w:cs="Times New Roman" w:eastAsiaTheme="minorEastAsia"/>
          <w:color w:val="auto"/>
          <w:sz w:val="22"/>
          <w:szCs w:val="22"/>
          <w:highlight w:val="none"/>
        </w:rPr>
      </w:pPr>
      <w:r>
        <w:rPr>
          <w:rFonts w:hint="default" w:ascii="Times New Roman" w:hAnsi="Times New Roman" w:cs="Times New Roman"/>
          <w:color w:val="auto"/>
          <w:sz w:val="22"/>
          <w:szCs w:val="22"/>
          <w:highlight w:val="none"/>
        </w:rPr>
        <w:t>本文件牵头单位</w:t>
      </w:r>
      <w:r>
        <w:rPr>
          <w:rFonts w:hint="default" w:ascii="Times New Roman" w:hAnsi="Times New Roman" w:cs="Times New Roman"/>
          <w:color w:val="auto"/>
          <w:sz w:val="22"/>
          <w:szCs w:val="22"/>
          <w:highlight w:val="none"/>
          <w:lang w:eastAsia="zh-CN"/>
        </w:rPr>
        <w:t>：</w:t>
      </w:r>
      <w:r>
        <w:rPr>
          <w:rFonts w:hint="eastAsia" w:ascii="Times New Roman" w:hAnsi="Times New Roman" w:cs="Times New Roman" w:eastAsiaTheme="minorEastAsia"/>
          <w:color w:val="auto"/>
          <w:sz w:val="22"/>
          <w:szCs w:val="22"/>
          <w:highlight w:val="none"/>
        </w:rPr>
        <w:t>苏州市农业科学院</w:t>
      </w:r>
      <w:r>
        <w:rPr>
          <w:rFonts w:hint="eastAsia" w:ascii="Times New Roman" w:hAnsi="Times New Roman" w:cs="Times New Roman" w:eastAsiaTheme="minorEastAsia"/>
          <w:color w:val="auto"/>
          <w:sz w:val="22"/>
          <w:szCs w:val="22"/>
          <w:highlight w:val="none"/>
          <w:lang w:eastAsia="zh-CN"/>
        </w:rPr>
        <w:t>。</w:t>
      </w:r>
    </w:p>
    <w:p w14:paraId="2E42A1FC">
      <w:pPr>
        <w:spacing w:line="360" w:lineRule="auto"/>
        <w:ind w:firstLine="440" w:firstLineChars="200"/>
        <w:jc w:val="left"/>
        <w:rPr>
          <w:rFonts w:hint="eastAsia" w:ascii="Times New Roman" w:hAnsi="Times New Roman" w:cs="Times New Roman" w:eastAsiaTheme="minorEastAsia"/>
          <w:color w:val="auto"/>
          <w:sz w:val="22"/>
          <w:szCs w:val="22"/>
          <w:highlight w:val="none"/>
        </w:rPr>
      </w:pPr>
      <w:r>
        <w:rPr>
          <w:rFonts w:hint="default" w:ascii="Times New Roman" w:hAnsi="Times New Roman" w:cs="Times New Roman"/>
          <w:color w:val="auto"/>
          <w:sz w:val="22"/>
          <w:szCs w:val="22"/>
          <w:highlight w:val="none"/>
        </w:rPr>
        <w:t>本文件</w:t>
      </w:r>
      <w:r>
        <w:rPr>
          <w:rFonts w:hint="default" w:ascii="Times New Roman" w:hAnsi="Times New Roman" w:cs="Times New Roman"/>
          <w:color w:val="auto"/>
          <w:sz w:val="22"/>
          <w:szCs w:val="22"/>
          <w:highlight w:val="none"/>
          <w:lang w:val="en-US" w:eastAsia="zh-CN"/>
        </w:rPr>
        <w:t>参与</w:t>
      </w:r>
      <w:r>
        <w:rPr>
          <w:rFonts w:hint="default" w:ascii="Times New Roman" w:hAnsi="Times New Roman" w:cs="Times New Roman"/>
          <w:color w:val="auto"/>
          <w:sz w:val="22"/>
          <w:szCs w:val="22"/>
          <w:highlight w:val="none"/>
        </w:rPr>
        <w:t>单位</w:t>
      </w:r>
      <w:r>
        <w:rPr>
          <w:rFonts w:hint="eastAsia" w:ascii="Times New Roman" w:hAnsi="Times New Roman" w:cs="Times New Roman" w:eastAsiaTheme="minorEastAsia"/>
          <w:color w:val="auto"/>
          <w:sz w:val="22"/>
          <w:szCs w:val="22"/>
          <w:highlight w:val="none"/>
        </w:rPr>
        <w:t>：苏州市农业信息中心、苏州市吴江区农业技术服务中心、苏州市吴中区农业环境与土壤肥料站、苏州市农业技术推广中心、昆山市农业技术推广中心。</w:t>
      </w:r>
    </w:p>
    <w:p w14:paraId="06AE6E9D">
      <w:pPr>
        <w:spacing w:line="360" w:lineRule="auto"/>
        <w:ind w:firstLine="440" w:firstLineChars="200"/>
        <w:jc w:val="left"/>
        <w:rPr>
          <w:rFonts w:hint="default" w:ascii="Times New Roman" w:hAnsi="Times New Roman" w:cs="Times New Roman" w:eastAsiaTheme="minorEastAsia"/>
          <w:color w:val="auto"/>
          <w:sz w:val="22"/>
          <w:szCs w:val="22"/>
          <w:highlight w:val="none"/>
        </w:rPr>
        <w:sectPr>
          <w:footerReference r:id="rId8" w:type="default"/>
          <w:pgSz w:w="11907" w:h="16839"/>
          <w:pgMar w:top="1418" w:right="1134" w:bottom="1134" w:left="1418" w:header="1418" w:footer="851" w:gutter="0"/>
          <w:pgNumType w:fmt="decimal" w:start="1"/>
          <w:cols w:space="720" w:num="1"/>
          <w:docGrid w:type="lines" w:linePitch="312" w:charSpace="0"/>
        </w:sectPr>
      </w:pPr>
      <w:r>
        <w:rPr>
          <w:rFonts w:hint="eastAsia" w:ascii="Times New Roman" w:hAnsi="Times New Roman" w:cs="Times New Roman" w:eastAsiaTheme="minorEastAsia"/>
          <w:color w:val="auto"/>
          <w:sz w:val="22"/>
          <w:szCs w:val="22"/>
          <w:highlight w:val="none"/>
        </w:rPr>
        <w:t>本标准主要起草人：</w:t>
      </w:r>
      <w:r>
        <w:rPr>
          <w:rFonts w:hint="eastAsia" w:ascii="Times New Roman" w:hAnsi="Times New Roman" w:cs="Times New Roman" w:eastAsiaTheme="minorEastAsia"/>
          <w:color w:val="auto"/>
          <w:sz w:val="22"/>
          <w:szCs w:val="22"/>
          <w:highlight w:val="none"/>
          <w:lang w:val="en-US" w:eastAsia="zh-CN"/>
        </w:rPr>
        <w:t>王敦亮、田婷、周君、陶玥玥、李瑞、刘好丽、李晓峰、姜光明、严凯、娄丽娟、许俊伟、何其全</w:t>
      </w:r>
      <w:r>
        <w:rPr>
          <w:rFonts w:hint="eastAsia" w:ascii="Times New Roman" w:hAnsi="Times New Roman" w:cs="Times New Roman" w:eastAsiaTheme="minorEastAsia"/>
          <w:color w:val="auto"/>
          <w:sz w:val="22"/>
          <w:szCs w:val="22"/>
          <w:highlight w:val="none"/>
        </w:rPr>
        <w:t>。</w:t>
      </w:r>
    </w:p>
    <w:p w14:paraId="68CD68C3">
      <w:pPr>
        <w:spacing w:line="360" w:lineRule="auto"/>
        <w:ind w:firstLine="0" w:firstLineChars="0"/>
        <w:jc w:val="center"/>
        <w:rPr>
          <w:rFonts w:hint="default"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水稻苗情遥感监测技术规程</w:t>
      </w:r>
    </w:p>
    <w:p w14:paraId="359AF7AC">
      <w:pPr>
        <w:pStyle w:val="35"/>
        <w:spacing w:before="317" w:after="317"/>
        <w:rPr>
          <w:rFonts w:ascii="Times New Roman"/>
          <w:sz w:val="24"/>
          <w:szCs w:val="24"/>
        </w:rPr>
      </w:pPr>
      <w:bookmarkStart w:id="1" w:name="_Toc7150"/>
      <w:r>
        <w:rPr>
          <w:rFonts w:hint="eastAsia" w:ascii="Times New Roman"/>
          <w:sz w:val="24"/>
          <w:szCs w:val="24"/>
        </w:rPr>
        <w:t>1  范围</w:t>
      </w:r>
      <w:bookmarkEnd w:id="1"/>
    </w:p>
    <w:p w14:paraId="45A6DCB2">
      <w:pPr>
        <w:ind w:firstLine="480" w:firstLineChars="200"/>
        <w:rPr>
          <w:color w:val="000000"/>
          <w:sz w:val="24"/>
          <w:szCs w:val="24"/>
        </w:rPr>
      </w:pPr>
      <w:r>
        <w:rPr>
          <w:rFonts w:hint="eastAsia" w:hAnsi="宋体"/>
          <w:color w:val="000000"/>
          <w:sz w:val="24"/>
          <w:szCs w:val="24"/>
        </w:rPr>
        <w:t>本文件规定了水稻苗情遥感监测的数据采集、预测过程、专题图制作和报告编写等相关工作。</w:t>
      </w:r>
    </w:p>
    <w:p w14:paraId="6A17885C">
      <w:pPr>
        <w:pStyle w:val="35"/>
        <w:spacing w:before="317" w:after="317"/>
        <w:rPr>
          <w:rFonts w:ascii="Times New Roman"/>
          <w:sz w:val="24"/>
          <w:szCs w:val="24"/>
        </w:rPr>
      </w:pPr>
      <w:bookmarkStart w:id="2" w:name="_Toc31551"/>
      <w:r>
        <w:rPr>
          <w:rFonts w:hint="eastAsia" w:ascii="Times New Roman"/>
          <w:sz w:val="24"/>
          <w:szCs w:val="24"/>
        </w:rPr>
        <w:t>2  规范性引用文件</w:t>
      </w:r>
      <w:bookmarkEnd w:id="2"/>
    </w:p>
    <w:p w14:paraId="19616898">
      <w:pPr>
        <w:pStyle w:val="30"/>
        <w:ind w:firstLine="420"/>
        <w:rPr>
          <w:rFonts w:hint="eastAsia" w:ascii="Times New Roman"/>
          <w:sz w:val="24"/>
          <w:szCs w:val="24"/>
        </w:rPr>
      </w:pPr>
      <w:r>
        <w:rPr>
          <w:rFonts w:hint="eastAsia" w:ascii="Times New Roman"/>
          <w:sz w:val="24"/>
          <w:szCs w:val="24"/>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6F2462B8">
      <w:pPr>
        <w:pStyle w:val="30"/>
        <w:ind w:firstLine="420"/>
        <w:rPr>
          <w:rFonts w:hint="eastAsia" w:ascii="Times New Roman"/>
          <w:sz w:val="24"/>
          <w:szCs w:val="24"/>
          <w:highlight w:val="yellow"/>
        </w:rPr>
      </w:pPr>
    </w:p>
    <w:p w14:paraId="2724AF29">
      <w:pPr>
        <w:pStyle w:val="18"/>
        <w:widowControl w:val="0"/>
        <w:overflowPunct w:val="0"/>
        <w:autoSpaceDE w:val="0"/>
        <w:autoSpaceDN w:val="0"/>
        <w:snapToGrid w:val="0"/>
        <w:spacing w:before="0" w:beforeAutospacing="0" w:after="0" w:afterAutospacing="0"/>
        <w:ind w:firstLine="480" w:firstLineChars="200"/>
        <w:rPr>
          <w:rFonts w:hint="eastAsia" w:ascii="Times New Roman" w:hAnsi="Times New Roman"/>
          <w:sz w:val="24"/>
          <w:szCs w:val="24"/>
        </w:rPr>
      </w:pPr>
      <w:r>
        <w:rPr>
          <w:rFonts w:hint="eastAsia" w:ascii="Times New Roman" w:hAnsi="Times New Roman"/>
          <w:sz w:val="24"/>
          <w:szCs w:val="24"/>
        </w:rPr>
        <w:t>GB/T 15968-2008  遥感影像平面图制作规范</w:t>
      </w:r>
    </w:p>
    <w:p w14:paraId="503BBCA0">
      <w:pPr>
        <w:pStyle w:val="18"/>
        <w:widowControl w:val="0"/>
        <w:overflowPunct w:val="0"/>
        <w:autoSpaceDE w:val="0"/>
        <w:autoSpaceDN w:val="0"/>
        <w:snapToGrid w:val="0"/>
        <w:spacing w:before="0" w:beforeAutospacing="0" w:after="0" w:afterAutospacing="0"/>
        <w:ind w:firstLine="480" w:firstLineChars="200"/>
        <w:rPr>
          <w:rFonts w:hint="eastAsia" w:ascii="Times New Roman" w:hAnsi="Times New Roman"/>
          <w:sz w:val="24"/>
          <w:szCs w:val="24"/>
        </w:rPr>
      </w:pPr>
      <w:r>
        <w:rPr>
          <w:rFonts w:hint="eastAsia" w:ascii="Times New Roman" w:hAnsi="Times New Roman"/>
          <w:sz w:val="24"/>
          <w:szCs w:val="24"/>
        </w:rPr>
        <w:t>GB/T 20257(全部)  国家基本比例尺地图图式</w:t>
      </w:r>
    </w:p>
    <w:p w14:paraId="5BFFE385">
      <w:pPr>
        <w:pStyle w:val="18"/>
        <w:widowControl w:val="0"/>
        <w:overflowPunct w:val="0"/>
        <w:autoSpaceDE w:val="0"/>
        <w:autoSpaceDN w:val="0"/>
        <w:snapToGrid w:val="0"/>
        <w:spacing w:before="0" w:beforeAutospacing="0" w:after="0" w:afterAutospacing="0"/>
        <w:ind w:firstLine="480" w:firstLineChars="200"/>
        <w:rPr>
          <w:rFonts w:hint="eastAsia" w:ascii="Times New Roman" w:hAnsi="Times New Roman"/>
          <w:sz w:val="24"/>
          <w:szCs w:val="24"/>
        </w:rPr>
      </w:pPr>
      <w:r>
        <w:rPr>
          <w:rFonts w:hint="eastAsia" w:ascii="Times New Roman" w:hAnsi="Times New Roman"/>
          <w:sz w:val="24"/>
          <w:szCs w:val="24"/>
        </w:rPr>
        <w:t>GB/T 30115-2013  卫星遥感影像植被指数产品规范</w:t>
      </w:r>
    </w:p>
    <w:p w14:paraId="7F9AD568">
      <w:pPr>
        <w:pStyle w:val="35"/>
        <w:spacing w:before="317" w:after="317"/>
        <w:rPr>
          <w:rFonts w:ascii="Times New Roman"/>
          <w:sz w:val="24"/>
          <w:szCs w:val="24"/>
        </w:rPr>
      </w:pPr>
      <w:bookmarkStart w:id="3" w:name="_Toc31902"/>
      <w:r>
        <w:rPr>
          <w:rFonts w:hint="eastAsia" w:ascii="Times New Roman"/>
          <w:sz w:val="24"/>
          <w:szCs w:val="24"/>
        </w:rPr>
        <w:t>3  术语和定义</w:t>
      </w:r>
      <w:bookmarkEnd w:id="3"/>
    </w:p>
    <w:p w14:paraId="06126534">
      <w:pPr>
        <w:ind w:firstLine="480" w:firstLineChars="200"/>
        <w:rPr>
          <w:rFonts w:cs="宋体"/>
          <w:color w:val="000000"/>
          <w:sz w:val="24"/>
          <w:szCs w:val="24"/>
        </w:rPr>
      </w:pPr>
      <w:r>
        <w:rPr>
          <w:rFonts w:hint="eastAsia" w:hAnsi="宋体" w:cs="宋体"/>
          <w:color w:val="000000"/>
          <w:sz w:val="24"/>
          <w:szCs w:val="24"/>
        </w:rPr>
        <w:t>下列术语和定义适用于本文件。</w:t>
      </w:r>
    </w:p>
    <w:p w14:paraId="02024751">
      <w:pPr>
        <w:pStyle w:val="36"/>
        <w:spacing w:before="158" w:after="158"/>
        <w:rPr>
          <w:rFonts w:ascii="Times New Roman" w:hAnsi="Times New Roman"/>
          <w:sz w:val="24"/>
          <w:szCs w:val="24"/>
        </w:rPr>
      </w:pPr>
      <w:r>
        <w:rPr>
          <w:rFonts w:hint="eastAsia" w:ascii="Times New Roman" w:hAnsi="Times New Roman"/>
          <w:sz w:val="24"/>
          <w:szCs w:val="24"/>
        </w:rPr>
        <w:t>3.</w:t>
      </w:r>
      <w:r>
        <w:rPr>
          <w:rFonts w:ascii="Times New Roman" w:hAnsi="Times New Roman"/>
          <w:sz w:val="24"/>
          <w:szCs w:val="24"/>
        </w:rPr>
        <w:t>1</w:t>
      </w:r>
      <w:r>
        <w:rPr>
          <w:rFonts w:hint="eastAsia" w:ascii="Times New Roman" w:hAnsi="Times New Roman"/>
          <w:sz w:val="24"/>
          <w:szCs w:val="24"/>
        </w:rPr>
        <w:t xml:space="preserve"> </w:t>
      </w:r>
    </w:p>
    <w:p w14:paraId="4FA4D362">
      <w:pPr>
        <w:ind w:firstLine="480" w:firstLineChars="200"/>
        <w:rPr>
          <w:rFonts w:hint="eastAsia" w:hAnsi="宋体" w:eastAsia="黑体"/>
          <w:b w:val="0"/>
          <w:bCs w:val="0"/>
          <w:color w:val="000000"/>
          <w:sz w:val="24"/>
          <w:szCs w:val="24"/>
        </w:rPr>
      </w:pPr>
      <w:r>
        <w:rPr>
          <w:rFonts w:hint="eastAsia" w:hAnsi="宋体" w:eastAsia="黑体"/>
          <w:b w:val="0"/>
          <w:bCs w:val="0"/>
          <w:color w:val="000000"/>
          <w:sz w:val="24"/>
          <w:szCs w:val="24"/>
        </w:rPr>
        <w:t>遥感  remote sensing</w:t>
      </w:r>
    </w:p>
    <w:p w14:paraId="320F3535">
      <w:pPr>
        <w:ind w:firstLine="480" w:firstLineChars="200"/>
        <w:rPr>
          <w:rFonts w:hAnsi="宋体"/>
          <w:color w:val="000000"/>
          <w:sz w:val="24"/>
          <w:szCs w:val="24"/>
        </w:rPr>
      </w:pPr>
      <w:r>
        <w:rPr>
          <w:rFonts w:hint="eastAsia" w:hAnsi="宋体"/>
          <w:b w:val="0"/>
          <w:bCs w:val="0"/>
          <w:color w:val="000000"/>
          <w:sz w:val="24"/>
          <w:szCs w:val="24"/>
        </w:rPr>
        <w:t>不接触物体本身，用传感器收集目标物的电磁波信息，经处理、分析后，识别目标物，并揭示其几何、物理特征和互相关系及其变化规律的现代科学技术。</w:t>
      </w:r>
    </w:p>
    <w:p w14:paraId="5BB9FC98">
      <w:pPr>
        <w:pStyle w:val="36"/>
        <w:spacing w:before="158" w:after="158"/>
        <w:rPr>
          <w:rFonts w:ascii="Times New Roman" w:hAnsi="Times New Roman"/>
          <w:sz w:val="24"/>
          <w:szCs w:val="24"/>
        </w:rPr>
      </w:pPr>
      <w:r>
        <w:rPr>
          <w:rFonts w:hint="eastAsia" w:ascii="Times New Roman" w:hAnsi="Times New Roman"/>
          <w:sz w:val="24"/>
          <w:szCs w:val="24"/>
        </w:rPr>
        <w:t>3.</w:t>
      </w:r>
      <w:r>
        <w:rPr>
          <w:rFonts w:ascii="Times New Roman" w:hAnsi="Times New Roman"/>
          <w:sz w:val="24"/>
          <w:szCs w:val="24"/>
        </w:rPr>
        <w:t>2</w:t>
      </w:r>
    </w:p>
    <w:p w14:paraId="3A0B7510">
      <w:pPr>
        <w:ind w:firstLine="480" w:firstLineChars="200"/>
        <w:rPr>
          <w:rFonts w:hint="eastAsia" w:ascii="Times New Roman" w:hAnsi="宋体" w:eastAsia="黑体" w:cs="Times New Roman"/>
          <w:b w:val="0"/>
          <w:bCs w:val="0"/>
          <w:color w:val="000000"/>
          <w:sz w:val="24"/>
          <w:szCs w:val="24"/>
        </w:rPr>
      </w:pPr>
      <w:r>
        <w:rPr>
          <w:rFonts w:hint="eastAsia" w:ascii="Times New Roman" w:hAnsi="宋体" w:eastAsia="黑体" w:cs="Times New Roman"/>
          <w:b w:val="0"/>
          <w:bCs w:val="0"/>
          <w:color w:val="000000"/>
          <w:sz w:val="24"/>
          <w:szCs w:val="24"/>
        </w:rPr>
        <w:t>植被指数  vegetation index</w:t>
      </w:r>
    </w:p>
    <w:p w14:paraId="472CFB83">
      <w:pPr>
        <w:ind w:firstLine="480" w:firstLineChars="200"/>
        <w:rPr>
          <w:b w:val="0"/>
          <w:bCs w:val="0"/>
          <w:color w:val="000000"/>
          <w:sz w:val="24"/>
          <w:szCs w:val="24"/>
        </w:rPr>
      </w:pPr>
      <w:r>
        <w:rPr>
          <w:rFonts w:hint="eastAsia" w:hAnsi="宋体"/>
          <w:b w:val="0"/>
          <w:bCs w:val="0"/>
          <w:color w:val="000000"/>
          <w:sz w:val="24"/>
          <w:szCs w:val="24"/>
        </w:rPr>
        <w:t>根据植被的光谱特性，将卫星可见光和近红外波段进行组合所得到的参数。</w:t>
      </w:r>
    </w:p>
    <w:p w14:paraId="1730D04B">
      <w:pPr>
        <w:pStyle w:val="36"/>
        <w:spacing w:before="158" w:after="158"/>
        <w:rPr>
          <w:rFonts w:ascii="Times New Roman" w:hAnsi="Times New Roman"/>
          <w:sz w:val="24"/>
          <w:szCs w:val="24"/>
        </w:rPr>
      </w:pPr>
      <w:r>
        <w:rPr>
          <w:rFonts w:hint="eastAsia" w:ascii="Times New Roman" w:hAnsi="Times New Roman"/>
          <w:sz w:val="24"/>
          <w:szCs w:val="24"/>
        </w:rPr>
        <w:t xml:space="preserve">3.3 </w:t>
      </w:r>
    </w:p>
    <w:p w14:paraId="41C6B85A">
      <w:pPr>
        <w:ind w:firstLine="480" w:firstLineChars="200"/>
        <w:rPr>
          <w:rFonts w:hint="eastAsia" w:ascii="Times New Roman" w:hAnsi="宋体" w:eastAsia="黑体" w:cs="Times New Roman"/>
          <w:b w:val="0"/>
          <w:bCs w:val="0"/>
          <w:color w:val="000000"/>
          <w:sz w:val="24"/>
          <w:szCs w:val="24"/>
        </w:rPr>
      </w:pPr>
      <w:r>
        <w:rPr>
          <w:rFonts w:hint="eastAsia" w:ascii="Times New Roman" w:hAnsi="宋体" w:eastAsia="黑体" w:cs="Times New Roman"/>
          <w:b w:val="0"/>
          <w:bCs w:val="0"/>
          <w:color w:val="000000"/>
          <w:sz w:val="24"/>
          <w:szCs w:val="24"/>
        </w:rPr>
        <w:t>纹理参数  texture feature</w:t>
      </w:r>
    </w:p>
    <w:p w14:paraId="177BEF53">
      <w:pPr>
        <w:ind w:firstLine="480" w:firstLineChars="200"/>
        <w:rPr>
          <w:rFonts w:hint="eastAsia" w:hAnsi="宋体"/>
          <w:b w:val="0"/>
          <w:bCs w:val="0"/>
          <w:color w:val="000000"/>
          <w:sz w:val="24"/>
          <w:szCs w:val="24"/>
        </w:rPr>
      </w:pPr>
      <w:r>
        <w:rPr>
          <w:rFonts w:hint="eastAsia" w:hAnsi="宋体"/>
          <w:b w:val="0"/>
          <w:bCs w:val="0"/>
          <w:color w:val="000000"/>
          <w:sz w:val="24"/>
          <w:szCs w:val="24"/>
        </w:rPr>
        <w:t>反映图像中同质现象的视觉特征，通过像素及其周围空间领域的灰度分布来表现。</w:t>
      </w:r>
    </w:p>
    <w:p w14:paraId="07E463A8">
      <w:pPr>
        <w:pStyle w:val="35"/>
        <w:spacing w:before="317" w:after="317"/>
        <w:rPr>
          <w:rFonts w:ascii="Times New Roman"/>
          <w:sz w:val="24"/>
          <w:szCs w:val="24"/>
        </w:rPr>
      </w:pPr>
      <w:bookmarkStart w:id="4" w:name="_Toc21241"/>
      <w:r>
        <w:rPr>
          <w:rFonts w:hint="eastAsia" w:ascii="Times New Roman"/>
          <w:sz w:val="24"/>
          <w:szCs w:val="24"/>
        </w:rPr>
        <w:t>4  缩略语</w:t>
      </w:r>
      <w:bookmarkEnd w:id="4"/>
    </w:p>
    <w:p w14:paraId="20734FC8">
      <w:pPr>
        <w:ind w:firstLine="420"/>
        <w:rPr>
          <w:rFonts w:hint="eastAsia" w:hAnsi="宋体" w:cs="宋体"/>
          <w:color w:val="000000"/>
          <w:sz w:val="24"/>
          <w:szCs w:val="24"/>
        </w:rPr>
      </w:pPr>
      <w:r>
        <w:rPr>
          <w:rFonts w:hint="eastAsia" w:hAnsi="宋体" w:cs="宋体"/>
          <w:color w:val="000000"/>
          <w:sz w:val="24"/>
          <w:szCs w:val="24"/>
        </w:rPr>
        <w:t>以下缩略语适用于本文件：</w:t>
      </w:r>
    </w:p>
    <w:p w14:paraId="56438907">
      <w:pPr>
        <w:ind w:firstLine="420"/>
        <w:rPr>
          <w:rFonts w:hint="eastAsia" w:hAnsi="宋体" w:cs="宋体"/>
          <w:color w:val="000000"/>
          <w:sz w:val="24"/>
          <w:szCs w:val="24"/>
        </w:rPr>
      </w:pPr>
      <w:r>
        <w:rPr>
          <w:rFonts w:hint="eastAsia" w:hAnsi="宋体" w:cs="宋体"/>
          <w:color w:val="000000"/>
          <w:sz w:val="24"/>
          <w:szCs w:val="24"/>
        </w:rPr>
        <w:t>a)  GF-1：高分一号卫星(Gaofen 1)；</w:t>
      </w:r>
    </w:p>
    <w:p w14:paraId="2D41BF17">
      <w:pPr>
        <w:ind w:firstLine="420"/>
        <w:rPr>
          <w:rFonts w:hint="eastAsia" w:hAnsi="宋体" w:cs="宋体"/>
          <w:color w:val="000000"/>
          <w:sz w:val="24"/>
          <w:szCs w:val="24"/>
        </w:rPr>
      </w:pPr>
      <w:r>
        <w:rPr>
          <w:rFonts w:hint="eastAsia" w:hAnsi="宋体" w:cs="宋体"/>
          <w:color w:val="000000"/>
          <w:sz w:val="24"/>
          <w:szCs w:val="24"/>
        </w:rPr>
        <w:t>b)  HJ-CCD：环境星电荷耦合器件(Huanjing Charge Coupled Device )；</w:t>
      </w:r>
    </w:p>
    <w:p w14:paraId="19D85945">
      <w:pPr>
        <w:ind w:firstLine="420"/>
        <w:rPr>
          <w:rFonts w:hint="eastAsia" w:hAnsi="宋体"/>
          <w:color w:val="000000"/>
          <w:sz w:val="24"/>
          <w:szCs w:val="24"/>
          <w:highlight w:val="yellow"/>
        </w:rPr>
      </w:pPr>
      <w:r>
        <w:rPr>
          <w:rFonts w:hint="eastAsia" w:hAnsi="宋体" w:cs="宋体"/>
          <w:color w:val="000000"/>
          <w:sz w:val="24"/>
          <w:szCs w:val="24"/>
        </w:rPr>
        <w:t>c)  Sentinel-2：哨兵二号卫星。</w:t>
      </w:r>
    </w:p>
    <w:p w14:paraId="09B1A34C">
      <w:pPr>
        <w:pStyle w:val="35"/>
        <w:spacing w:before="317" w:after="317"/>
        <w:rPr>
          <w:rFonts w:hint="default" w:ascii="Times New Roman" w:eastAsia="黑体"/>
          <w:sz w:val="24"/>
          <w:szCs w:val="24"/>
          <w:lang w:val="en-US" w:eastAsia="zh-CN"/>
        </w:rPr>
      </w:pPr>
      <w:bookmarkStart w:id="5" w:name="_Toc22327"/>
      <w:bookmarkStart w:id="8" w:name="_GoBack"/>
      <w:bookmarkEnd w:id="8"/>
      <w:r>
        <w:rPr>
          <w:rFonts w:hint="eastAsia" w:ascii="Times New Roman"/>
          <w:sz w:val="24"/>
          <w:szCs w:val="24"/>
        </w:rPr>
        <w:t xml:space="preserve">5  </w:t>
      </w:r>
      <w:r>
        <w:rPr>
          <w:rFonts w:hint="eastAsia" w:ascii="Times New Roman"/>
          <w:sz w:val="24"/>
          <w:szCs w:val="24"/>
          <w:lang w:val="en-US" w:eastAsia="zh-CN"/>
        </w:rPr>
        <w:t>数据采集</w:t>
      </w:r>
      <w:bookmarkEnd w:id="5"/>
    </w:p>
    <w:p w14:paraId="6DAE3DEE">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.1</w:t>
      </w:r>
      <w:r>
        <w:rPr>
          <w:rFonts w:hint="eastAsia" w:ascii="黑体" w:hAnsi="黑体" w:eastAsia="黑体" w:cs="Times New Roman"/>
          <w:sz w:val="24"/>
          <w:szCs w:val="24"/>
          <w:lang w:val="en-US" w:eastAsia="zh-CN" w:bidi="ar-SA"/>
        </w:rPr>
        <w:t xml:space="preserve"> </w:t>
      </w:r>
      <w:r>
        <w:rPr>
          <w:rFonts w:ascii="黑体" w:hAnsi="黑体" w:eastAsia="黑体" w:cs="Times New Roman"/>
          <w:sz w:val="24"/>
          <w:szCs w:val="24"/>
          <w:lang w:val="en-US" w:eastAsia="zh-CN" w:bidi="ar-SA"/>
        </w:rPr>
        <w:t xml:space="preserve"> </w:t>
      </w:r>
      <w:r>
        <w:rPr>
          <w:rFonts w:hint="eastAsia" w:ascii="黑体" w:hAnsi="黑体" w:eastAsia="黑体" w:cs="Times New Roman"/>
          <w:sz w:val="24"/>
          <w:szCs w:val="24"/>
          <w:lang w:val="en-US" w:eastAsia="zh-CN" w:bidi="ar-SA"/>
        </w:rPr>
        <w:t>遥感数据</w:t>
      </w:r>
    </w:p>
    <w:p w14:paraId="436225AB">
      <w:pPr>
        <w:spacing w:before="158" w:beforeLines="50" w:after="158" w:afterLines="50"/>
        <w:outlineLvl w:val="2"/>
        <w:rPr>
          <w:rFonts w:ascii="黑体" w:hAnsi="黑体" w:eastAsia="黑体" w:cs="Times New Roman"/>
          <w:sz w:val="24"/>
          <w:szCs w:val="24"/>
          <w:lang w:val="en-US" w:eastAsia="zh-CN" w:bidi="ar-SA"/>
        </w:rPr>
      </w:pPr>
      <w:r>
        <w:rPr>
          <w:rFonts w:ascii="黑体" w:hAnsi="黑体" w:eastAsia="黑体" w:cs="Times New Roman"/>
          <w:sz w:val="24"/>
          <w:szCs w:val="24"/>
          <w:lang w:val="en-US" w:eastAsia="zh-CN" w:bidi="ar-SA"/>
        </w:rPr>
        <w:t xml:space="preserve">5.1.1  </w:t>
      </w:r>
      <w:r>
        <w:rPr>
          <w:rFonts w:hint="eastAsia" w:ascii="黑体" w:hAnsi="黑体" w:eastAsia="黑体" w:cs="Times New Roman"/>
          <w:sz w:val="24"/>
          <w:szCs w:val="24"/>
          <w:lang w:val="en-US" w:eastAsia="zh-CN" w:bidi="ar-SA"/>
        </w:rPr>
        <w:t>卫星影像数据</w:t>
      </w:r>
    </w:p>
    <w:p w14:paraId="6BF7408E">
      <w:pPr>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选择覆盖预测区域的中高分辨率影像数据。主要来源于GF-1、HJ-CCD、Sentinel-2等卫星拍摄的影像。</w:t>
      </w:r>
    </w:p>
    <w:p w14:paraId="083D8E42">
      <w:pPr>
        <w:spacing w:before="158" w:beforeLines="50" w:after="158" w:afterLines="50"/>
        <w:outlineLvl w:val="2"/>
        <w:rPr>
          <w:rFonts w:ascii="黑体" w:hAnsi="黑体" w:eastAsia="黑体" w:cs="Times New Roman"/>
          <w:sz w:val="24"/>
          <w:szCs w:val="24"/>
          <w:lang w:val="en-US" w:eastAsia="zh-CN" w:bidi="ar-SA"/>
        </w:rPr>
      </w:pPr>
      <w:r>
        <w:rPr>
          <w:rFonts w:ascii="黑体" w:hAnsi="黑体" w:eastAsia="黑体" w:cs="Times New Roman"/>
          <w:sz w:val="24"/>
          <w:szCs w:val="24"/>
          <w:lang w:val="en-US" w:eastAsia="zh-CN" w:bidi="ar-SA"/>
        </w:rPr>
        <w:t>5</w:t>
      </w:r>
      <w:r>
        <w:rPr>
          <w:rFonts w:hint="eastAsia" w:ascii="黑体" w:hAnsi="黑体" w:eastAsia="黑体" w:cs="Times New Roman"/>
          <w:sz w:val="24"/>
          <w:szCs w:val="24"/>
          <w:lang w:val="en-US" w:eastAsia="zh-CN" w:bidi="ar-SA"/>
        </w:rPr>
        <w:t>.</w:t>
      </w:r>
      <w:r>
        <w:rPr>
          <w:rFonts w:ascii="黑体" w:hAnsi="黑体" w:eastAsia="黑体" w:cs="Times New Roman"/>
          <w:sz w:val="24"/>
          <w:szCs w:val="24"/>
          <w:lang w:val="en-US" w:eastAsia="zh-CN" w:bidi="ar-SA"/>
        </w:rPr>
        <w:t>1.2</w:t>
      </w:r>
      <w:r>
        <w:rPr>
          <w:rFonts w:hint="eastAsia" w:ascii="黑体" w:hAnsi="黑体" w:eastAsia="黑体" w:cs="Times New Roman"/>
          <w:sz w:val="24"/>
          <w:szCs w:val="24"/>
          <w:lang w:val="en-US" w:eastAsia="zh-CN" w:bidi="ar-SA"/>
        </w:rPr>
        <w:t xml:space="preserve">  坐标投影系统</w:t>
      </w:r>
    </w:p>
    <w:p w14:paraId="3C872283">
      <w:pPr>
        <w:ind w:firstLine="480" w:firstLineChars="200"/>
        <w:rPr>
          <w:rFonts w:ascii="Times New Roman" w:hAnsi="宋体" w:eastAsia="宋体" w:cs="Times New Roman"/>
          <w:color w:val="000000"/>
          <w:sz w:val="24"/>
          <w:szCs w:val="24"/>
        </w:rPr>
      </w:pPr>
      <w:r>
        <w:rPr>
          <w:rFonts w:hint="eastAsia" w:ascii="Times New Roman" w:hAnsi="宋体" w:eastAsia="宋体" w:cs="Times New Roman"/>
          <w:color w:val="000000"/>
          <w:sz w:val="24"/>
          <w:szCs w:val="24"/>
        </w:rPr>
        <w:t>按照</w:t>
      </w:r>
      <w:r>
        <w:rPr>
          <w:rFonts w:hint="eastAsia" w:ascii="Times New Roman" w:hAnsi="Times New Roman" w:eastAsia="宋体" w:cs="Times New Roman"/>
          <w:color w:val="000000"/>
          <w:sz w:val="24"/>
          <w:szCs w:val="24"/>
        </w:rPr>
        <w:t>GB/T 15968-2008 3.2.l规定的坐标系执行</w:t>
      </w:r>
      <w:r>
        <w:rPr>
          <w:rFonts w:hint="eastAsia" w:ascii="Times New Roman" w:hAnsi="宋体" w:eastAsia="宋体" w:cs="Times New Roman"/>
          <w:color w:val="000000"/>
          <w:sz w:val="24"/>
          <w:szCs w:val="24"/>
        </w:rPr>
        <w:t>。</w:t>
      </w:r>
    </w:p>
    <w:p w14:paraId="588CA1C0">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.1.3  </w:t>
      </w:r>
      <w:r>
        <w:rPr>
          <w:rFonts w:hint="eastAsia" w:ascii="黑体" w:hAnsi="黑体" w:eastAsia="黑体" w:cs="Times New Roman"/>
          <w:sz w:val="24"/>
          <w:szCs w:val="24"/>
          <w:lang w:val="en-US" w:eastAsia="zh-CN" w:bidi="ar-SA"/>
        </w:rPr>
        <w:t>江苏省行政边界矢量数据</w:t>
      </w:r>
    </w:p>
    <w:p w14:paraId="2CFD03F6">
      <w:pPr>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要求与卫星影像图投影一致。</w:t>
      </w:r>
    </w:p>
    <w:p w14:paraId="0FC59D52">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.1.4  </w:t>
      </w:r>
      <w:r>
        <w:rPr>
          <w:rFonts w:hint="eastAsia" w:ascii="黑体" w:hAnsi="黑体" w:eastAsia="黑体" w:cs="Times New Roman"/>
          <w:sz w:val="24"/>
          <w:szCs w:val="24"/>
          <w:lang w:val="en-US" w:eastAsia="zh-CN" w:bidi="ar-SA"/>
        </w:rPr>
        <w:t>水稻种植区域数据</w:t>
      </w:r>
    </w:p>
    <w:p w14:paraId="55CB7F54">
      <w:pPr>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通过特征波段提取和掩膜，保留水稻种植区域，形成水稻种植分布图。</w:t>
      </w:r>
    </w:p>
    <w:p w14:paraId="114BAF64">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.1</w:t>
      </w:r>
      <w:r>
        <w:rPr>
          <w:rFonts w:hint="eastAsia" w:ascii="黑体" w:hAnsi="黑体" w:eastAsia="黑体" w:cs="Times New Roman"/>
          <w:sz w:val="24"/>
          <w:szCs w:val="24"/>
          <w:lang w:val="en-US" w:eastAsia="zh-CN" w:bidi="ar-SA"/>
        </w:rPr>
        <w:t>.</w:t>
      </w:r>
      <w:r>
        <w:rPr>
          <w:rFonts w:ascii="黑体" w:hAnsi="黑体" w:eastAsia="黑体" w:cs="Times New Roman"/>
          <w:sz w:val="24"/>
          <w:szCs w:val="24"/>
          <w:lang w:val="en-US" w:eastAsia="zh-CN" w:bidi="ar-SA"/>
        </w:rPr>
        <w:t xml:space="preserve">5  </w:t>
      </w:r>
      <w:r>
        <w:rPr>
          <w:rFonts w:hint="eastAsia" w:ascii="黑体" w:hAnsi="黑体" w:eastAsia="黑体" w:cs="Times New Roman"/>
          <w:sz w:val="24"/>
          <w:szCs w:val="24"/>
          <w:lang w:val="en-US" w:eastAsia="zh-CN" w:bidi="ar-SA"/>
        </w:rPr>
        <w:t>植被指数</w:t>
      </w:r>
    </w:p>
    <w:p w14:paraId="51837B9F">
      <w:pPr>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用于水稻</w:t>
      </w:r>
      <w:r>
        <w:rPr>
          <w:rFonts w:hint="eastAsia" w:ascii="Times New Roman" w:hAnsi="Times New Roman" w:eastAsia="宋体" w:cs="Times New Roman"/>
          <w:sz w:val="24"/>
          <w:szCs w:val="24"/>
          <w:lang w:val="en-US" w:eastAsia="zh-CN"/>
        </w:rPr>
        <w:t>苗情监</w:t>
      </w:r>
      <w:r>
        <w:rPr>
          <w:rFonts w:hint="eastAsia" w:ascii="Times New Roman" w:hAnsi="Times New Roman" w:eastAsia="宋体" w:cs="Times New Roman"/>
          <w:sz w:val="24"/>
          <w:szCs w:val="24"/>
        </w:rPr>
        <w:t>测的植被指数如表1所示。</w:t>
      </w:r>
    </w:p>
    <w:p w14:paraId="2774873B">
      <w:pPr>
        <w:ind w:firstLine="0" w:firstLineChars="0"/>
        <w:jc w:val="center"/>
        <w:rPr>
          <w:rFonts w:ascii="黑体" w:hAnsi="黑体" w:eastAsia="黑体" w:cs="Times New Roman"/>
          <w:sz w:val="24"/>
          <w:szCs w:val="24"/>
        </w:rPr>
      </w:pPr>
      <w:r>
        <w:rPr>
          <w:rFonts w:hint="eastAsia" w:ascii="黑体" w:hAnsi="黑体" w:eastAsia="黑体" w:cs="Times New Roman"/>
          <w:sz w:val="24"/>
          <w:szCs w:val="24"/>
        </w:rPr>
        <w:t>表1</w:t>
      </w:r>
      <w:r>
        <w:rPr>
          <w:rFonts w:ascii="黑体" w:hAnsi="黑体" w:eastAsia="黑体" w:cs="Times New Roman"/>
          <w:sz w:val="24"/>
          <w:szCs w:val="24"/>
        </w:rPr>
        <w:t xml:space="preserve"> </w:t>
      </w:r>
      <w:r>
        <w:rPr>
          <w:rFonts w:hint="eastAsia" w:ascii="黑体" w:hAnsi="黑体" w:eastAsia="黑体" w:cs="Times New Roman"/>
          <w:sz w:val="24"/>
          <w:szCs w:val="24"/>
        </w:rPr>
        <w:t>植被指数</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1"/>
        <w:gridCol w:w="816"/>
        <w:gridCol w:w="4237"/>
      </w:tblGrid>
      <w:tr w14:paraId="1EFEE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5E793479">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名称</w:t>
            </w:r>
          </w:p>
        </w:tc>
        <w:tc>
          <w:tcPr>
            <w:tcW w:w="567" w:type="dxa"/>
            <w:vAlign w:val="center"/>
          </w:tcPr>
          <w:p w14:paraId="6ADEFDB1">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简写</w:t>
            </w:r>
          </w:p>
        </w:tc>
        <w:tc>
          <w:tcPr>
            <w:tcW w:w="4247" w:type="dxa"/>
            <w:vAlign w:val="center"/>
          </w:tcPr>
          <w:p w14:paraId="07B7532F">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计算公式</w:t>
            </w:r>
          </w:p>
        </w:tc>
      </w:tr>
      <w:tr w14:paraId="6260F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3476DB5C">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归一化植被指数（</w:t>
            </w:r>
            <w:r>
              <w:rPr>
                <w:rFonts w:ascii="宋体" w:hAnsi="宋体" w:eastAsia="宋体" w:cs="Times New Roman"/>
                <w:sz w:val="24"/>
                <w:szCs w:val="24"/>
              </w:rPr>
              <w:t>Normalized Difference</w:t>
            </w:r>
            <w:r>
              <w:rPr>
                <w:rFonts w:hint="eastAsia" w:ascii="宋体" w:hAnsi="宋体" w:eastAsia="宋体" w:cs="Times New Roman"/>
                <w:sz w:val="24"/>
                <w:szCs w:val="24"/>
              </w:rPr>
              <w:t xml:space="preserve"> </w:t>
            </w:r>
            <w:r>
              <w:rPr>
                <w:rFonts w:ascii="宋体" w:hAnsi="宋体" w:eastAsia="宋体" w:cs="Times New Roman"/>
                <w:sz w:val="24"/>
                <w:szCs w:val="24"/>
              </w:rPr>
              <w:t>Vegetation Index</w:t>
            </w:r>
            <w:r>
              <w:rPr>
                <w:rFonts w:hint="eastAsia" w:ascii="宋体" w:hAnsi="宋体" w:eastAsia="宋体" w:cs="Times New Roman"/>
                <w:sz w:val="24"/>
                <w:szCs w:val="24"/>
              </w:rPr>
              <w:t>）</w:t>
            </w:r>
          </w:p>
        </w:tc>
        <w:tc>
          <w:tcPr>
            <w:tcW w:w="567" w:type="dxa"/>
            <w:vAlign w:val="center"/>
          </w:tcPr>
          <w:p w14:paraId="4ECA2E5D">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N</w:t>
            </w:r>
            <w:r>
              <w:rPr>
                <w:rFonts w:ascii="宋体" w:hAnsi="宋体" w:eastAsia="宋体" w:cs="Times New Roman"/>
                <w:sz w:val="24"/>
                <w:szCs w:val="24"/>
              </w:rPr>
              <w:t>DVI</w:t>
            </w:r>
          </w:p>
        </w:tc>
        <w:tc>
          <w:tcPr>
            <w:tcW w:w="4247" w:type="dxa"/>
            <w:vAlign w:val="center"/>
          </w:tcPr>
          <w:p w14:paraId="3D618CBD">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NDVI=</m:t>
                </m:r>
                <m:f>
                  <m:fPr>
                    <m:ctrlPr>
                      <w:rPr>
                        <w:rFonts w:hint="default" w:ascii="Cambria Math" w:hAnsi="Cambria Math"/>
                        <w:i/>
                        <w:sz w:val="24"/>
                        <w:szCs w:val="24"/>
                      </w:rPr>
                    </m:ctrlPr>
                  </m:fPr>
                  <m:num>
                    <m:r>
                      <m:rPr/>
                      <w:rPr>
                        <w:rFonts w:hint="default" w:ascii="Cambria Math" w:hAnsi="Cambria Math"/>
                        <w:sz w:val="24"/>
                        <w:szCs w:val="24"/>
                      </w:rPr>
                      <m:t>NIR−Red</m:t>
                    </m:r>
                    <m:ctrlPr>
                      <w:rPr>
                        <w:rFonts w:hint="default" w:ascii="Cambria Math" w:hAnsi="Cambria Math"/>
                        <w:i/>
                        <w:sz w:val="24"/>
                        <w:szCs w:val="24"/>
                      </w:rPr>
                    </m:ctrlPr>
                  </m:num>
                  <m:den>
                    <m:r>
                      <m:rPr/>
                      <w:rPr>
                        <w:rFonts w:hint="default" w:ascii="Cambria Math" w:hAnsi="Cambria Math"/>
                        <w:sz w:val="24"/>
                        <w:szCs w:val="24"/>
                      </w:rPr>
                      <m:t>NIR+Red</m:t>
                    </m:r>
                    <m:ctrlPr>
                      <w:rPr>
                        <w:rFonts w:hint="default" w:ascii="Cambria Math" w:hAnsi="Cambria Math"/>
                        <w:i/>
                        <w:sz w:val="24"/>
                        <w:szCs w:val="24"/>
                      </w:rPr>
                    </m:ctrlPr>
                  </m:den>
                </m:f>
              </m:oMath>
            </m:oMathPara>
          </w:p>
        </w:tc>
      </w:tr>
      <w:tr w14:paraId="27005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3D1D445E">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增强型植被指数（En</w:t>
            </w:r>
            <w:r>
              <w:rPr>
                <w:rFonts w:ascii="宋体" w:hAnsi="宋体" w:eastAsia="宋体" w:cs="Times New Roman"/>
                <w:sz w:val="24"/>
                <w:szCs w:val="24"/>
              </w:rPr>
              <w:t>hanced Vegetation Index</w:t>
            </w:r>
            <w:r>
              <w:rPr>
                <w:rFonts w:hint="eastAsia" w:ascii="宋体" w:hAnsi="宋体" w:eastAsia="宋体" w:cs="Times New Roman"/>
                <w:sz w:val="24"/>
                <w:szCs w:val="24"/>
              </w:rPr>
              <w:t>）</w:t>
            </w:r>
          </w:p>
        </w:tc>
        <w:tc>
          <w:tcPr>
            <w:tcW w:w="567" w:type="dxa"/>
            <w:vAlign w:val="center"/>
          </w:tcPr>
          <w:p w14:paraId="26D48D3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E</w:t>
            </w:r>
            <w:r>
              <w:rPr>
                <w:rFonts w:ascii="宋体" w:hAnsi="宋体" w:eastAsia="宋体" w:cs="Times New Roman"/>
                <w:sz w:val="24"/>
                <w:szCs w:val="24"/>
              </w:rPr>
              <w:t>VI</w:t>
            </w:r>
          </w:p>
        </w:tc>
        <w:tc>
          <w:tcPr>
            <w:tcW w:w="4247" w:type="dxa"/>
            <w:vAlign w:val="center"/>
          </w:tcPr>
          <w:p w14:paraId="433A19E6">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EVI=</m:t>
                </m:r>
                <m:f>
                  <m:fPr>
                    <m:ctrlPr>
                      <w:rPr>
                        <w:rFonts w:hint="default" w:ascii="Cambria Math" w:hAnsi="Cambria Math"/>
                        <w:i/>
                        <w:sz w:val="24"/>
                        <w:szCs w:val="24"/>
                      </w:rPr>
                    </m:ctrlPr>
                  </m:fPr>
                  <m:num>
                    <m:r>
                      <m:rPr/>
                      <w:rPr>
                        <w:rFonts w:hint="default" w:ascii="Cambria Math" w:hAnsi="Cambria Math"/>
                        <w:sz w:val="24"/>
                        <w:szCs w:val="24"/>
                      </w:rPr>
                      <m:t>NIR−R</m:t>
                    </m:r>
                    <m:r>
                      <m:rPr/>
                      <w:rPr>
                        <w:rFonts w:hint="eastAsia" w:ascii="Cambria Math" w:hAnsi="Cambria Math"/>
                        <w:sz w:val="24"/>
                        <w:szCs w:val="24"/>
                      </w:rPr>
                      <m:t>ed</m:t>
                    </m:r>
                    <m:ctrlPr>
                      <w:rPr>
                        <w:rFonts w:hint="default" w:ascii="Cambria Math" w:hAnsi="Cambria Math"/>
                        <w:i/>
                        <w:sz w:val="24"/>
                        <w:szCs w:val="24"/>
                      </w:rPr>
                    </m:ctrlPr>
                  </m:num>
                  <m:den>
                    <m:r>
                      <m:rPr/>
                      <w:rPr>
                        <w:rFonts w:hint="default" w:ascii="Cambria Math" w:hAnsi="Cambria Math"/>
                        <w:sz w:val="24"/>
                        <w:szCs w:val="24"/>
                      </w:rPr>
                      <m:t>NIR+6R</m:t>
                    </m:r>
                    <m:r>
                      <m:rPr/>
                      <w:rPr>
                        <w:rFonts w:hint="eastAsia" w:ascii="Cambria Math" w:hAnsi="Cambria Math"/>
                        <w:sz w:val="24"/>
                        <w:szCs w:val="24"/>
                      </w:rPr>
                      <m:t>ed</m:t>
                    </m:r>
                    <m:r>
                      <m:rPr/>
                      <w:rPr>
                        <w:rFonts w:hint="default" w:ascii="Cambria Math" w:hAnsi="Cambria Math"/>
                        <w:sz w:val="24"/>
                        <w:szCs w:val="24"/>
                      </w:rPr>
                      <m:t>−7.5B</m:t>
                    </m:r>
                    <m:r>
                      <m:rPr/>
                      <w:rPr>
                        <w:rFonts w:hint="eastAsia" w:ascii="Cambria Math" w:hAnsi="Cambria Math"/>
                        <w:sz w:val="24"/>
                        <w:szCs w:val="24"/>
                      </w:rPr>
                      <m:t>lue</m:t>
                    </m:r>
                    <m:r>
                      <m:rPr/>
                      <w:rPr>
                        <w:rFonts w:hint="default" w:ascii="Cambria Math" w:hAnsi="Cambria Math"/>
                        <w:sz w:val="24"/>
                        <w:szCs w:val="24"/>
                      </w:rPr>
                      <m:t>+1</m:t>
                    </m:r>
                    <m:ctrlPr>
                      <w:rPr>
                        <w:rFonts w:hint="default" w:ascii="Cambria Math" w:hAnsi="Cambria Math"/>
                        <w:i/>
                        <w:sz w:val="24"/>
                        <w:szCs w:val="24"/>
                      </w:rPr>
                    </m:ctrlPr>
                  </m:den>
                </m:f>
                <m:r>
                  <m:rPr/>
                  <w:rPr>
                    <w:rFonts w:hint="default" w:ascii="Cambria Math" w:hAnsi="Cambria Math"/>
                    <w:sz w:val="24"/>
                    <w:szCs w:val="24"/>
                  </w:rPr>
                  <m:t>×2.5</m:t>
                </m:r>
              </m:oMath>
            </m:oMathPara>
          </w:p>
        </w:tc>
      </w:tr>
      <w:tr w14:paraId="61A16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5359D9E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绿色归一化植被植被指数（G</w:t>
            </w:r>
            <w:r>
              <w:rPr>
                <w:rFonts w:ascii="宋体" w:hAnsi="宋体" w:eastAsia="宋体" w:cs="Times New Roman"/>
                <w:sz w:val="24"/>
                <w:szCs w:val="24"/>
              </w:rPr>
              <w:t>reen Normalized Difference Vegetation</w:t>
            </w:r>
            <w:r>
              <w:rPr>
                <w:rFonts w:hint="eastAsia" w:ascii="宋体" w:hAnsi="宋体" w:eastAsia="宋体" w:cs="Times New Roman"/>
                <w:sz w:val="24"/>
                <w:szCs w:val="24"/>
              </w:rPr>
              <w:t>）</w:t>
            </w:r>
          </w:p>
        </w:tc>
        <w:tc>
          <w:tcPr>
            <w:tcW w:w="567" w:type="dxa"/>
            <w:vAlign w:val="center"/>
          </w:tcPr>
          <w:p w14:paraId="39093B13">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G</w:t>
            </w:r>
            <w:r>
              <w:rPr>
                <w:rFonts w:ascii="宋体" w:hAnsi="宋体" w:eastAsia="宋体" w:cs="Times New Roman"/>
                <w:sz w:val="24"/>
                <w:szCs w:val="24"/>
              </w:rPr>
              <w:t>NDVI</w:t>
            </w:r>
          </w:p>
        </w:tc>
        <w:tc>
          <w:tcPr>
            <w:tcW w:w="4247" w:type="dxa"/>
            <w:vAlign w:val="center"/>
          </w:tcPr>
          <w:p w14:paraId="322C1EAC">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GNDVI=</m:t>
                </m:r>
                <m:f>
                  <m:fPr>
                    <m:ctrlPr>
                      <w:rPr>
                        <w:rFonts w:hint="default" w:ascii="Cambria Math" w:hAnsi="Cambria Math"/>
                        <w:i/>
                        <w:sz w:val="24"/>
                        <w:szCs w:val="24"/>
                      </w:rPr>
                    </m:ctrlPr>
                  </m:fPr>
                  <m:num>
                    <m:r>
                      <m:rPr/>
                      <w:rPr>
                        <w:rFonts w:hint="default" w:ascii="Cambria Math" w:hAnsi="Cambria Math"/>
                        <w:sz w:val="24"/>
                        <w:szCs w:val="24"/>
                      </w:rPr>
                      <m:t>NIR−G</m:t>
                    </m:r>
                    <m:r>
                      <m:rPr/>
                      <w:rPr>
                        <w:rFonts w:hint="eastAsia" w:ascii="Cambria Math" w:hAnsi="Cambria Math"/>
                        <w:sz w:val="24"/>
                        <w:szCs w:val="24"/>
                      </w:rPr>
                      <m:t>reen</m:t>
                    </m:r>
                    <m:ctrlPr>
                      <w:rPr>
                        <w:rFonts w:hint="default" w:ascii="Cambria Math" w:hAnsi="Cambria Math"/>
                        <w:i/>
                        <w:sz w:val="24"/>
                        <w:szCs w:val="24"/>
                      </w:rPr>
                    </m:ctrlPr>
                  </m:num>
                  <m:den>
                    <m:r>
                      <m:rPr/>
                      <w:rPr>
                        <w:rFonts w:hint="default" w:ascii="Cambria Math" w:hAnsi="Cambria Math"/>
                        <w:sz w:val="24"/>
                        <w:szCs w:val="24"/>
                      </w:rPr>
                      <m:t>NIR+G</m:t>
                    </m:r>
                    <m:r>
                      <m:rPr/>
                      <w:rPr>
                        <w:rFonts w:hint="eastAsia" w:ascii="Cambria Math" w:hAnsi="Cambria Math"/>
                        <w:sz w:val="24"/>
                        <w:szCs w:val="24"/>
                      </w:rPr>
                      <m:t>reen</m:t>
                    </m:r>
                    <m:ctrlPr>
                      <w:rPr>
                        <w:rFonts w:hint="default" w:ascii="Cambria Math" w:hAnsi="Cambria Math"/>
                        <w:i/>
                        <w:sz w:val="24"/>
                        <w:szCs w:val="24"/>
                      </w:rPr>
                    </m:ctrlPr>
                  </m:den>
                </m:f>
              </m:oMath>
            </m:oMathPara>
          </w:p>
        </w:tc>
      </w:tr>
      <w:tr w14:paraId="4DC20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08DF5B8A">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绿色抗大气植被指数（G</w:t>
            </w:r>
            <w:r>
              <w:rPr>
                <w:rFonts w:ascii="宋体" w:hAnsi="宋体" w:eastAsia="宋体" w:cs="Times New Roman"/>
                <w:sz w:val="24"/>
                <w:szCs w:val="24"/>
              </w:rPr>
              <w:t>reen Atmospherically Resistant Vegetation Index</w:t>
            </w:r>
            <w:r>
              <w:rPr>
                <w:rFonts w:hint="eastAsia" w:ascii="宋体" w:hAnsi="宋体" w:eastAsia="宋体" w:cs="Times New Roman"/>
                <w:sz w:val="24"/>
                <w:szCs w:val="24"/>
              </w:rPr>
              <w:t>）</w:t>
            </w:r>
          </w:p>
        </w:tc>
        <w:tc>
          <w:tcPr>
            <w:tcW w:w="567" w:type="dxa"/>
            <w:vAlign w:val="center"/>
          </w:tcPr>
          <w:p w14:paraId="7BC77BFF">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G</w:t>
            </w:r>
            <w:r>
              <w:rPr>
                <w:rFonts w:ascii="宋体" w:hAnsi="宋体" w:eastAsia="宋体" w:cs="Times New Roman"/>
                <w:sz w:val="24"/>
                <w:szCs w:val="24"/>
              </w:rPr>
              <w:t>ARVI</w:t>
            </w:r>
          </w:p>
        </w:tc>
        <w:tc>
          <w:tcPr>
            <w:tcW w:w="4247" w:type="dxa"/>
            <w:vAlign w:val="center"/>
          </w:tcPr>
          <w:p w14:paraId="2EECCEB0">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GARVI=</m:t>
                </m:r>
                <m:f>
                  <m:fPr>
                    <m:ctrlPr>
                      <w:rPr>
                        <w:rFonts w:hint="default" w:ascii="Cambria Math" w:hAnsi="Cambria Math"/>
                        <w:i/>
                        <w:sz w:val="24"/>
                        <w:szCs w:val="24"/>
                      </w:rPr>
                    </m:ctrlPr>
                  </m:fPr>
                  <m:num>
                    <m:r>
                      <m:rPr/>
                      <w:rPr>
                        <w:rFonts w:hint="default" w:ascii="Cambria Math" w:hAnsi="Cambria Math"/>
                        <w:sz w:val="24"/>
                        <w:szCs w:val="24"/>
                      </w:rPr>
                      <m:t>NIR−</m:t>
                    </m:r>
                    <m:d>
                      <m:dPr>
                        <m:ctrlPr>
                          <w:rPr>
                            <w:rFonts w:hint="default" w:ascii="Cambria Math" w:hAnsi="Cambria Math"/>
                            <w:i/>
                            <w:sz w:val="24"/>
                            <w:szCs w:val="24"/>
                          </w:rPr>
                        </m:ctrlPr>
                      </m:dPr>
                      <m:e>
                        <m:r>
                          <m:rPr/>
                          <w:rPr>
                            <w:rFonts w:hint="default" w:ascii="Cambria Math" w:hAnsi="Cambria Math"/>
                            <w:sz w:val="24"/>
                            <w:szCs w:val="24"/>
                          </w:rPr>
                          <m:t>G</m:t>
                        </m:r>
                        <m:r>
                          <m:rPr/>
                          <w:rPr>
                            <w:rFonts w:hint="eastAsia" w:ascii="Cambria Math" w:hAnsi="Cambria Math"/>
                            <w:sz w:val="24"/>
                            <w:szCs w:val="24"/>
                          </w:rPr>
                          <m:t>reen</m:t>
                        </m:r>
                        <m:r>
                          <m:rPr/>
                          <w:rPr>
                            <w:rFonts w:hint="default" w:ascii="Cambria Math" w:hAnsi="Cambria Math"/>
                            <w:sz w:val="24"/>
                            <w:szCs w:val="24"/>
                          </w:rPr>
                          <m:t>−B</m:t>
                        </m:r>
                        <m:r>
                          <m:rPr/>
                          <w:rPr>
                            <w:rFonts w:hint="eastAsia" w:ascii="Cambria Math" w:hAnsi="Cambria Math"/>
                            <w:sz w:val="24"/>
                            <w:szCs w:val="24"/>
                          </w:rPr>
                          <m:t>lue</m:t>
                        </m:r>
                        <m:r>
                          <m:rPr/>
                          <w:rPr>
                            <w:rFonts w:hint="default" w:ascii="Cambria Math" w:hAnsi="Cambria Math"/>
                            <w:sz w:val="24"/>
                            <w:szCs w:val="24"/>
                          </w:rPr>
                          <m:t>−B5</m:t>
                        </m:r>
                        <m:ctrlPr>
                          <w:rPr>
                            <w:rFonts w:hint="default" w:ascii="Cambria Math" w:hAnsi="Cambria Math"/>
                            <w:i/>
                            <w:sz w:val="24"/>
                            <w:szCs w:val="24"/>
                          </w:rPr>
                        </m:ctrlPr>
                      </m:e>
                    </m:d>
                    <m:ctrlPr>
                      <w:rPr>
                        <w:rFonts w:hint="default" w:ascii="Cambria Math" w:hAnsi="Cambria Math"/>
                        <w:i/>
                        <w:sz w:val="24"/>
                        <w:szCs w:val="24"/>
                      </w:rPr>
                    </m:ctrlPr>
                  </m:num>
                  <m:den>
                    <m:r>
                      <m:rPr/>
                      <w:rPr>
                        <w:rFonts w:hint="default" w:ascii="Cambria Math" w:hAnsi="Cambria Math"/>
                        <w:sz w:val="24"/>
                        <w:szCs w:val="24"/>
                      </w:rPr>
                      <m:t>NIR−</m:t>
                    </m:r>
                    <m:d>
                      <m:dPr>
                        <m:ctrlPr>
                          <w:rPr>
                            <w:rFonts w:hint="default" w:ascii="Cambria Math" w:hAnsi="Cambria Math"/>
                            <w:i/>
                            <w:sz w:val="24"/>
                            <w:szCs w:val="24"/>
                          </w:rPr>
                        </m:ctrlPr>
                      </m:dPr>
                      <m:e>
                        <m:r>
                          <m:rPr/>
                          <w:rPr>
                            <w:rFonts w:hint="default" w:ascii="Cambria Math" w:hAnsi="Cambria Math"/>
                            <w:sz w:val="24"/>
                            <w:szCs w:val="24"/>
                          </w:rPr>
                          <m:t>G</m:t>
                        </m:r>
                        <m:r>
                          <m:rPr/>
                          <w:rPr>
                            <w:rFonts w:hint="eastAsia" w:ascii="Cambria Math" w:hAnsi="Cambria Math"/>
                            <w:sz w:val="24"/>
                            <w:szCs w:val="24"/>
                          </w:rPr>
                          <m:t>reen</m:t>
                        </m:r>
                        <m:r>
                          <m:rPr/>
                          <w:rPr>
                            <w:rFonts w:hint="default" w:ascii="Cambria Math" w:hAnsi="Cambria Math"/>
                            <w:sz w:val="24"/>
                            <w:szCs w:val="24"/>
                          </w:rPr>
                          <m:t>+B</m:t>
                        </m:r>
                        <m:r>
                          <m:rPr/>
                          <w:rPr>
                            <w:rFonts w:hint="eastAsia" w:ascii="Cambria Math" w:hAnsi="Cambria Math"/>
                            <w:sz w:val="24"/>
                            <w:szCs w:val="24"/>
                          </w:rPr>
                          <m:t>lue</m:t>
                        </m:r>
                        <m:r>
                          <m:rPr/>
                          <w:rPr>
                            <w:rFonts w:hint="default" w:ascii="Cambria Math" w:hAnsi="Cambria Math"/>
                            <w:sz w:val="24"/>
                            <w:szCs w:val="24"/>
                          </w:rPr>
                          <m:t>−B5</m:t>
                        </m:r>
                        <m:ctrlPr>
                          <w:rPr>
                            <w:rFonts w:hint="default" w:ascii="Cambria Math" w:hAnsi="Cambria Math"/>
                            <w:i/>
                            <w:sz w:val="24"/>
                            <w:szCs w:val="24"/>
                          </w:rPr>
                        </m:ctrlPr>
                      </m:e>
                    </m:d>
                    <m:ctrlPr>
                      <w:rPr>
                        <w:rFonts w:hint="default" w:ascii="Cambria Math" w:hAnsi="Cambria Math"/>
                        <w:i/>
                        <w:sz w:val="24"/>
                        <w:szCs w:val="24"/>
                      </w:rPr>
                    </m:ctrlPr>
                  </m:den>
                </m:f>
              </m:oMath>
            </m:oMathPara>
          </w:p>
        </w:tc>
      </w:tr>
      <w:tr w14:paraId="406B8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26F5AD3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归一化红边指数（N</w:t>
            </w:r>
            <w:r>
              <w:rPr>
                <w:rFonts w:ascii="宋体" w:hAnsi="宋体" w:eastAsia="宋体" w:cs="Times New Roman"/>
                <w:sz w:val="24"/>
                <w:szCs w:val="24"/>
              </w:rPr>
              <w:t>ormalized Difference Red-Edge</w:t>
            </w:r>
            <w:r>
              <w:rPr>
                <w:rFonts w:hint="eastAsia" w:ascii="宋体" w:hAnsi="宋体" w:eastAsia="宋体" w:cs="Times New Roman"/>
                <w:sz w:val="24"/>
                <w:szCs w:val="24"/>
              </w:rPr>
              <w:t>）</w:t>
            </w:r>
          </w:p>
        </w:tc>
        <w:tc>
          <w:tcPr>
            <w:tcW w:w="567" w:type="dxa"/>
            <w:vAlign w:val="center"/>
          </w:tcPr>
          <w:p w14:paraId="3A02B5ED">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N</w:t>
            </w:r>
            <w:r>
              <w:rPr>
                <w:rFonts w:ascii="宋体" w:hAnsi="宋体" w:eastAsia="宋体" w:cs="Times New Roman"/>
                <w:sz w:val="24"/>
                <w:szCs w:val="24"/>
              </w:rPr>
              <w:t>DRE</w:t>
            </w:r>
          </w:p>
        </w:tc>
        <w:tc>
          <w:tcPr>
            <w:tcW w:w="4247" w:type="dxa"/>
            <w:vAlign w:val="center"/>
          </w:tcPr>
          <w:p w14:paraId="150A1F9D">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NDRE=</m:t>
                </m:r>
                <m:f>
                  <m:fPr>
                    <m:ctrlPr>
                      <w:rPr>
                        <w:rFonts w:hint="default" w:ascii="Cambria Math" w:hAnsi="Cambria Math"/>
                        <w:i/>
                        <w:sz w:val="24"/>
                        <w:szCs w:val="24"/>
                      </w:rPr>
                    </m:ctrlPr>
                  </m:fPr>
                  <m:num>
                    <m:r>
                      <m:rPr/>
                      <w:rPr>
                        <w:rFonts w:hint="default" w:ascii="Cambria Math" w:hAnsi="Cambria Math"/>
                        <w:sz w:val="24"/>
                        <w:szCs w:val="24"/>
                      </w:rPr>
                      <m:t>NIR−B5</m:t>
                    </m:r>
                    <m:ctrlPr>
                      <w:rPr>
                        <w:rFonts w:hint="default" w:ascii="Cambria Math" w:hAnsi="Cambria Math"/>
                        <w:i/>
                        <w:sz w:val="24"/>
                        <w:szCs w:val="24"/>
                      </w:rPr>
                    </m:ctrlPr>
                  </m:num>
                  <m:den>
                    <m:r>
                      <m:rPr/>
                      <w:rPr>
                        <w:rFonts w:hint="default" w:ascii="Cambria Math" w:hAnsi="Cambria Math"/>
                        <w:sz w:val="24"/>
                        <w:szCs w:val="24"/>
                      </w:rPr>
                      <m:t>NIR+B5</m:t>
                    </m:r>
                    <m:ctrlPr>
                      <w:rPr>
                        <w:rFonts w:hint="default" w:ascii="Cambria Math" w:hAnsi="Cambria Math"/>
                        <w:i/>
                        <w:sz w:val="24"/>
                        <w:szCs w:val="24"/>
                      </w:rPr>
                    </m:ctrlPr>
                  </m:den>
                </m:f>
              </m:oMath>
            </m:oMathPara>
          </w:p>
        </w:tc>
      </w:tr>
      <w:tr w14:paraId="6FFDC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475BC85F">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修正土壤调节植被指数（</w:t>
            </w:r>
            <w:r>
              <w:rPr>
                <w:rFonts w:ascii="宋体" w:hAnsi="宋体" w:eastAsia="宋体" w:cs="Times New Roman"/>
                <w:sz w:val="24"/>
                <w:szCs w:val="24"/>
              </w:rPr>
              <w:t>Optimized Soil</w:t>
            </w:r>
            <w:r>
              <w:rPr>
                <w:rFonts w:hint="eastAsia" w:ascii="宋体" w:hAnsi="宋体" w:eastAsia="宋体" w:cs="Times New Roman"/>
                <w:sz w:val="24"/>
                <w:szCs w:val="24"/>
              </w:rPr>
              <w:t xml:space="preserve"> </w:t>
            </w:r>
            <w:r>
              <w:rPr>
                <w:rFonts w:ascii="宋体" w:hAnsi="宋体" w:eastAsia="宋体" w:cs="Times New Roman"/>
                <w:sz w:val="24"/>
                <w:szCs w:val="24"/>
              </w:rPr>
              <w:t>Adjusted Vegetation Index</w:t>
            </w:r>
            <w:r>
              <w:rPr>
                <w:rFonts w:hint="eastAsia" w:ascii="宋体" w:hAnsi="宋体" w:eastAsia="宋体" w:cs="Times New Roman"/>
                <w:sz w:val="24"/>
                <w:szCs w:val="24"/>
              </w:rPr>
              <w:t>）</w:t>
            </w:r>
          </w:p>
        </w:tc>
        <w:tc>
          <w:tcPr>
            <w:tcW w:w="567" w:type="dxa"/>
            <w:vAlign w:val="center"/>
          </w:tcPr>
          <w:p w14:paraId="2722BEF4">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O</w:t>
            </w:r>
            <w:r>
              <w:rPr>
                <w:rFonts w:ascii="宋体" w:hAnsi="宋体" w:eastAsia="宋体" w:cs="Times New Roman"/>
                <w:sz w:val="24"/>
                <w:szCs w:val="24"/>
              </w:rPr>
              <w:t>SAVI</w:t>
            </w:r>
          </w:p>
        </w:tc>
        <w:tc>
          <w:tcPr>
            <w:tcW w:w="4247" w:type="dxa"/>
            <w:vAlign w:val="center"/>
          </w:tcPr>
          <w:p w14:paraId="7B045354">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OSAVI=</m:t>
                </m:r>
                <m:d>
                  <m:dPr>
                    <m:ctrlPr>
                      <w:rPr>
                        <w:rFonts w:hint="default" w:ascii="Cambria Math" w:hAnsi="Cambria Math"/>
                        <w:i/>
                        <w:sz w:val="24"/>
                        <w:szCs w:val="24"/>
                      </w:rPr>
                    </m:ctrlPr>
                  </m:dPr>
                  <m:e>
                    <m:r>
                      <m:rPr/>
                      <w:rPr>
                        <w:rFonts w:hint="default" w:ascii="Cambria Math" w:hAnsi="Cambria Math"/>
                        <w:sz w:val="24"/>
                        <w:szCs w:val="24"/>
                      </w:rPr>
                      <m:t>1+0.16</m:t>
                    </m:r>
                    <m:ctrlPr>
                      <w:rPr>
                        <w:rFonts w:hint="default" w:ascii="Cambria Math" w:hAnsi="Cambria Math"/>
                        <w:i/>
                        <w:sz w:val="24"/>
                        <w:szCs w:val="24"/>
                      </w:rPr>
                    </m:ctrlPr>
                  </m:e>
                </m:d>
                <m:r>
                  <m:rPr/>
                  <w:rPr>
                    <w:rFonts w:hint="default" w:ascii="Cambria Math" w:hAnsi="Cambria Math"/>
                    <w:sz w:val="24"/>
                    <w:szCs w:val="24"/>
                  </w:rPr>
                  <m:t>×</m:t>
                </m:r>
                <m:f>
                  <m:fPr>
                    <m:ctrlPr>
                      <w:rPr>
                        <w:rFonts w:hint="default" w:ascii="Cambria Math" w:hAnsi="Cambria Math"/>
                        <w:i/>
                        <w:sz w:val="24"/>
                        <w:szCs w:val="24"/>
                      </w:rPr>
                    </m:ctrlPr>
                  </m:fPr>
                  <m:num>
                    <m:d>
                      <m:dPr>
                        <m:ctrlPr>
                          <w:rPr>
                            <w:rFonts w:hint="default" w:ascii="Cambria Math" w:hAnsi="Cambria Math"/>
                            <w:i/>
                            <w:sz w:val="24"/>
                            <w:szCs w:val="24"/>
                          </w:rPr>
                        </m:ctrlPr>
                      </m:dPr>
                      <m:e>
                        <m:r>
                          <m:rPr/>
                          <w:rPr>
                            <w:rFonts w:hint="default" w:ascii="Cambria Math" w:hAnsi="Cambria Math"/>
                            <w:sz w:val="24"/>
                            <w:szCs w:val="24"/>
                          </w:rPr>
                          <m:t>NIR−Red</m:t>
                        </m:r>
                        <m:ctrlPr>
                          <w:rPr>
                            <w:rFonts w:hint="default" w:ascii="Cambria Math" w:hAnsi="Cambria Math"/>
                            <w:i/>
                            <w:sz w:val="24"/>
                            <w:szCs w:val="24"/>
                          </w:rPr>
                        </m:ctrlPr>
                      </m:e>
                    </m:d>
                    <m:ctrlPr>
                      <w:rPr>
                        <w:rFonts w:hint="default" w:ascii="Cambria Math" w:hAnsi="Cambria Math"/>
                        <w:i/>
                        <w:sz w:val="24"/>
                        <w:szCs w:val="24"/>
                      </w:rPr>
                    </m:ctrlPr>
                  </m:num>
                  <m:den>
                    <m:d>
                      <m:dPr>
                        <m:ctrlPr>
                          <w:rPr>
                            <w:rFonts w:hint="default" w:ascii="Cambria Math" w:hAnsi="Cambria Math"/>
                            <w:i/>
                            <w:sz w:val="24"/>
                            <w:szCs w:val="24"/>
                          </w:rPr>
                        </m:ctrlPr>
                      </m:dPr>
                      <m:e>
                        <m:r>
                          <m:rPr/>
                          <w:rPr>
                            <w:rFonts w:hint="default" w:ascii="Cambria Math" w:hAnsi="Cambria Math"/>
                            <w:sz w:val="24"/>
                            <w:szCs w:val="24"/>
                          </w:rPr>
                          <m:t>NIR+Red+0.16</m:t>
                        </m:r>
                        <m:ctrlPr>
                          <w:rPr>
                            <w:rFonts w:hint="default" w:ascii="Cambria Math" w:hAnsi="Cambria Math"/>
                            <w:i/>
                            <w:sz w:val="24"/>
                            <w:szCs w:val="24"/>
                          </w:rPr>
                        </m:ctrlPr>
                      </m:e>
                    </m:d>
                    <m:ctrlPr>
                      <w:rPr>
                        <w:rFonts w:hint="default" w:ascii="Cambria Math" w:hAnsi="Cambria Math"/>
                        <w:i/>
                        <w:sz w:val="24"/>
                        <w:szCs w:val="24"/>
                      </w:rPr>
                    </m:ctrlPr>
                  </m:den>
                </m:f>
              </m:oMath>
            </m:oMathPara>
          </w:p>
        </w:tc>
      </w:tr>
      <w:tr w14:paraId="4B197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4" w:type="dxa"/>
            <w:vAlign w:val="center"/>
          </w:tcPr>
          <w:p w14:paraId="40300572">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叶绿素植被指数（G</w:t>
            </w:r>
            <w:r>
              <w:rPr>
                <w:rFonts w:ascii="宋体" w:hAnsi="宋体" w:eastAsia="宋体" w:cs="Times New Roman"/>
                <w:sz w:val="24"/>
                <w:szCs w:val="24"/>
              </w:rPr>
              <w:t>reen Chlorophyll Vegetation I</w:t>
            </w:r>
            <w:r>
              <w:rPr>
                <w:rFonts w:hint="eastAsia" w:ascii="宋体" w:hAnsi="宋体" w:eastAsia="宋体" w:cs="Times New Roman"/>
                <w:sz w:val="24"/>
                <w:szCs w:val="24"/>
              </w:rPr>
              <w:t>ndex）</w:t>
            </w:r>
          </w:p>
        </w:tc>
        <w:tc>
          <w:tcPr>
            <w:tcW w:w="567" w:type="dxa"/>
            <w:vAlign w:val="center"/>
          </w:tcPr>
          <w:p w14:paraId="0D4DB0AC">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G</w:t>
            </w:r>
            <w:r>
              <w:rPr>
                <w:rFonts w:ascii="宋体" w:hAnsi="宋体" w:eastAsia="宋体" w:cs="Times New Roman"/>
                <w:sz w:val="24"/>
                <w:szCs w:val="24"/>
              </w:rPr>
              <w:t>CVI</w:t>
            </w:r>
          </w:p>
        </w:tc>
        <w:tc>
          <w:tcPr>
            <w:tcW w:w="4247" w:type="dxa"/>
            <w:vAlign w:val="center"/>
          </w:tcPr>
          <w:p w14:paraId="787F6A2F">
            <w:pPr>
              <w:ind w:firstLine="0" w:firstLineChars="0"/>
              <w:jc w:val="center"/>
              <w:rPr>
                <w:rFonts w:ascii="宋体" w:hAnsi="宋体" w:eastAsia="宋体" w:cs="Times New Roman"/>
                <w:sz w:val="24"/>
                <w:szCs w:val="24"/>
              </w:rPr>
            </w:pPr>
            <m:oMathPara>
              <m:oMath>
                <m:r>
                  <m:rPr/>
                  <w:rPr>
                    <w:rFonts w:hint="default" w:ascii="Cambria Math" w:hAnsi="Cambria Math"/>
                    <w:sz w:val="24"/>
                    <w:szCs w:val="24"/>
                  </w:rPr>
                  <m:t>GCVI=</m:t>
                </m:r>
                <m:d>
                  <m:dPr>
                    <m:ctrlPr>
                      <w:rPr>
                        <w:rFonts w:hint="default" w:ascii="Cambria Math" w:hAnsi="Cambria Math"/>
                        <w:i/>
                        <w:sz w:val="24"/>
                        <w:szCs w:val="24"/>
                      </w:rPr>
                    </m:ctrlPr>
                  </m:dPr>
                  <m:e>
                    <m:f>
                      <m:fPr>
                        <m:ctrlPr>
                          <w:rPr>
                            <w:rFonts w:hint="default" w:ascii="Cambria Math" w:hAnsi="Cambria Math"/>
                            <w:i/>
                            <w:sz w:val="24"/>
                            <w:szCs w:val="24"/>
                          </w:rPr>
                        </m:ctrlPr>
                      </m:fPr>
                      <m:num>
                        <m:r>
                          <m:rPr/>
                          <w:rPr>
                            <w:rFonts w:hint="default" w:ascii="Cambria Math" w:hAnsi="Cambria Math"/>
                            <w:sz w:val="24"/>
                            <w:szCs w:val="24"/>
                          </w:rPr>
                          <m:t>NIR</m:t>
                        </m:r>
                        <m:ctrlPr>
                          <w:rPr>
                            <w:rFonts w:hint="default" w:ascii="Cambria Math" w:hAnsi="Cambria Math"/>
                            <w:i/>
                            <w:sz w:val="24"/>
                            <w:szCs w:val="24"/>
                          </w:rPr>
                        </m:ctrlPr>
                      </m:num>
                      <m:den>
                        <m:r>
                          <m:rPr/>
                          <w:rPr>
                            <w:rFonts w:hint="default" w:ascii="Cambria Math" w:hAnsi="Cambria Math"/>
                            <w:sz w:val="24"/>
                            <w:szCs w:val="24"/>
                          </w:rPr>
                          <m:t>G</m:t>
                        </m:r>
                        <m:r>
                          <m:rPr/>
                          <w:rPr>
                            <w:rFonts w:hint="eastAsia" w:ascii="Cambria Math" w:hAnsi="Cambria Math"/>
                            <w:sz w:val="24"/>
                            <w:szCs w:val="24"/>
                          </w:rPr>
                          <m:t>reen</m:t>
                        </m:r>
                        <m:ctrlPr>
                          <w:rPr>
                            <w:rFonts w:hint="default" w:ascii="Cambria Math" w:hAnsi="Cambria Math"/>
                            <w:i/>
                            <w:sz w:val="24"/>
                            <w:szCs w:val="24"/>
                          </w:rPr>
                        </m:ctrlPr>
                      </m:den>
                    </m:f>
                    <m:ctrlPr>
                      <w:rPr>
                        <w:rFonts w:hint="default" w:ascii="Cambria Math" w:hAnsi="Cambria Math"/>
                        <w:i/>
                        <w:sz w:val="24"/>
                        <w:szCs w:val="24"/>
                      </w:rPr>
                    </m:ctrlPr>
                  </m:e>
                </m:d>
                <m:r>
                  <m:rPr/>
                  <w:rPr>
                    <w:rFonts w:hint="default" w:ascii="Cambria Math" w:hAnsi="Cambria Math"/>
                    <w:sz w:val="24"/>
                    <w:szCs w:val="24"/>
                  </w:rPr>
                  <m:t>−1</m:t>
                </m:r>
              </m:oMath>
            </m:oMathPara>
          </w:p>
        </w:tc>
      </w:tr>
    </w:tbl>
    <w:p w14:paraId="67CD7741">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.1.6  </w:t>
      </w:r>
      <w:r>
        <w:rPr>
          <w:rFonts w:hint="eastAsia" w:ascii="黑体" w:hAnsi="黑体" w:eastAsia="黑体" w:cs="Times New Roman"/>
          <w:sz w:val="24"/>
          <w:szCs w:val="24"/>
          <w:lang w:val="en-US" w:eastAsia="zh-CN" w:bidi="ar-SA"/>
        </w:rPr>
        <w:t>纹理参数</w:t>
      </w:r>
    </w:p>
    <w:p w14:paraId="6F2BA06C">
      <w:pPr>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用于水稻</w:t>
      </w:r>
      <w:r>
        <w:rPr>
          <w:rFonts w:hint="eastAsia" w:ascii="Times New Roman" w:hAnsi="Times New Roman" w:eastAsia="宋体" w:cs="Times New Roman"/>
          <w:sz w:val="24"/>
          <w:szCs w:val="24"/>
          <w:lang w:val="en-US" w:eastAsia="zh-CN"/>
        </w:rPr>
        <w:t>苗情监测</w:t>
      </w:r>
      <w:r>
        <w:rPr>
          <w:rFonts w:hint="eastAsia" w:ascii="Times New Roman" w:hAnsi="Times New Roman" w:eastAsia="宋体" w:cs="Times New Roman"/>
          <w:sz w:val="24"/>
          <w:szCs w:val="24"/>
        </w:rPr>
        <w:t>的纹理特征如表</w:t>
      </w:r>
      <w:r>
        <w:rPr>
          <w:rFonts w:ascii="Times New Roman" w:hAnsi="Times New Roman" w:eastAsia="宋体" w:cs="Times New Roman"/>
          <w:sz w:val="24"/>
          <w:szCs w:val="24"/>
        </w:rPr>
        <w:t>2</w:t>
      </w:r>
      <w:r>
        <w:rPr>
          <w:rFonts w:hint="eastAsia" w:ascii="Times New Roman" w:hAnsi="Times New Roman" w:eastAsia="宋体" w:cs="Times New Roman"/>
          <w:sz w:val="24"/>
          <w:szCs w:val="24"/>
        </w:rPr>
        <w:t>所示。</w:t>
      </w:r>
    </w:p>
    <w:p w14:paraId="5E783DB4">
      <w:pPr>
        <w:ind w:firstLine="0" w:firstLineChars="0"/>
        <w:jc w:val="center"/>
        <w:rPr>
          <w:rFonts w:ascii="黑体" w:hAnsi="黑体" w:eastAsia="黑体" w:cs="Times New Roman"/>
          <w:sz w:val="24"/>
          <w:szCs w:val="24"/>
        </w:rPr>
      </w:pPr>
      <w:r>
        <w:rPr>
          <w:rFonts w:hint="eastAsia" w:ascii="黑体" w:hAnsi="黑体" w:eastAsia="黑体" w:cs="Times New Roman"/>
          <w:sz w:val="24"/>
          <w:szCs w:val="24"/>
        </w:rPr>
        <w:t>表2</w:t>
      </w:r>
      <w:r>
        <w:rPr>
          <w:rFonts w:ascii="黑体" w:hAnsi="黑体" w:eastAsia="黑体" w:cs="Times New Roman"/>
          <w:sz w:val="24"/>
          <w:szCs w:val="24"/>
        </w:rPr>
        <w:t xml:space="preserve"> </w:t>
      </w:r>
      <w:r>
        <w:rPr>
          <w:rFonts w:hint="eastAsia" w:ascii="黑体" w:hAnsi="黑体" w:eastAsia="黑体" w:cs="Times New Roman"/>
          <w:sz w:val="24"/>
          <w:szCs w:val="24"/>
        </w:rPr>
        <w:t>纹理特征</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709"/>
        <w:gridCol w:w="5522"/>
      </w:tblGrid>
      <w:tr w14:paraId="10648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547" w:type="dxa"/>
            <w:vAlign w:val="center"/>
          </w:tcPr>
          <w:p w14:paraId="372A0E39">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名称</w:t>
            </w:r>
          </w:p>
        </w:tc>
        <w:tc>
          <w:tcPr>
            <w:tcW w:w="709" w:type="dxa"/>
            <w:vAlign w:val="center"/>
          </w:tcPr>
          <w:p w14:paraId="6370764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简写</w:t>
            </w:r>
          </w:p>
        </w:tc>
        <w:tc>
          <w:tcPr>
            <w:tcW w:w="5522" w:type="dxa"/>
            <w:vAlign w:val="center"/>
          </w:tcPr>
          <w:p w14:paraId="6C7645E7">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定义</w:t>
            </w:r>
          </w:p>
        </w:tc>
      </w:tr>
      <w:tr w14:paraId="1883B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C8324C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均值（M</w:t>
            </w:r>
            <w:r>
              <w:rPr>
                <w:rFonts w:ascii="宋体" w:hAnsi="宋体" w:eastAsia="宋体" w:cs="Times New Roman"/>
                <w:sz w:val="24"/>
                <w:szCs w:val="24"/>
              </w:rPr>
              <w:t>ean</w:t>
            </w:r>
            <w:r>
              <w:rPr>
                <w:rFonts w:hint="eastAsia" w:ascii="宋体" w:hAnsi="宋体" w:eastAsia="宋体" w:cs="Times New Roman"/>
                <w:sz w:val="24"/>
                <w:szCs w:val="24"/>
              </w:rPr>
              <w:t>）</w:t>
            </w:r>
          </w:p>
        </w:tc>
        <w:tc>
          <w:tcPr>
            <w:tcW w:w="709" w:type="dxa"/>
            <w:vAlign w:val="center"/>
          </w:tcPr>
          <w:p w14:paraId="4E26BAF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M</w:t>
            </w:r>
            <w:r>
              <w:rPr>
                <w:rFonts w:ascii="宋体" w:hAnsi="宋体" w:eastAsia="宋体" w:cs="Times New Roman"/>
                <w:sz w:val="24"/>
                <w:szCs w:val="24"/>
              </w:rPr>
              <w:t>EA</w:t>
            </w:r>
          </w:p>
        </w:tc>
        <w:tc>
          <w:tcPr>
            <w:tcW w:w="5522" w:type="dxa"/>
            <w:vAlign w:val="center"/>
          </w:tcPr>
          <w:p w14:paraId="3EDF5319">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所有像素灰度值的平均值</w:t>
            </w:r>
          </w:p>
        </w:tc>
      </w:tr>
      <w:tr w14:paraId="17962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00AC20F">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方差（V</w:t>
            </w:r>
            <w:r>
              <w:rPr>
                <w:rFonts w:ascii="宋体" w:hAnsi="宋体" w:eastAsia="宋体" w:cs="Times New Roman"/>
                <w:sz w:val="24"/>
                <w:szCs w:val="24"/>
              </w:rPr>
              <w:t>ariance</w:t>
            </w:r>
            <w:r>
              <w:rPr>
                <w:rFonts w:hint="eastAsia" w:ascii="宋体" w:hAnsi="宋体" w:eastAsia="宋体" w:cs="Times New Roman"/>
                <w:sz w:val="24"/>
                <w:szCs w:val="24"/>
              </w:rPr>
              <w:t>）</w:t>
            </w:r>
          </w:p>
        </w:tc>
        <w:tc>
          <w:tcPr>
            <w:tcW w:w="709" w:type="dxa"/>
            <w:vAlign w:val="center"/>
          </w:tcPr>
          <w:p w14:paraId="07C36C67">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V</w:t>
            </w:r>
            <w:r>
              <w:rPr>
                <w:rFonts w:ascii="宋体" w:hAnsi="宋体" w:eastAsia="宋体" w:cs="Times New Roman"/>
                <w:sz w:val="24"/>
                <w:szCs w:val="24"/>
              </w:rPr>
              <w:t>AR</w:t>
            </w:r>
          </w:p>
        </w:tc>
        <w:tc>
          <w:tcPr>
            <w:tcW w:w="5522" w:type="dxa"/>
            <w:vAlign w:val="center"/>
          </w:tcPr>
          <w:p w14:paraId="6F2272AC">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所有像素灰度值的方差</w:t>
            </w:r>
          </w:p>
        </w:tc>
      </w:tr>
      <w:tr w14:paraId="52975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65852F5">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均一性（H</w:t>
            </w:r>
            <w:r>
              <w:rPr>
                <w:rFonts w:ascii="宋体" w:hAnsi="宋体" w:eastAsia="宋体" w:cs="Times New Roman"/>
                <w:sz w:val="24"/>
                <w:szCs w:val="24"/>
              </w:rPr>
              <w:t>omogeneity</w:t>
            </w:r>
            <w:r>
              <w:rPr>
                <w:rFonts w:hint="eastAsia" w:ascii="宋体" w:hAnsi="宋体" w:eastAsia="宋体" w:cs="Times New Roman"/>
                <w:sz w:val="24"/>
                <w:szCs w:val="24"/>
              </w:rPr>
              <w:t>）</w:t>
            </w:r>
          </w:p>
        </w:tc>
        <w:tc>
          <w:tcPr>
            <w:tcW w:w="709" w:type="dxa"/>
            <w:vAlign w:val="center"/>
          </w:tcPr>
          <w:p w14:paraId="35737358">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H</w:t>
            </w:r>
            <w:r>
              <w:rPr>
                <w:rFonts w:ascii="宋体" w:hAnsi="宋体" w:eastAsia="宋体" w:cs="Times New Roman"/>
                <w:sz w:val="24"/>
                <w:szCs w:val="24"/>
              </w:rPr>
              <w:t>OM</w:t>
            </w:r>
          </w:p>
        </w:tc>
        <w:tc>
          <w:tcPr>
            <w:tcW w:w="5522" w:type="dxa"/>
            <w:vAlign w:val="center"/>
          </w:tcPr>
          <w:p w14:paraId="291CD801">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像素对之间灰度相似程度的统计特征</w:t>
            </w:r>
          </w:p>
        </w:tc>
      </w:tr>
      <w:tr w14:paraId="386C5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137607E8">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对比度（C</w:t>
            </w:r>
            <w:r>
              <w:rPr>
                <w:rFonts w:ascii="宋体" w:hAnsi="宋体" w:eastAsia="宋体" w:cs="Times New Roman"/>
                <w:sz w:val="24"/>
                <w:szCs w:val="24"/>
              </w:rPr>
              <w:t>ontrast</w:t>
            </w:r>
            <w:r>
              <w:rPr>
                <w:rFonts w:hint="eastAsia" w:ascii="宋体" w:hAnsi="宋体" w:eastAsia="宋体" w:cs="Times New Roman"/>
                <w:sz w:val="24"/>
                <w:szCs w:val="24"/>
              </w:rPr>
              <w:t>）</w:t>
            </w:r>
          </w:p>
        </w:tc>
        <w:tc>
          <w:tcPr>
            <w:tcW w:w="709" w:type="dxa"/>
            <w:vAlign w:val="center"/>
          </w:tcPr>
          <w:p w14:paraId="321A1B1C">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C</w:t>
            </w:r>
            <w:r>
              <w:rPr>
                <w:rFonts w:ascii="宋体" w:hAnsi="宋体" w:eastAsia="宋体" w:cs="Times New Roman"/>
                <w:sz w:val="24"/>
                <w:szCs w:val="24"/>
              </w:rPr>
              <w:t>ON</w:t>
            </w:r>
          </w:p>
        </w:tc>
        <w:tc>
          <w:tcPr>
            <w:tcW w:w="5522" w:type="dxa"/>
            <w:vAlign w:val="center"/>
          </w:tcPr>
          <w:p w14:paraId="2E8ED41E">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像素对之间灰度差异的统计特征</w:t>
            </w:r>
          </w:p>
        </w:tc>
      </w:tr>
      <w:tr w14:paraId="7ABCD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309EAB4A">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异质性（H</w:t>
            </w:r>
            <w:r>
              <w:rPr>
                <w:rFonts w:ascii="宋体" w:hAnsi="宋体" w:eastAsia="宋体" w:cs="Times New Roman"/>
                <w:sz w:val="24"/>
                <w:szCs w:val="24"/>
              </w:rPr>
              <w:t>eterogeneity</w:t>
            </w:r>
            <w:r>
              <w:rPr>
                <w:rFonts w:hint="eastAsia" w:ascii="宋体" w:hAnsi="宋体" w:eastAsia="宋体" w:cs="Times New Roman"/>
                <w:sz w:val="24"/>
                <w:szCs w:val="24"/>
              </w:rPr>
              <w:t>）</w:t>
            </w:r>
          </w:p>
        </w:tc>
        <w:tc>
          <w:tcPr>
            <w:tcW w:w="709" w:type="dxa"/>
            <w:vAlign w:val="center"/>
          </w:tcPr>
          <w:p w14:paraId="521E0801">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D</w:t>
            </w:r>
            <w:r>
              <w:rPr>
                <w:rFonts w:ascii="宋体" w:hAnsi="宋体" w:eastAsia="宋体" w:cs="Times New Roman"/>
                <w:sz w:val="24"/>
                <w:szCs w:val="24"/>
              </w:rPr>
              <w:t>IS</w:t>
            </w:r>
          </w:p>
        </w:tc>
        <w:tc>
          <w:tcPr>
            <w:tcW w:w="5522" w:type="dxa"/>
            <w:vAlign w:val="center"/>
          </w:tcPr>
          <w:p w14:paraId="6525EB33">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像素灰度值分布的非均匀程度</w:t>
            </w:r>
          </w:p>
        </w:tc>
      </w:tr>
      <w:tr w14:paraId="33D82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43D3204E">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熵（E</w:t>
            </w:r>
            <w:r>
              <w:rPr>
                <w:rFonts w:ascii="宋体" w:hAnsi="宋体" w:eastAsia="宋体" w:cs="Times New Roman"/>
                <w:sz w:val="24"/>
                <w:szCs w:val="24"/>
              </w:rPr>
              <w:t>ntropy</w:t>
            </w:r>
            <w:r>
              <w:rPr>
                <w:rFonts w:hint="eastAsia" w:ascii="宋体" w:hAnsi="宋体" w:eastAsia="宋体" w:cs="Times New Roman"/>
                <w:sz w:val="24"/>
                <w:szCs w:val="24"/>
              </w:rPr>
              <w:t>）</w:t>
            </w:r>
          </w:p>
        </w:tc>
        <w:tc>
          <w:tcPr>
            <w:tcW w:w="709" w:type="dxa"/>
            <w:vAlign w:val="center"/>
          </w:tcPr>
          <w:p w14:paraId="158B16D9">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E</w:t>
            </w:r>
            <w:r>
              <w:rPr>
                <w:rFonts w:ascii="宋体" w:hAnsi="宋体" w:eastAsia="宋体" w:cs="Times New Roman"/>
                <w:sz w:val="24"/>
                <w:szCs w:val="24"/>
              </w:rPr>
              <w:t>NT</w:t>
            </w:r>
          </w:p>
        </w:tc>
        <w:tc>
          <w:tcPr>
            <w:tcW w:w="5522" w:type="dxa"/>
            <w:vAlign w:val="center"/>
          </w:tcPr>
          <w:p w14:paraId="13F83363">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像素灰度值分布的不确定性</w:t>
            </w:r>
          </w:p>
        </w:tc>
      </w:tr>
      <w:tr w14:paraId="0AC43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7B3BD895">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角二阶矩（A</w:t>
            </w:r>
            <w:r>
              <w:rPr>
                <w:rFonts w:ascii="宋体" w:hAnsi="宋体" w:eastAsia="宋体" w:cs="Times New Roman"/>
                <w:sz w:val="24"/>
                <w:szCs w:val="24"/>
              </w:rPr>
              <w:t>ngular Second Moment</w:t>
            </w:r>
            <w:r>
              <w:rPr>
                <w:rFonts w:hint="eastAsia" w:ascii="宋体" w:hAnsi="宋体" w:eastAsia="宋体" w:cs="Times New Roman"/>
                <w:sz w:val="24"/>
                <w:szCs w:val="24"/>
              </w:rPr>
              <w:t>）</w:t>
            </w:r>
          </w:p>
        </w:tc>
        <w:tc>
          <w:tcPr>
            <w:tcW w:w="709" w:type="dxa"/>
            <w:vAlign w:val="center"/>
          </w:tcPr>
          <w:p w14:paraId="41F0D536">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S</w:t>
            </w:r>
            <w:r>
              <w:rPr>
                <w:rFonts w:ascii="宋体" w:hAnsi="宋体" w:eastAsia="宋体" w:cs="Times New Roman"/>
                <w:sz w:val="24"/>
                <w:szCs w:val="24"/>
              </w:rPr>
              <w:t>EM</w:t>
            </w:r>
          </w:p>
        </w:tc>
        <w:tc>
          <w:tcPr>
            <w:tcW w:w="5522" w:type="dxa"/>
            <w:vAlign w:val="center"/>
          </w:tcPr>
          <w:p w14:paraId="4F304B43">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像素灰度值共生矩阵上对角线上元素的和</w:t>
            </w:r>
          </w:p>
        </w:tc>
      </w:tr>
      <w:tr w14:paraId="3CE73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vAlign w:val="center"/>
          </w:tcPr>
          <w:p w14:paraId="5B1E748C">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相关性（C</w:t>
            </w:r>
            <w:r>
              <w:rPr>
                <w:rFonts w:ascii="宋体" w:hAnsi="宋体" w:eastAsia="宋体" w:cs="Times New Roman"/>
                <w:sz w:val="24"/>
                <w:szCs w:val="24"/>
              </w:rPr>
              <w:t>orrelation</w:t>
            </w:r>
            <w:r>
              <w:rPr>
                <w:rFonts w:hint="eastAsia" w:ascii="宋体" w:hAnsi="宋体" w:eastAsia="宋体" w:cs="Times New Roman"/>
                <w:sz w:val="24"/>
                <w:szCs w:val="24"/>
              </w:rPr>
              <w:t>）</w:t>
            </w:r>
          </w:p>
        </w:tc>
        <w:tc>
          <w:tcPr>
            <w:tcW w:w="709" w:type="dxa"/>
            <w:vAlign w:val="center"/>
          </w:tcPr>
          <w:p w14:paraId="3A6A03CA">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C</w:t>
            </w:r>
            <w:r>
              <w:rPr>
                <w:rFonts w:ascii="宋体" w:hAnsi="宋体" w:eastAsia="宋体" w:cs="Times New Roman"/>
                <w:sz w:val="24"/>
                <w:szCs w:val="24"/>
              </w:rPr>
              <w:t>OR</w:t>
            </w:r>
          </w:p>
        </w:tc>
        <w:tc>
          <w:tcPr>
            <w:tcW w:w="5522" w:type="dxa"/>
            <w:vAlign w:val="center"/>
          </w:tcPr>
          <w:p w14:paraId="10202990">
            <w:pPr>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向所有灰度值共生矩阵上每个元素与其对角线上元素的关联程度</w:t>
            </w:r>
          </w:p>
        </w:tc>
      </w:tr>
    </w:tbl>
    <w:p w14:paraId="66D7F775">
      <w:pPr>
        <w:spacing w:before="158" w:beforeLines="50" w:after="158" w:afterLines="50"/>
        <w:outlineLvl w:val="2"/>
        <w:rPr>
          <w:rFonts w:ascii="黑体" w:hAnsi="黑体" w:eastAsia="黑体" w:cs="Times New Roman"/>
          <w:sz w:val="24"/>
          <w:szCs w:val="24"/>
          <w:lang w:val="en-US" w:eastAsia="zh-CN" w:bidi="ar-SA"/>
        </w:rPr>
      </w:pPr>
      <w:r>
        <w:rPr>
          <w:rFonts w:ascii="宋体" w:hAnsi="宋体" w:eastAsia="黑体" w:cs="Times New Roman"/>
          <w:color w:val="000000"/>
          <w:sz w:val="24"/>
          <w:szCs w:val="24"/>
          <w:lang w:val="en-US" w:eastAsia="zh-CN" w:bidi="ar-SA"/>
        </w:rPr>
        <mc:AlternateContent>
          <mc:Choice Requires="wps">
            <w:drawing>
              <wp:anchor distT="45720" distB="45720" distL="114300" distR="114300" simplePos="0" relativeHeight="251659264" behindDoc="0" locked="0" layoutInCell="1" allowOverlap="1">
                <wp:simplePos x="0" y="0"/>
                <wp:positionH relativeFrom="column">
                  <wp:posOffset>-22225</wp:posOffset>
                </wp:positionH>
                <wp:positionV relativeFrom="paragraph">
                  <wp:posOffset>-1654175</wp:posOffset>
                </wp:positionV>
                <wp:extent cx="5621655" cy="1404620"/>
                <wp:effectExtent l="0" t="0" r="17145" b="5080"/>
                <wp:wrapSquare wrapText="bothSides"/>
                <wp:docPr id="21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621655" cy="1404620"/>
                        </a:xfrm>
                        <a:prstGeom prst="rect">
                          <a:avLst/>
                        </a:prstGeom>
                        <a:solidFill>
                          <a:srgbClr val="FFFFFF"/>
                        </a:solidFill>
                        <a:ln w="9525">
                          <a:noFill/>
                          <a:miter lim="800000"/>
                        </a:ln>
                        <a:effectLst/>
                      </wps:spPr>
                      <wps:txbx>
                        <w:txbxContent>
                          <w:p w14:paraId="168E683C">
                            <w:pPr>
                              <w:ind w:firstLine="420" w:firstLineChars="200"/>
                              <w:jc w:val="center"/>
                              <w:rPr>
                                <w:rFonts w:ascii="黑体" w:hAnsi="黑体" w:eastAsia="黑体" w:cs="Times New Roman"/>
                              </w:rPr>
                            </w:pPr>
                            <w:r>
                              <w:rPr>
                                <w:rFonts w:hint="eastAsia" w:ascii="黑体" w:hAnsi="黑体" w:eastAsia="黑体" w:cs="Times New Roman"/>
                              </w:rPr>
                              <w:t>续表</w:t>
                            </w:r>
                            <w:r>
                              <w:rPr>
                                <w:rFonts w:ascii="黑体" w:hAnsi="黑体" w:eastAsia="黑体" w:cs="Times New Roman"/>
                              </w:rPr>
                              <w:t>2</w:t>
                            </w:r>
                          </w:p>
                        </w:txbxContent>
                      </wps:txbx>
                      <wps:bodyPr rot="0" vert="horz" wrap="square" lIns="91440" tIns="45720" rIns="91440" bIns="45720" anchor="t" anchorCtr="0">
                        <a:spAutoFit/>
                      </wps:bodyPr>
                    </wps:wsp>
                  </a:graphicData>
                </a:graphic>
              </wp:anchor>
            </w:drawing>
          </mc:Choice>
          <mc:Fallback>
            <w:pict>
              <v:shape id="文本框 2" o:spid="_x0000_s1026" o:spt="202" type="#_x0000_t202" style="position:absolute;left:0pt;margin-left:-1.75pt;margin-top:-130.25pt;height:110.6pt;width:442.65pt;mso-wrap-distance-bottom:3.6pt;mso-wrap-distance-left:9pt;mso-wrap-distance-right:9pt;mso-wrap-distance-top:3.6pt;z-index:251659264;mso-width-relative:page;mso-height-relative:page;" fillcolor="#FFFFFF" filled="t" stroked="f" coordsize="21600,21600" o:gfxdata="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N62UxtYAAAALAQAADwAAAAAAAAABACAAAAAiAAAA&#10;ZHJzL2Rvd25yZXYueG1sUEsBAhQAFAAAAAgAh07iQCY5p+RCAgAAYwQAAA4AAAAAAAAAAQAgAAAA&#10;JQEAAGRycy9lMm9Eb2MueG1sUEsFBgAAAAAGAAYAWQEAANkFAAAAAA==&#10;">
                <v:fill on="t" focussize="0,0"/>
                <v:stroke on="f" miterlimit="8" joinstyle="miter"/>
                <v:imagedata o:title=""/>
                <o:lock v:ext="edit" aspectratio="f"/>
                <v:textbox style="mso-fit-shape-to-text:t;">
                  <w:txbxContent>
                    <w:p w14:paraId="168E683C">
                      <w:pPr>
                        <w:ind w:firstLine="420" w:firstLineChars="200"/>
                        <w:jc w:val="center"/>
                        <w:rPr>
                          <w:rFonts w:ascii="黑体" w:hAnsi="黑体" w:eastAsia="黑体" w:cs="Times New Roman"/>
                        </w:rPr>
                      </w:pPr>
                      <w:r>
                        <w:rPr>
                          <w:rFonts w:hint="eastAsia" w:ascii="黑体" w:hAnsi="黑体" w:eastAsia="黑体" w:cs="Times New Roman"/>
                        </w:rPr>
                        <w:t>续表</w:t>
                      </w:r>
                      <w:r>
                        <w:rPr>
                          <w:rFonts w:ascii="黑体" w:hAnsi="黑体" w:eastAsia="黑体" w:cs="Times New Roman"/>
                        </w:rPr>
                        <w:t>2</w:t>
                      </w:r>
                    </w:p>
                  </w:txbxContent>
                </v:textbox>
                <w10:wrap type="square"/>
              </v:shape>
            </w:pict>
          </mc:Fallback>
        </mc:AlternateContent>
      </w: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.2  </w:t>
      </w:r>
      <w:r>
        <w:rPr>
          <w:rFonts w:hint="eastAsia" w:ascii="黑体" w:hAnsi="黑体" w:eastAsia="黑体" w:cs="Times New Roman"/>
          <w:sz w:val="24"/>
          <w:szCs w:val="24"/>
          <w:lang w:val="en-US" w:eastAsia="zh-CN" w:bidi="ar-SA"/>
        </w:rPr>
        <w:t>农学数据</w:t>
      </w:r>
    </w:p>
    <w:p w14:paraId="1AC53D31">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.2.1  </w:t>
      </w:r>
      <w:r>
        <w:rPr>
          <w:rFonts w:hint="eastAsia" w:ascii="黑体" w:hAnsi="黑体" w:eastAsia="黑体" w:cs="Times New Roman"/>
          <w:sz w:val="24"/>
          <w:szCs w:val="24"/>
          <w:lang w:val="en-US" w:eastAsia="zh-CN" w:bidi="ar-SA"/>
        </w:rPr>
        <w:t>样点选择</w:t>
      </w:r>
    </w:p>
    <w:p w14:paraId="034B1B64">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选择具有代表性、生长均匀、面积较大地块（地块最小应为1</w:t>
      </w:r>
      <w:r>
        <w:rPr>
          <w:rFonts w:ascii="Times New Roman" w:hAnsi="Times New Roman" w:eastAsia="宋体" w:cs="Times New Roman"/>
          <w:sz w:val="24"/>
          <w:szCs w:val="24"/>
          <w:lang w:val="en-US" w:eastAsia="zh-CN" w:bidi="ar-SA"/>
        </w:rPr>
        <w:t>50</w:t>
      </w:r>
      <w:r>
        <w:rPr>
          <w:rFonts w:hint="eastAsia" w:ascii="Times New Roman" w:hAnsi="Times New Roman" w:eastAsia="宋体" w:cs="Times New Roman"/>
          <w:sz w:val="24"/>
          <w:szCs w:val="24"/>
          <w:lang w:val="en-US" w:eastAsia="zh-CN" w:bidi="ar-SA"/>
        </w:rPr>
        <w:t>亩）的中部区域。</w:t>
      </w:r>
    </w:p>
    <w:p w14:paraId="6BE12B6D">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.2.2  </w:t>
      </w:r>
      <w:r>
        <w:rPr>
          <w:rFonts w:hint="eastAsia" w:ascii="黑体" w:hAnsi="黑体" w:eastAsia="黑体" w:cs="Times New Roman"/>
          <w:sz w:val="24"/>
          <w:szCs w:val="24"/>
          <w:lang w:val="en-US" w:eastAsia="zh-CN" w:bidi="ar-SA"/>
        </w:rPr>
        <w:t>调查时期</w:t>
      </w:r>
    </w:p>
    <w:p w14:paraId="080DE9A0">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移栽后7天，每7-10天一次，直至拔节期。</w:t>
      </w:r>
    </w:p>
    <w:p w14:paraId="66FF9864">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.2.3  </w:t>
      </w:r>
      <w:r>
        <w:rPr>
          <w:rFonts w:hint="eastAsia" w:ascii="黑体" w:hAnsi="黑体" w:eastAsia="黑体" w:cs="Times New Roman"/>
          <w:sz w:val="24"/>
          <w:szCs w:val="24"/>
          <w:lang w:val="en-US" w:eastAsia="zh-CN" w:bidi="ar-SA"/>
        </w:rPr>
        <w:t>取样方法</w:t>
      </w:r>
    </w:p>
    <w:p w14:paraId="2F2E3139">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使用3</w:t>
      </w:r>
      <w:r>
        <w:rPr>
          <w:rFonts w:ascii="Times New Roman" w:hAnsi="Times New Roman" w:eastAsia="宋体" w:cs="Times New Roman"/>
          <w:sz w:val="24"/>
          <w:szCs w:val="24"/>
          <w:lang w:val="en-US" w:eastAsia="zh-CN" w:bidi="ar-SA"/>
        </w:rPr>
        <w:t xml:space="preserve">0 </w:t>
      </w:r>
      <w:r>
        <w:rPr>
          <w:rFonts w:hint="eastAsia" w:ascii="Times New Roman" w:hAnsi="Times New Roman" w:eastAsia="宋体" w:cs="Times New Roman"/>
          <w:sz w:val="24"/>
          <w:szCs w:val="24"/>
          <w:lang w:val="en-US" w:eastAsia="zh-CN" w:bidi="ar-SA"/>
        </w:rPr>
        <w:t>cm</w:t>
      </w:r>
      <w:r>
        <w:rPr>
          <w:rFonts w:ascii="Times New Roman" w:hAnsi="Times New Roman" w:eastAsia="宋体" w:cs="Times New Roman"/>
          <w:sz w:val="24"/>
          <w:szCs w:val="24"/>
          <w:lang w:val="en-US" w:eastAsia="zh-CN" w:bidi="ar-SA"/>
        </w:rPr>
        <w:t xml:space="preserve"> </w:t>
      </w:r>
      <w:r>
        <w:rPr>
          <w:rFonts w:hint="eastAsia" w:ascii="Times New Roman" w:hAnsi="Times New Roman" w:eastAsia="宋体" w:cs="Times New Roman"/>
          <w:sz w:val="24"/>
          <w:szCs w:val="24"/>
          <w:lang w:val="en-US" w:eastAsia="zh-CN" w:bidi="ar-SA"/>
        </w:rPr>
        <w:t xml:space="preserve">× </w:t>
      </w:r>
      <w:r>
        <w:rPr>
          <w:rFonts w:ascii="Times New Roman" w:hAnsi="Times New Roman" w:eastAsia="宋体" w:cs="Times New Roman"/>
          <w:sz w:val="24"/>
          <w:szCs w:val="24"/>
          <w:lang w:val="en-US" w:eastAsia="zh-CN" w:bidi="ar-SA"/>
        </w:rPr>
        <w:t xml:space="preserve">30 </w:t>
      </w:r>
      <w:r>
        <w:rPr>
          <w:rFonts w:hint="eastAsia" w:ascii="Times New Roman" w:hAnsi="Times New Roman" w:eastAsia="宋体" w:cs="Times New Roman"/>
          <w:sz w:val="24"/>
          <w:szCs w:val="24"/>
          <w:lang w:val="en-US" w:eastAsia="zh-CN" w:bidi="ar-SA"/>
        </w:rPr>
        <w:t>cm方形取样框，采用五点取样法，取框内水稻样本，标记编号，并装入网袋带回实验室测产。</w:t>
      </w:r>
    </w:p>
    <w:p w14:paraId="339CD5F2">
      <w:pPr>
        <w:spacing w:before="158" w:beforeLines="50" w:after="158" w:afterLines="50"/>
        <w:outlineLvl w:val="2"/>
        <w:rPr>
          <w:rFonts w:hint="default"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5</w:t>
      </w:r>
      <w:r>
        <w:rPr>
          <w:rFonts w:ascii="黑体" w:hAnsi="黑体" w:eastAsia="黑体" w:cs="Times New Roman"/>
          <w:sz w:val="24"/>
          <w:szCs w:val="24"/>
          <w:lang w:val="en-US" w:eastAsia="zh-CN" w:bidi="ar-SA"/>
        </w:rPr>
        <w:t xml:space="preserve">.2.4  </w:t>
      </w:r>
      <w:r>
        <w:rPr>
          <w:rFonts w:hint="eastAsia" w:ascii="黑体" w:hAnsi="黑体" w:eastAsia="黑体" w:cs="Times New Roman"/>
          <w:sz w:val="24"/>
          <w:szCs w:val="24"/>
          <w:lang w:val="en-US" w:eastAsia="zh-CN" w:bidi="ar-SA"/>
        </w:rPr>
        <w:t>调查与取样测定数据</w:t>
      </w:r>
    </w:p>
    <w:p w14:paraId="3709F575">
      <w:pPr>
        <w:autoSpaceDE w:val="0"/>
        <w:autoSpaceDN w:val="0"/>
        <w:ind w:firstLine="480" w:firstLineChars="200"/>
        <w:jc w:val="both"/>
        <w:rPr>
          <w:sz w:val="24"/>
          <w:szCs w:val="24"/>
        </w:rPr>
      </w:pPr>
      <w:r>
        <w:rPr>
          <w:rFonts w:hint="eastAsia" w:ascii="Times New Roman" w:hAnsi="Times New Roman" w:eastAsia="宋体" w:cs="Times New Roman"/>
          <w:sz w:val="24"/>
          <w:szCs w:val="24"/>
          <w:lang w:val="en-US" w:eastAsia="zh-CN" w:bidi="ar-SA"/>
        </w:rPr>
        <w:t>茎糵数、地上部生物量。</w:t>
      </w:r>
    </w:p>
    <w:p w14:paraId="677F3BD6">
      <w:pPr>
        <w:spacing w:before="317" w:beforeLines="100" w:after="317" w:afterLines="100"/>
        <w:jc w:val="both"/>
        <w:outlineLvl w:val="1"/>
        <w:rPr>
          <w:rFonts w:ascii="黑体" w:hAnsi="Times New Roman" w:eastAsia="黑体" w:cs="Times New Roman"/>
          <w:sz w:val="24"/>
          <w:szCs w:val="24"/>
          <w:lang w:val="en-US" w:eastAsia="zh-CN" w:bidi="ar-SA"/>
        </w:rPr>
      </w:pPr>
      <w:bookmarkStart w:id="6" w:name="_Toc12417"/>
      <w:r>
        <w:rPr>
          <w:rFonts w:hint="eastAsia" w:ascii="黑体" w:hAnsi="Times New Roman" w:eastAsia="黑体" w:cs="Times New Roman"/>
          <w:sz w:val="24"/>
          <w:szCs w:val="24"/>
          <w:lang w:val="en-US" w:eastAsia="zh-CN" w:bidi="ar-SA"/>
        </w:rPr>
        <w:t>6</w:t>
      </w:r>
      <w:r>
        <w:rPr>
          <w:rFonts w:ascii="黑体" w:hAnsi="Times New Roman" w:eastAsia="黑体" w:cs="Times New Roman"/>
          <w:sz w:val="24"/>
          <w:szCs w:val="24"/>
          <w:lang w:val="en-US" w:eastAsia="zh-CN" w:bidi="ar-SA"/>
        </w:rPr>
        <w:t xml:space="preserve">  </w:t>
      </w:r>
      <w:r>
        <w:rPr>
          <w:rFonts w:hint="eastAsia" w:ascii="黑体" w:hAnsi="Times New Roman" w:eastAsia="黑体" w:cs="Times New Roman"/>
          <w:sz w:val="24"/>
          <w:szCs w:val="24"/>
          <w:lang w:val="en-US" w:eastAsia="zh-CN" w:bidi="ar-SA"/>
        </w:rPr>
        <w:t>预测过程</w:t>
      </w:r>
      <w:bookmarkEnd w:id="6"/>
    </w:p>
    <w:p w14:paraId="6109C9EB">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.1  </w:t>
      </w:r>
      <w:r>
        <w:rPr>
          <w:rFonts w:hint="eastAsia" w:ascii="黑体" w:hAnsi="黑体" w:eastAsia="黑体" w:cs="Times New Roman"/>
          <w:sz w:val="24"/>
          <w:szCs w:val="24"/>
          <w:lang w:val="en-US" w:eastAsia="zh-CN" w:bidi="ar-SA"/>
        </w:rPr>
        <w:t>遥感数据预处理</w:t>
      </w:r>
    </w:p>
    <w:p w14:paraId="1DFA05B6">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.1.1  </w:t>
      </w:r>
      <w:r>
        <w:rPr>
          <w:rFonts w:hint="eastAsia" w:ascii="黑体" w:hAnsi="黑体" w:eastAsia="黑体" w:cs="Times New Roman"/>
          <w:sz w:val="24"/>
          <w:szCs w:val="24"/>
          <w:lang w:val="en-US" w:eastAsia="zh-CN" w:bidi="ar-SA"/>
        </w:rPr>
        <w:t>辐射定标</w:t>
      </w:r>
    </w:p>
    <w:p w14:paraId="29A22804">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将传感器接收到的图像灰度值转换为地面反射率，有助于消除传感器本身的误差。</w:t>
      </w:r>
    </w:p>
    <w:p w14:paraId="67919C04">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.1.2  </w:t>
      </w:r>
      <w:r>
        <w:rPr>
          <w:rFonts w:hint="eastAsia" w:ascii="黑体" w:hAnsi="黑体" w:eastAsia="黑体" w:cs="Times New Roman"/>
          <w:sz w:val="24"/>
          <w:szCs w:val="24"/>
          <w:lang w:val="en-US" w:eastAsia="zh-CN" w:bidi="ar-SA"/>
        </w:rPr>
        <w:t>大气校正</w:t>
      </w:r>
    </w:p>
    <w:p w14:paraId="62F66DD5">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消除由大气吸收和散射等作用造成的辐射量误差。</w:t>
      </w:r>
    </w:p>
    <w:p w14:paraId="2B7C39B9">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.1.3  </w:t>
      </w:r>
      <w:r>
        <w:rPr>
          <w:rFonts w:hint="eastAsia" w:ascii="黑体" w:hAnsi="黑体" w:eastAsia="黑体" w:cs="Times New Roman"/>
          <w:sz w:val="24"/>
          <w:szCs w:val="24"/>
          <w:lang w:val="en-US" w:eastAsia="zh-CN" w:bidi="ar-SA"/>
        </w:rPr>
        <w:t>几何校正</w:t>
      </w:r>
    </w:p>
    <w:p w14:paraId="2E57E9D1">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校正成像过程中所造成的各种几何畸变，校正后卫星影像的平面坐标误差不应大于0</w:t>
      </w:r>
      <w:r>
        <w:rPr>
          <w:rFonts w:ascii="Times New Roman" w:hAnsi="Times New Roman" w:eastAsia="宋体" w:cs="Times New Roman"/>
          <w:sz w:val="24"/>
          <w:szCs w:val="24"/>
          <w:lang w:val="en-US" w:eastAsia="zh-CN" w:bidi="ar-SA"/>
        </w:rPr>
        <w:t>.5</w:t>
      </w:r>
      <w:r>
        <w:rPr>
          <w:rFonts w:hint="eastAsia" w:ascii="Times New Roman" w:hAnsi="Times New Roman" w:eastAsia="宋体" w:cs="Times New Roman"/>
          <w:sz w:val="24"/>
          <w:szCs w:val="24"/>
          <w:lang w:val="en-US" w:eastAsia="zh-CN" w:bidi="ar-SA"/>
        </w:rPr>
        <w:t>个像元。</w:t>
      </w:r>
    </w:p>
    <w:p w14:paraId="1D8CC355">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.1.4  </w:t>
      </w:r>
      <w:r>
        <w:rPr>
          <w:rFonts w:hint="eastAsia" w:ascii="黑体" w:hAnsi="黑体" w:eastAsia="黑体" w:cs="Times New Roman"/>
          <w:sz w:val="24"/>
          <w:szCs w:val="24"/>
          <w:lang w:val="en-US" w:eastAsia="zh-CN" w:bidi="ar-SA"/>
        </w:rPr>
        <w:t>影像拼接</w:t>
      </w:r>
    </w:p>
    <w:p w14:paraId="29474130">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根据监测范围和需要，对处理好的影像进行裁剪和拼接。</w:t>
      </w:r>
    </w:p>
    <w:p w14:paraId="04867258">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.2  </w:t>
      </w:r>
      <w:r>
        <w:rPr>
          <w:rFonts w:hint="eastAsia" w:ascii="黑体" w:hAnsi="黑体" w:eastAsia="黑体" w:cs="Times New Roman"/>
          <w:sz w:val="24"/>
          <w:szCs w:val="24"/>
          <w:lang w:val="en-US" w:eastAsia="zh-CN" w:bidi="ar-SA"/>
        </w:rPr>
        <w:t>统计分析</w:t>
      </w:r>
    </w:p>
    <w:p w14:paraId="007B4CB2">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.2.1  </w:t>
      </w:r>
      <w:r>
        <w:rPr>
          <w:rFonts w:hint="eastAsia" w:ascii="黑体" w:hAnsi="黑体" w:eastAsia="黑体" w:cs="Times New Roman"/>
          <w:sz w:val="24"/>
          <w:szCs w:val="24"/>
          <w:lang w:val="en-US" w:eastAsia="zh-CN" w:bidi="ar-SA"/>
        </w:rPr>
        <w:t>相关性分析</w:t>
      </w:r>
    </w:p>
    <w:p w14:paraId="16D79CD0">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将各样点的茎糵数、地上部生物量与遥感指数进行相关性分析，计算相关系数。</w:t>
      </w:r>
    </w:p>
    <w:p w14:paraId="7DFEAA44">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.2.2  </w:t>
      </w:r>
      <w:r>
        <w:rPr>
          <w:rFonts w:hint="eastAsia" w:ascii="黑体" w:hAnsi="黑体" w:eastAsia="黑体" w:cs="Times New Roman"/>
          <w:sz w:val="24"/>
          <w:szCs w:val="24"/>
          <w:lang w:val="en-US" w:eastAsia="zh-CN" w:bidi="ar-SA"/>
        </w:rPr>
        <w:t>筛选敏感遥感指数</w:t>
      </w:r>
    </w:p>
    <w:p w14:paraId="36D56FF7">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根据相关系数绝对值的大小，确定敏感遥感指数。</w:t>
      </w:r>
    </w:p>
    <w:p w14:paraId="2B8417EA">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6</w:t>
      </w:r>
      <w:r>
        <w:rPr>
          <w:rFonts w:ascii="黑体" w:hAnsi="黑体" w:eastAsia="黑体" w:cs="Times New Roman"/>
          <w:sz w:val="24"/>
          <w:szCs w:val="24"/>
          <w:lang w:val="en-US" w:eastAsia="zh-CN" w:bidi="ar-SA"/>
        </w:rPr>
        <w:t xml:space="preserve">.2.3  </w:t>
      </w:r>
      <w:r>
        <w:rPr>
          <w:rFonts w:hint="eastAsia" w:ascii="黑体" w:hAnsi="黑体" w:eastAsia="黑体" w:cs="Times New Roman"/>
          <w:sz w:val="24"/>
          <w:szCs w:val="24"/>
          <w:lang w:val="en-US" w:eastAsia="zh-CN" w:bidi="ar-SA"/>
        </w:rPr>
        <w:t>构建产量预测模型</w:t>
      </w:r>
    </w:p>
    <w:p w14:paraId="0FE56B0B">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以敏感遥感指数为自变量、产量为因变量，选择最优回归算法，构建水稻苗情遥感监测模型。</w:t>
      </w:r>
    </w:p>
    <w:p w14:paraId="551EF927">
      <w:pPr>
        <w:spacing w:before="158" w:beforeLines="50" w:after="158" w:afterLines="50"/>
        <w:outlineLvl w:val="2"/>
        <w:rPr>
          <w:rFonts w:ascii="黑体" w:hAnsi="黑体" w:eastAsia="黑体" w:cs="Times New Roman"/>
          <w:sz w:val="24"/>
          <w:szCs w:val="24"/>
          <w:lang w:val="en-US" w:eastAsia="zh-CN" w:bidi="ar-SA"/>
        </w:rPr>
      </w:pPr>
      <w:r>
        <w:rPr>
          <w:rFonts w:ascii="黑体" w:hAnsi="黑体" w:eastAsia="黑体" w:cs="Times New Roman"/>
          <w:sz w:val="24"/>
          <w:szCs w:val="24"/>
          <w:lang w:val="en-US" w:eastAsia="zh-CN" w:bidi="ar-SA"/>
        </w:rPr>
        <w:t xml:space="preserve">6.2.4  </w:t>
      </w:r>
      <w:r>
        <w:rPr>
          <w:rFonts w:hint="eastAsia" w:ascii="黑体" w:hAnsi="黑体" w:eastAsia="黑体" w:cs="Times New Roman"/>
          <w:sz w:val="24"/>
          <w:szCs w:val="24"/>
          <w:lang w:val="en-US" w:eastAsia="zh-CN" w:bidi="ar-SA"/>
        </w:rPr>
        <w:t>模型精度评价</w:t>
      </w:r>
    </w:p>
    <w:p w14:paraId="00FBA2E6">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通过计算R</w:t>
      </w:r>
      <w:r>
        <w:rPr>
          <w:rFonts w:ascii="Times New Roman" w:hAnsi="Times New Roman" w:eastAsia="宋体" w:cs="Times New Roman"/>
          <w:sz w:val="24"/>
          <w:szCs w:val="24"/>
          <w:vertAlign w:val="superscript"/>
          <w:lang w:val="en-US" w:eastAsia="zh-CN" w:bidi="ar-SA"/>
        </w:rPr>
        <w:t>2</w:t>
      </w:r>
      <w:r>
        <w:rPr>
          <w:rFonts w:ascii="Times New Roman" w:hAnsi="Times New Roman" w:eastAsia="宋体" w:cs="Times New Roman"/>
          <w:sz w:val="24"/>
          <w:szCs w:val="24"/>
          <w:lang w:val="en-US" w:eastAsia="zh-CN" w:bidi="ar-SA"/>
        </w:rPr>
        <w:t xml:space="preserve"> </w:t>
      </w:r>
      <w:r>
        <w:rPr>
          <w:rFonts w:hint="eastAsia" w:ascii="Times New Roman" w:hAnsi="Times New Roman" w:eastAsia="宋体" w:cs="Times New Roman"/>
          <w:sz w:val="24"/>
          <w:szCs w:val="24"/>
          <w:lang w:val="en-US" w:eastAsia="zh-CN" w:bidi="ar-SA"/>
        </w:rPr>
        <w:t>(公式1</w:t>
      </w:r>
      <w:r>
        <w:rPr>
          <w:rFonts w:ascii="Times New Roman" w:hAnsi="Times New Roman" w:eastAsia="宋体" w:cs="Times New Roman"/>
          <w:sz w:val="24"/>
          <w:szCs w:val="24"/>
          <w:lang w:val="en-US" w:eastAsia="zh-CN" w:bidi="ar-SA"/>
        </w:rPr>
        <w:t xml:space="preserve">) </w:t>
      </w:r>
      <w:r>
        <w:rPr>
          <w:rFonts w:hint="eastAsia" w:ascii="Times New Roman" w:hAnsi="Times New Roman" w:eastAsia="宋体" w:cs="Times New Roman"/>
          <w:sz w:val="24"/>
          <w:szCs w:val="24"/>
          <w:lang w:val="en-US" w:eastAsia="zh-CN" w:bidi="ar-SA"/>
        </w:rPr>
        <w:t>和R</w:t>
      </w:r>
      <w:r>
        <w:rPr>
          <w:rFonts w:ascii="Times New Roman" w:hAnsi="Times New Roman" w:eastAsia="宋体" w:cs="Times New Roman"/>
          <w:sz w:val="24"/>
          <w:szCs w:val="24"/>
          <w:lang w:val="en-US" w:eastAsia="zh-CN" w:bidi="ar-SA"/>
        </w:rPr>
        <w:t>MSE (</w:t>
      </w:r>
      <w:r>
        <w:rPr>
          <w:rFonts w:hint="eastAsia" w:ascii="Times New Roman" w:hAnsi="Times New Roman" w:eastAsia="宋体" w:cs="Times New Roman"/>
          <w:sz w:val="24"/>
          <w:szCs w:val="24"/>
          <w:lang w:val="en-US" w:eastAsia="zh-CN" w:bidi="ar-SA"/>
        </w:rPr>
        <w:t>公式</w:t>
      </w:r>
      <w:r>
        <w:rPr>
          <w:rFonts w:ascii="Times New Roman" w:hAnsi="Times New Roman" w:eastAsia="宋体" w:cs="Times New Roman"/>
          <w:sz w:val="24"/>
          <w:szCs w:val="24"/>
          <w:lang w:val="en-US" w:eastAsia="zh-CN" w:bidi="ar-SA"/>
        </w:rPr>
        <w:t xml:space="preserve">2) </w:t>
      </w:r>
      <w:r>
        <w:rPr>
          <w:rFonts w:hint="eastAsia" w:ascii="Times New Roman" w:hAnsi="Times New Roman" w:eastAsia="宋体" w:cs="Times New Roman"/>
          <w:sz w:val="24"/>
          <w:szCs w:val="24"/>
          <w:lang w:val="en-US" w:eastAsia="zh-CN" w:bidi="ar-SA"/>
        </w:rPr>
        <w:t>两个指标，对构建的预测模型进行评价，筛选出最优模型。</w:t>
      </w:r>
    </w:p>
    <w:tbl>
      <w:tblPr>
        <w:tblStyle w:val="2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389"/>
        <w:gridCol w:w="4389"/>
      </w:tblGrid>
      <w:tr w14:paraId="30605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389" w:type="dxa"/>
            <w:vAlign w:val="center"/>
          </w:tcPr>
          <w:p w14:paraId="231DE6E4">
            <w:pPr>
              <w:autoSpaceDE w:val="0"/>
              <w:autoSpaceDN w:val="0"/>
              <w:ind w:firstLine="0" w:firstLineChars="0"/>
              <w:jc w:val="center"/>
              <w:rPr>
                <w:rFonts w:ascii="Times New Roman" w:hAnsi="Times New Roman" w:eastAsia="宋体" w:cs="Times New Roman"/>
                <w:sz w:val="24"/>
                <w:szCs w:val="24"/>
                <w:lang w:val="en-US" w:eastAsia="zh-CN" w:bidi="ar-SA"/>
              </w:rPr>
            </w:pPr>
            <m:oMathPara>
              <m:oMath>
                <m:sSup>
                  <m:sSupPr>
                    <m:ctrlPr>
                      <w:rPr>
                        <w:rFonts w:ascii="Cambria Math" w:hAnsi="Cambria Math"/>
                        <w:i/>
                        <w:sz w:val="24"/>
                        <w:szCs w:val="24"/>
                      </w:rPr>
                    </m:ctrlPr>
                  </m:sSupPr>
                  <m:e>
                    <m:r>
                      <m:rPr/>
                      <w:rPr>
                        <w:rFonts w:ascii="Cambria Math" w:hAnsi="Cambria Math"/>
                        <w:sz w:val="24"/>
                        <w:szCs w:val="24"/>
                      </w:rPr>
                      <m:t>R</m:t>
                    </m:r>
                    <m:ctrlPr>
                      <w:rPr>
                        <w:rFonts w:ascii="Cambria Math" w:hAnsi="Cambria Math"/>
                        <w:i/>
                        <w:sz w:val="24"/>
                        <w:szCs w:val="24"/>
                      </w:rPr>
                    </m:ctrlPr>
                  </m:e>
                  <m:sup>
                    <m:r>
                      <m:rPr/>
                      <w:rPr>
                        <w:rFonts w:ascii="Cambria Math" w:hAnsi="Cambria Math"/>
                        <w:sz w:val="24"/>
                        <w:szCs w:val="24"/>
                      </w:rPr>
                      <m:t>2</m:t>
                    </m:r>
                    <m:ctrlPr>
                      <w:rPr>
                        <w:rFonts w:ascii="Cambria Math" w:hAnsi="Cambria Math"/>
                        <w:i/>
                        <w:sz w:val="24"/>
                        <w:szCs w:val="24"/>
                      </w:rPr>
                    </m:ctrlPr>
                  </m:sup>
                </m:sSup>
                <m:r>
                  <m:rPr/>
                  <w:rPr>
                    <w:rFonts w:ascii="Cambria Math" w:hAnsi="Cambria Math"/>
                    <w:sz w:val="24"/>
                    <w:szCs w:val="24"/>
                  </w:rPr>
                  <m:t>=1−</m:t>
                </m:r>
                <m:f>
                  <m:fPr>
                    <m:ctrlPr>
                      <w:rPr>
                        <w:rFonts w:ascii="Cambria Math" w:hAnsi="Cambria Math"/>
                        <w:i/>
                        <w:sz w:val="24"/>
                        <w:szCs w:val="24"/>
                      </w:rPr>
                    </m:ctrlPr>
                  </m:fPr>
                  <m:num>
                    <m:nary>
                      <m:naryPr>
                        <m:chr m:val="∑"/>
                        <m:limLoc m:val="subSup"/>
                        <m:ctrlPr>
                          <w:rPr>
                            <w:rFonts w:ascii="Cambria Math" w:hAnsi="Cambria Math"/>
                            <w:i/>
                            <w:sz w:val="24"/>
                            <w:szCs w:val="24"/>
                          </w:rPr>
                        </m:ctrlPr>
                      </m:naryPr>
                      <m:sub>
                        <m:r>
                          <m:rPr/>
                          <w:rPr>
                            <w:rFonts w:hint="eastAsia" w:ascii="Cambria Math" w:hAnsi="Cambria Math"/>
                            <w:sz w:val="24"/>
                            <w:szCs w:val="24"/>
                          </w:rPr>
                          <m:t>i</m:t>
                        </m:r>
                        <m:r>
                          <m:rPr/>
                          <w:rPr>
                            <w:rFonts w:ascii="Cambria Math" w:hAnsi="Cambria Math"/>
                            <w:sz w:val="24"/>
                            <w:szCs w:val="24"/>
                          </w:rPr>
                          <m:t>=1</m:t>
                        </m:r>
                        <m:ctrlPr>
                          <w:rPr>
                            <w:rFonts w:ascii="Cambria Math" w:hAnsi="Cambria Math"/>
                            <w:i/>
                            <w:sz w:val="24"/>
                            <w:szCs w:val="24"/>
                          </w:rPr>
                        </m:ctrlPr>
                      </m:sub>
                      <m:sup>
                        <m:r>
                          <m:rPr/>
                          <w:rPr>
                            <w:rFonts w:hint="eastAsia" w:ascii="Cambria Math" w:hAnsi="Cambria Math"/>
                            <w:sz w:val="24"/>
                            <w:szCs w:val="24"/>
                          </w:rPr>
                          <m:t>n</m:t>
                        </m:r>
                        <m:ctrlPr>
                          <w:rPr>
                            <w:rFonts w:ascii="Cambria Math" w:hAnsi="Cambria Math"/>
                            <w:i/>
                            <w:sz w:val="24"/>
                            <w:szCs w:val="24"/>
                          </w:rPr>
                        </m:ctrlPr>
                      </m:sup>
                      <m:e>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m:rPr/>
                                      <w:rPr>
                                        <w:rFonts w:hint="eastAsia" w:ascii="Cambria Math" w:hAnsi="Cambria Math"/>
                                        <w:sz w:val="24"/>
                                        <w:szCs w:val="24"/>
                                      </w:rPr>
                                      <m:t>x</m:t>
                                    </m:r>
                                    <m:ctrlPr>
                                      <w:rPr>
                                        <w:rFonts w:ascii="Cambria Math" w:hAnsi="Cambria Math"/>
                                        <w:i/>
                                        <w:sz w:val="24"/>
                                        <w:szCs w:val="24"/>
                                      </w:rPr>
                                    </m:ctrlPr>
                                  </m:e>
                                  <m:sub>
                                    <m:r>
                                      <m:rPr/>
                                      <w:rPr>
                                        <w:rFonts w:hint="eastAsia" w:ascii="Cambria Math" w:hAnsi="Cambria Math"/>
                                        <w:sz w:val="24"/>
                                        <w:szCs w:val="24"/>
                                      </w:rPr>
                                      <m:t>i</m:t>
                                    </m:r>
                                    <m:ctrlPr>
                                      <w:rPr>
                                        <w:rFonts w:ascii="Cambria Math" w:hAnsi="Cambria Math"/>
                                        <w:i/>
                                        <w:sz w:val="24"/>
                                        <w:szCs w:val="24"/>
                                      </w:rPr>
                                    </m:ctrlPr>
                                  </m:sub>
                                </m:sSub>
                                <m:r>
                                  <m:rPr/>
                                  <w:rPr>
                                    <w:rFonts w:ascii="Cambria Math" w:hAnsi="Cambria Math"/>
                                    <w:sz w:val="24"/>
                                    <w:szCs w:val="24"/>
                                  </w:rPr>
                                  <m:t>−</m:t>
                                </m:r>
                                <m:sSub>
                                  <m:sSubPr>
                                    <m:ctrlPr>
                                      <w:rPr>
                                        <w:rFonts w:ascii="Cambria Math" w:hAnsi="Cambria Math"/>
                                        <w:i/>
                                        <w:sz w:val="24"/>
                                        <w:szCs w:val="24"/>
                                      </w:rPr>
                                    </m:ctrlPr>
                                  </m:sSubPr>
                                  <m:e>
                                    <m:r>
                                      <m:rPr/>
                                      <w:rPr>
                                        <w:rFonts w:ascii="Cambria Math" w:hAnsi="Cambria Math"/>
                                        <w:sz w:val="24"/>
                                        <w:szCs w:val="24"/>
                                      </w:rPr>
                                      <m:t>y</m:t>
                                    </m:r>
                                    <m:ctrlPr>
                                      <w:rPr>
                                        <w:rFonts w:ascii="Cambria Math" w:hAnsi="Cambria Math"/>
                                        <w:i/>
                                        <w:sz w:val="24"/>
                                        <w:szCs w:val="24"/>
                                      </w:rPr>
                                    </m:ctrlPr>
                                  </m:e>
                                  <m:sub>
                                    <m:r>
                                      <m:rPr/>
                                      <w:rPr>
                                        <w:rFonts w:ascii="Cambria Math" w:hAnsi="Cambria Math"/>
                                        <w:sz w:val="24"/>
                                        <w:szCs w:val="24"/>
                                      </w:rPr>
                                      <m:t>i</m:t>
                                    </m:r>
                                    <m:ctrlPr>
                                      <w:rPr>
                                        <w:rFonts w:ascii="Cambria Math" w:hAnsi="Cambria Math"/>
                                        <w:i/>
                                        <w:sz w:val="24"/>
                                        <w:szCs w:val="24"/>
                                      </w:rPr>
                                    </m:ctrlPr>
                                  </m:sub>
                                </m:sSub>
                                <m:ctrlPr>
                                  <w:rPr>
                                    <w:rFonts w:ascii="Cambria Math" w:hAnsi="Cambria Math"/>
                                    <w:i/>
                                    <w:sz w:val="24"/>
                                    <w:szCs w:val="24"/>
                                  </w:rPr>
                                </m:ctrlPr>
                              </m:e>
                            </m:d>
                            <m:ctrlPr>
                              <w:rPr>
                                <w:rFonts w:ascii="Cambria Math" w:hAnsi="Cambria Math"/>
                                <w:i/>
                                <w:sz w:val="24"/>
                                <w:szCs w:val="24"/>
                              </w:rPr>
                            </m:ctrlPr>
                          </m:e>
                          <m:sup>
                            <m:r>
                              <m:rPr/>
                              <w:rPr>
                                <w:rFonts w:ascii="Cambria Math" w:hAnsi="Cambria Math"/>
                                <w:sz w:val="24"/>
                                <w:szCs w:val="24"/>
                              </w:rPr>
                              <m:t>2</m:t>
                            </m:r>
                            <m:ctrlPr>
                              <w:rPr>
                                <w:rFonts w:ascii="Cambria Math" w:hAnsi="Cambria Math"/>
                                <w:i/>
                                <w:sz w:val="24"/>
                                <w:szCs w:val="24"/>
                              </w:rPr>
                            </m:ctrlPr>
                          </m:sup>
                        </m:sSup>
                        <m:ctrlPr>
                          <w:rPr>
                            <w:rFonts w:ascii="Cambria Math" w:hAnsi="Cambria Math"/>
                            <w:i/>
                            <w:sz w:val="24"/>
                            <w:szCs w:val="24"/>
                          </w:rPr>
                        </m:ctrlPr>
                      </m:e>
                    </m:nary>
                    <m:ctrlPr>
                      <w:rPr>
                        <w:rFonts w:ascii="Cambria Math" w:hAnsi="Cambria Math"/>
                        <w:i/>
                        <w:sz w:val="24"/>
                        <w:szCs w:val="24"/>
                      </w:rPr>
                    </m:ctrlPr>
                  </m:num>
                  <m:den>
                    <m:nary>
                      <m:naryPr>
                        <m:chr m:val="∑"/>
                        <m:limLoc m:val="subSup"/>
                        <m:ctrlPr>
                          <w:rPr>
                            <w:rFonts w:ascii="Cambria Math" w:hAnsi="Cambria Math"/>
                            <w:i/>
                            <w:sz w:val="24"/>
                            <w:szCs w:val="24"/>
                          </w:rPr>
                        </m:ctrlPr>
                      </m:naryPr>
                      <m:sub>
                        <m:r>
                          <m:rPr/>
                          <w:rPr>
                            <w:rFonts w:hint="eastAsia" w:ascii="Cambria Math" w:hAnsi="Cambria Math"/>
                            <w:sz w:val="24"/>
                            <w:szCs w:val="24"/>
                          </w:rPr>
                          <m:t>i</m:t>
                        </m:r>
                        <m:r>
                          <m:rPr/>
                          <w:rPr>
                            <w:rFonts w:ascii="Cambria Math" w:hAnsi="Cambria Math"/>
                            <w:sz w:val="24"/>
                            <w:szCs w:val="24"/>
                          </w:rPr>
                          <m:t>=1</m:t>
                        </m:r>
                        <m:ctrlPr>
                          <w:rPr>
                            <w:rFonts w:ascii="Cambria Math" w:hAnsi="Cambria Math"/>
                            <w:i/>
                            <w:sz w:val="24"/>
                            <w:szCs w:val="24"/>
                          </w:rPr>
                        </m:ctrlPr>
                      </m:sub>
                      <m:sup>
                        <m:r>
                          <m:rPr/>
                          <w:rPr>
                            <w:rFonts w:hint="eastAsia" w:ascii="Cambria Math" w:hAnsi="Cambria Math"/>
                            <w:sz w:val="24"/>
                            <w:szCs w:val="24"/>
                          </w:rPr>
                          <m:t>n</m:t>
                        </m:r>
                        <m:ctrlPr>
                          <w:rPr>
                            <w:rFonts w:ascii="Cambria Math" w:hAnsi="Cambria Math"/>
                            <w:i/>
                            <w:sz w:val="24"/>
                            <w:szCs w:val="24"/>
                          </w:rPr>
                        </m:ctrlPr>
                      </m:sup>
                      <m:e>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m:rPr/>
                                      <w:rPr>
                                        <w:rFonts w:hint="eastAsia" w:ascii="Cambria Math" w:hAnsi="Cambria Math"/>
                                        <w:sz w:val="24"/>
                                        <w:szCs w:val="24"/>
                                      </w:rPr>
                                      <m:t>x</m:t>
                                    </m:r>
                                    <m:ctrlPr>
                                      <w:rPr>
                                        <w:rFonts w:ascii="Cambria Math" w:hAnsi="Cambria Math"/>
                                        <w:i/>
                                        <w:sz w:val="24"/>
                                        <w:szCs w:val="24"/>
                                      </w:rPr>
                                    </m:ctrlPr>
                                  </m:e>
                                  <m:sub>
                                    <m:r>
                                      <m:rPr/>
                                      <w:rPr>
                                        <w:rFonts w:hint="eastAsia" w:ascii="Cambria Math" w:hAnsi="Cambria Math"/>
                                        <w:sz w:val="24"/>
                                        <w:szCs w:val="24"/>
                                      </w:rPr>
                                      <m:t>i</m:t>
                                    </m:r>
                                    <m:ctrlPr>
                                      <w:rPr>
                                        <w:rFonts w:ascii="Cambria Math" w:hAnsi="Cambria Math"/>
                                        <w:i/>
                                        <w:sz w:val="24"/>
                                        <w:szCs w:val="24"/>
                                      </w:rPr>
                                    </m:ctrlPr>
                                  </m:sub>
                                </m:sSub>
                                <m:r>
                                  <m:rPr/>
                                  <w:rPr>
                                    <w:rFonts w:ascii="Cambria Math" w:hAnsi="Cambria Math"/>
                                    <w:sz w:val="24"/>
                                    <w:szCs w:val="24"/>
                                  </w:rPr>
                                  <m:t>−x̅</m:t>
                                </m:r>
                                <m:ctrlPr>
                                  <w:rPr>
                                    <w:rFonts w:ascii="Cambria Math" w:hAnsi="Cambria Math"/>
                                    <w:i/>
                                    <w:sz w:val="24"/>
                                    <w:szCs w:val="24"/>
                                  </w:rPr>
                                </m:ctrlPr>
                              </m:e>
                            </m:d>
                            <m:ctrlPr>
                              <w:rPr>
                                <w:rFonts w:ascii="Cambria Math" w:hAnsi="Cambria Math"/>
                                <w:i/>
                                <w:sz w:val="24"/>
                                <w:szCs w:val="24"/>
                              </w:rPr>
                            </m:ctrlPr>
                          </m:e>
                          <m:sup>
                            <m:r>
                              <m:rPr/>
                              <w:rPr>
                                <w:rFonts w:ascii="Cambria Math" w:hAnsi="Cambria Math"/>
                                <w:sz w:val="24"/>
                                <w:szCs w:val="24"/>
                              </w:rPr>
                              <m:t>2</m:t>
                            </m:r>
                            <m:ctrlPr>
                              <w:rPr>
                                <w:rFonts w:ascii="Cambria Math" w:hAnsi="Cambria Math"/>
                                <w:i/>
                                <w:sz w:val="24"/>
                                <w:szCs w:val="24"/>
                              </w:rPr>
                            </m:ctrlPr>
                          </m:sup>
                        </m:sSup>
                        <m:ctrlPr>
                          <w:rPr>
                            <w:rFonts w:ascii="Cambria Math" w:hAnsi="Cambria Math"/>
                            <w:i/>
                            <w:sz w:val="24"/>
                            <w:szCs w:val="24"/>
                          </w:rPr>
                        </m:ctrlPr>
                      </m:e>
                    </m:nary>
                    <m:ctrlPr>
                      <w:rPr>
                        <w:rFonts w:ascii="Cambria Math" w:hAnsi="Cambria Math"/>
                        <w:i/>
                        <w:sz w:val="24"/>
                        <w:szCs w:val="24"/>
                      </w:rPr>
                    </m:ctrlPr>
                  </m:den>
                </m:f>
              </m:oMath>
            </m:oMathPara>
          </w:p>
        </w:tc>
        <w:tc>
          <w:tcPr>
            <w:tcW w:w="4389" w:type="dxa"/>
            <w:vAlign w:val="center"/>
          </w:tcPr>
          <w:p w14:paraId="4D2F731F">
            <w:pPr>
              <w:autoSpaceDE w:val="0"/>
              <w:autoSpaceDN w:val="0"/>
              <w:ind w:firstLine="0" w:firstLineChars="0"/>
              <w:jc w:val="right"/>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公式1</w:t>
            </w:r>
          </w:p>
        </w:tc>
      </w:tr>
      <w:tr w14:paraId="148BA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4389" w:type="dxa"/>
            <w:vAlign w:val="center"/>
          </w:tcPr>
          <w:p w14:paraId="7A3FD02A">
            <w:pPr>
              <w:autoSpaceDE w:val="0"/>
              <w:autoSpaceDN w:val="0"/>
              <w:ind w:firstLine="0" w:firstLineChars="0"/>
              <w:jc w:val="center"/>
              <w:rPr>
                <w:rFonts w:ascii="Times New Roman" w:hAnsi="Times New Roman" w:eastAsia="宋体" w:cs="Times New Roman"/>
                <w:sz w:val="24"/>
                <w:szCs w:val="24"/>
                <w:lang w:val="en-US" w:eastAsia="zh-CN" w:bidi="ar-SA"/>
              </w:rPr>
            </w:pPr>
            <m:oMathPara>
              <m:oMath>
                <m:r>
                  <m:rPr/>
                  <w:rPr>
                    <w:rFonts w:ascii="Cambria Math" w:hAnsi="Cambria Math"/>
                    <w:sz w:val="24"/>
                    <w:szCs w:val="24"/>
                  </w:rPr>
                  <m:t>RMSE=</m:t>
                </m:r>
                <m:rad>
                  <m:radPr>
                    <m:degHide m:val="1"/>
                    <m:ctrlPr>
                      <w:rPr>
                        <w:rFonts w:ascii="Cambria Math" w:hAnsi="Cambria Math"/>
                        <w:i/>
                        <w:sz w:val="24"/>
                        <w:szCs w:val="24"/>
                      </w:rPr>
                    </m:ctrlPr>
                  </m:radPr>
                  <m:deg>
                    <m:ctrlPr>
                      <w:rPr>
                        <w:rFonts w:ascii="Cambria Math" w:hAnsi="Cambria Math"/>
                        <w:i/>
                        <w:sz w:val="24"/>
                        <w:szCs w:val="24"/>
                      </w:rPr>
                    </m:ctrlPr>
                  </m:deg>
                  <m:e>
                    <m:f>
                      <m:fPr>
                        <m:ctrlPr>
                          <w:rPr>
                            <w:rFonts w:ascii="Cambria Math" w:hAnsi="Cambria Math"/>
                            <w:i/>
                            <w:sz w:val="24"/>
                            <w:szCs w:val="24"/>
                          </w:rPr>
                        </m:ctrlPr>
                      </m:fPr>
                      <m:num>
                        <m:r>
                          <m:rPr/>
                          <w:rPr>
                            <w:rFonts w:ascii="Cambria Math" w:hAnsi="Cambria Math"/>
                            <w:sz w:val="24"/>
                            <w:szCs w:val="24"/>
                          </w:rPr>
                          <m:t>1</m:t>
                        </m:r>
                        <m:ctrlPr>
                          <w:rPr>
                            <w:rFonts w:ascii="Cambria Math" w:hAnsi="Cambria Math"/>
                            <w:i/>
                            <w:sz w:val="24"/>
                            <w:szCs w:val="24"/>
                          </w:rPr>
                        </m:ctrlPr>
                      </m:num>
                      <m:den>
                        <m:r>
                          <m:rPr/>
                          <w:rPr>
                            <w:rFonts w:ascii="Cambria Math" w:hAnsi="Cambria Math"/>
                            <w:sz w:val="24"/>
                            <w:szCs w:val="24"/>
                          </w:rPr>
                          <m:t>n</m:t>
                        </m:r>
                        <m:ctrlPr>
                          <w:rPr>
                            <w:rFonts w:ascii="Cambria Math" w:hAnsi="Cambria Math"/>
                            <w:i/>
                            <w:sz w:val="24"/>
                            <w:szCs w:val="24"/>
                          </w:rPr>
                        </m:ctrlPr>
                      </m:den>
                    </m:f>
                    <m:nary>
                      <m:naryPr>
                        <m:chr m:val="∑"/>
                        <m:limLoc m:val="subSup"/>
                        <m:ctrlPr>
                          <w:rPr>
                            <w:rFonts w:ascii="Cambria Math" w:hAnsi="Cambria Math"/>
                            <w:i/>
                            <w:sz w:val="24"/>
                            <w:szCs w:val="24"/>
                          </w:rPr>
                        </m:ctrlPr>
                      </m:naryPr>
                      <m:sub>
                        <m:r>
                          <m:rPr/>
                          <w:rPr>
                            <w:rFonts w:ascii="Cambria Math" w:hAnsi="Cambria Math"/>
                            <w:sz w:val="24"/>
                            <w:szCs w:val="24"/>
                          </w:rPr>
                          <m:t>i=1</m:t>
                        </m:r>
                        <m:ctrlPr>
                          <w:rPr>
                            <w:rFonts w:ascii="Cambria Math" w:hAnsi="Cambria Math"/>
                            <w:i/>
                            <w:sz w:val="24"/>
                            <w:szCs w:val="24"/>
                          </w:rPr>
                        </m:ctrlPr>
                      </m:sub>
                      <m:sup>
                        <m:r>
                          <m:rPr/>
                          <w:rPr>
                            <w:rFonts w:ascii="Cambria Math" w:hAnsi="Cambria Math"/>
                            <w:sz w:val="24"/>
                            <w:szCs w:val="24"/>
                          </w:rPr>
                          <m:t>n</m:t>
                        </m:r>
                        <m:ctrlPr>
                          <w:rPr>
                            <w:rFonts w:ascii="Cambria Math" w:hAnsi="Cambria Math"/>
                            <w:i/>
                            <w:sz w:val="24"/>
                            <w:szCs w:val="24"/>
                          </w:rPr>
                        </m:ctrlPr>
                      </m:sup>
                      <m:e>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m:rPr/>
                                      <w:rPr>
                                        <w:rFonts w:ascii="Cambria Math" w:hAnsi="Cambria Math"/>
                                        <w:sz w:val="24"/>
                                        <w:szCs w:val="24"/>
                                      </w:rPr>
                                      <m:t>y</m:t>
                                    </m:r>
                                    <m:ctrlPr>
                                      <w:rPr>
                                        <w:rFonts w:ascii="Cambria Math" w:hAnsi="Cambria Math"/>
                                        <w:i/>
                                        <w:sz w:val="24"/>
                                        <w:szCs w:val="24"/>
                                      </w:rPr>
                                    </m:ctrlPr>
                                  </m:e>
                                  <m:sub>
                                    <m:r>
                                      <m:rPr/>
                                      <w:rPr>
                                        <w:rFonts w:ascii="Cambria Math" w:hAnsi="Cambria Math"/>
                                        <w:sz w:val="24"/>
                                        <w:szCs w:val="24"/>
                                      </w:rPr>
                                      <m:t>i</m:t>
                                    </m:r>
                                    <m:ctrlPr>
                                      <w:rPr>
                                        <w:rFonts w:ascii="Cambria Math" w:hAnsi="Cambria Math"/>
                                        <w:i/>
                                        <w:sz w:val="24"/>
                                        <w:szCs w:val="24"/>
                                      </w:rPr>
                                    </m:ctrlPr>
                                  </m:sub>
                                </m:sSub>
                                <m:r>
                                  <m:rPr/>
                                  <w:rPr>
                                    <w:rFonts w:ascii="Cambria Math" w:hAnsi="Cambria Math"/>
                                    <w:sz w:val="24"/>
                                    <w:szCs w:val="24"/>
                                  </w:rPr>
                                  <m:t>−</m:t>
                                </m:r>
                                <m:sSub>
                                  <m:sSubPr>
                                    <m:ctrlPr>
                                      <w:rPr>
                                        <w:rFonts w:ascii="Cambria Math" w:hAnsi="Cambria Math"/>
                                        <w:i/>
                                        <w:sz w:val="24"/>
                                        <w:szCs w:val="24"/>
                                      </w:rPr>
                                    </m:ctrlPr>
                                  </m:sSubPr>
                                  <m:e>
                                    <m:r>
                                      <m:rPr/>
                                      <w:rPr>
                                        <w:rFonts w:ascii="Cambria Math" w:hAnsi="Cambria Math"/>
                                        <w:sz w:val="24"/>
                                        <w:szCs w:val="24"/>
                                      </w:rPr>
                                      <m:t>x</m:t>
                                    </m:r>
                                    <m:ctrlPr>
                                      <w:rPr>
                                        <w:rFonts w:ascii="Cambria Math" w:hAnsi="Cambria Math"/>
                                        <w:i/>
                                        <w:sz w:val="24"/>
                                        <w:szCs w:val="24"/>
                                      </w:rPr>
                                    </m:ctrlPr>
                                  </m:e>
                                  <m:sub>
                                    <m:r>
                                      <m:rPr/>
                                      <w:rPr>
                                        <w:rFonts w:ascii="Cambria Math" w:hAnsi="Cambria Math"/>
                                        <w:sz w:val="24"/>
                                        <w:szCs w:val="24"/>
                                      </w:rPr>
                                      <m:t>i</m:t>
                                    </m:r>
                                    <m:ctrlPr>
                                      <w:rPr>
                                        <w:rFonts w:ascii="Cambria Math" w:hAnsi="Cambria Math"/>
                                        <w:i/>
                                        <w:sz w:val="24"/>
                                        <w:szCs w:val="24"/>
                                      </w:rPr>
                                    </m:ctrlPr>
                                  </m:sub>
                                </m:sSub>
                                <m:ctrlPr>
                                  <w:rPr>
                                    <w:rFonts w:ascii="Cambria Math" w:hAnsi="Cambria Math"/>
                                    <w:i/>
                                    <w:sz w:val="24"/>
                                    <w:szCs w:val="24"/>
                                  </w:rPr>
                                </m:ctrlPr>
                              </m:e>
                            </m:d>
                            <m:ctrlPr>
                              <w:rPr>
                                <w:rFonts w:ascii="Cambria Math" w:hAnsi="Cambria Math"/>
                                <w:i/>
                                <w:sz w:val="24"/>
                                <w:szCs w:val="24"/>
                              </w:rPr>
                            </m:ctrlPr>
                          </m:e>
                          <m:sup>
                            <m:r>
                              <m:rPr/>
                              <w:rPr>
                                <w:rFonts w:ascii="Cambria Math" w:hAnsi="Cambria Math"/>
                                <w:sz w:val="24"/>
                                <w:szCs w:val="24"/>
                              </w:rPr>
                              <m:t>2</m:t>
                            </m:r>
                            <m:ctrlPr>
                              <w:rPr>
                                <w:rFonts w:ascii="Cambria Math" w:hAnsi="Cambria Math"/>
                                <w:i/>
                                <w:sz w:val="24"/>
                                <w:szCs w:val="24"/>
                              </w:rPr>
                            </m:ctrlPr>
                          </m:sup>
                        </m:sSup>
                        <m:ctrlPr>
                          <w:rPr>
                            <w:rFonts w:ascii="Cambria Math" w:hAnsi="Cambria Math"/>
                            <w:i/>
                            <w:sz w:val="24"/>
                            <w:szCs w:val="24"/>
                          </w:rPr>
                        </m:ctrlPr>
                      </m:e>
                    </m:nary>
                    <m:ctrlPr>
                      <w:rPr>
                        <w:rFonts w:ascii="Cambria Math" w:hAnsi="Cambria Math"/>
                        <w:i/>
                        <w:sz w:val="24"/>
                        <w:szCs w:val="24"/>
                      </w:rPr>
                    </m:ctrlPr>
                  </m:e>
                </m:rad>
              </m:oMath>
            </m:oMathPara>
          </w:p>
        </w:tc>
        <w:tc>
          <w:tcPr>
            <w:tcW w:w="4389" w:type="dxa"/>
            <w:vAlign w:val="center"/>
          </w:tcPr>
          <w:p w14:paraId="7D21CB92">
            <w:pPr>
              <w:autoSpaceDE w:val="0"/>
              <w:autoSpaceDN w:val="0"/>
              <w:ind w:firstLine="0" w:firstLineChars="0"/>
              <w:jc w:val="right"/>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公式2</w:t>
            </w:r>
          </w:p>
        </w:tc>
      </w:tr>
    </w:tbl>
    <w:p w14:paraId="58275B4B">
      <w:pPr>
        <w:autoSpaceDE w:val="0"/>
        <w:autoSpaceDN w:val="0"/>
        <w:ind w:firstLine="480" w:firstLineChars="200"/>
        <w:jc w:val="both"/>
        <w:rPr>
          <w:rFonts w:ascii="Times New Roman" w:hAnsi="Times New Roman" w:eastAsia="宋体" w:cs="Times New Roman"/>
          <w:sz w:val="24"/>
          <w:szCs w:val="24"/>
          <w:lang w:val="en-US" w:eastAsia="zh-CN" w:bidi="ar-SA"/>
        </w:rPr>
      </w:pPr>
      <w:r>
        <w:rPr>
          <w:rFonts w:hint="eastAsia" w:ascii="Times New Roman" w:hAnsi="Times New Roman" w:eastAsia="宋体" w:cs="Times New Roman"/>
          <w:sz w:val="24"/>
          <w:szCs w:val="24"/>
          <w:lang w:val="en-US" w:eastAsia="zh-CN" w:bidi="ar-SA"/>
        </w:rPr>
        <w:t>式中，x</w:t>
      </w:r>
      <w:r>
        <w:rPr>
          <w:rFonts w:hint="eastAsia" w:ascii="Times New Roman" w:hAnsi="Times New Roman" w:eastAsia="宋体" w:cs="Times New Roman"/>
          <w:sz w:val="24"/>
          <w:szCs w:val="24"/>
          <w:vertAlign w:val="subscript"/>
          <w:lang w:val="en-US" w:eastAsia="zh-CN" w:bidi="ar-SA"/>
        </w:rPr>
        <w:t>i</w:t>
      </w:r>
      <w:r>
        <w:rPr>
          <w:rFonts w:hint="eastAsia" w:ascii="Times New Roman" w:hAnsi="Times New Roman" w:eastAsia="宋体" w:cs="Times New Roman"/>
          <w:sz w:val="24"/>
          <w:szCs w:val="24"/>
          <w:lang w:val="en-US" w:eastAsia="zh-CN" w:bidi="ar-SA"/>
        </w:rPr>
        <w:t>为样本i的实测值；y</w:t>
      </w:r>
      <w:r>
        <w:rPr>
          <w:rFonts w:hint="eastAsia" w:ascii="Times New Roman" w:hAnsi="Times New Roman" w:eastAsia="宋体" w:cs="Times New Roman"/>
          <w:sz w:val="24"/>
          <w:szCs w:val="24"/>
          <w:vertAlign w:val="subscript"/>
          <w:lang w:val="en-US" w:eastAsia="zh-CN" w:bidi="ar-SA"/>
        </w:rPr>
        <w:t>i</w:t>
      </w:r>
      <w:r>
        <w:rPr>
          <w:rFonts w:hint="eastAsia" w:ascii="Times New Roman" w:hAnsi="Times New Roman" w:eastAsia="宋体" w:cs="Times New Roman"/>
          <w:sz w:val="24"/>
          <w:szCs w:val="24"/>
          <w:lang w:val="en-US" w:eastAsia="zh-CN" w:bidi="ar-SA"/>
        </w:rPr>
        <w:t>为样本i的预测值；</w:t>
      </w:r>
      <m:oMath>
        <m:r>
          <m:rPr/>
          <w:rPr>
            <w:rFonts w:hint="default" w:ascii="Cambria Math" w:hAnsi="Cambria Math"/>
            <w:sz w:val="24"/>
            <w:szCs w:val="24"/>
          </w:rPr>
          <m:t>x̅</m:t>
        </m:r>
      </m:oMath>
      <w:r>
        <w:rPr>
          <w:rFonts w:hint="eastAsia" w:ascii="Times New Roman" w:hAnsi="Times New Roman" w:eastAsia="宋体" w:cs="Times New Roman"/>
          <w:sz w:val="24"/>
          <w:szCs w:val="24"/>
          <w:lang w:val="en-US" w:eastAsia="zh-CN" w:bidi="ar-SA"/>
        </w:rPr>
        <w:t>为样本实测值的均值；n为样本总量。</w:t>
      </w:r>
    </w:p>
    <w:p w14:paraId="5B76FDBD">
      <w:pPr>
        <w:spacing w:before="317" w:beforeLines="100" w:after="317" w:afterLines="100"/>
        <w:jc w:val="both"/>
        <w:outlineLvl w:val="1"/>
        <w:rPr>
          <w:rFonts w:ascii="黑体" w:hAnsi="Times New Roman" w:eastAsia="黑体" w:cs="Times New Roman"/>
          <w:sz w:val="24"/>
          <w:szCs w:val="24"/>
          <w:lang w:val="en-US" w:eastAsia="zh-CN" w:bidi="ar-SA"/>
        </w:rPr>
      </w:pPr>
      <w:bookmarkStart w:id="7" w:name="_Toc16066"/>
      <w:r>
        <w:rPr>
          <w:rFonts w:ascii="黑体" w:hAnsi="Times New Roman" w:eastAsia="黑体" w:cs="Times New Roman"/>
          <w:sz w:val="24"/>
          <w:szCs w:val="24"/>
          <w:lang w:val="en-US" w:eastAsia="zh-CN" w:bidi="ar-SA"/>
        </w:rPr>
        <w:t xml:space="preserve">7  </w:t>
      </w:r>
      <w:r>
        <w:rPr>
          <w:rFonts w:hint="eastAsia" w:ascii="黑体" w:hAnsi="Times New Roman" w:eastAsia="黑体" w:cs="Times New Roman"/>
          <w:sz w:val="24"/>
          <w:szCs w:val="24"/>
          <w:lang w:val="en-US" w:eastAsia="zh-CN" w:bidi="ar-SA"/>
        </w:rPr>
        <w:t>专题图制作和报告编写</w:t>
      </w:r>
      <w:bookmarkEnd w:id="7"/>
    </w:p>
    <w:p w14:paraId="726B038A">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7</w:t>
      </w:r>
      <w:r>
        <w:rPr>
          <w:rFonts w:ascii="黑体" w:hAnsi="黑体" w:eastAsia="黑体" w:cs="Times New Roman"/>
          <w:sz w:val="24"/>
          <w:szCs w:val="24"/>
          <w:lang w:val="en-US" w:eastAsia="zh-CN" w:bidi="ar-SA"/>
        </w:rPr>
        <w:t xml:space="preserve">.1  </w:t>
      </w:r>
      <w:r>
        <w:rPr>
          <w:rFonts w:hint="eastAsia" w:ascii="Times New Roman" w:hAnsi="Times New Roman" w:eastAsia="黑体" w:cs="Times New Roman"/>
          <w:sz w:val="24"/>
          <w:szCs w:val="24"/>
          <w:lang w:val="en-US" w:eastAsia="zh-CN" w:bidi="ar-SA"/>
        </w:rPr>
        <w:t>专题图制作</w:t>
      </w:r>
    </w:p>
    <w:p w14:paraId="68273D61">
      <w:pPr>
        <w:ind w:firstLine="480" w:firstLineChars="200"/>
        <w:rPr>
          <w:rFonts w:ascii="Times New Roman" w:hAnsi="宋体" w:eastAsia="宋体" w:cs="Times New Roman"/>
          <w:color w:val="000000"/>
          <w:sz w:val="24"/>
          <w:szCs w:val="24"/>
        </w:rPr>
      </w:pPr>
      <w:r>
        <w:rPr>
          <w:rFonts w:hint="eastAsia" w:ascii="Times New Roman" w:hAnsi="宋体" w:eastAsia="宋体" w:cs="Times New Roman"/>
          <w:color w:val="000000"/>
          <w:sz w:val="24"/>
          <w:szCs w:val="24"/>
        </w:rPr>
        <w:t>在遥感软件中，将敏感遥感指数代入水稻</w:t>
      </w:r>
      <w:r>
        <w:rPr>
          <w:rFonts w:hint="eastAsia" w:ascii="Times New Roman" w:hAnsi="宋体" w:eastAsia="宋体" w:cs="Times New Roman"/>
          <w:color w:val="000000"/>
          <w:sz w:val="24"/>
          <w:szCs w:val="24"/>
          <w:lang w:val="en-US" w:eastAsia="zh-CN"/>
        </w:rPr>
        <w:t>苗情监</w:t>
      </w:r>
      <w:r>
        <w:rPr>
          <w:rFonts w:hint="eastAsia" w:ascii="Times New Roman" w:hAnsi="宋体" w:eastAsia="宋体" w:cs="Times New Roman"/>
          <w:color w:val="000000"/>
          <w:sz w:val="24"/>
          <w:szCs w:val="24"/>
        </w:rPr>
        <w:t>测模型中，得到</w:t>
      </w:r>
      <w:r>
        <w:rPr>
          <w:rFonts w:hint="eastAsia" w:ascii="Times New Roman" w:hAnsi="宋体" w:eastAsia="宋体" w:cs="Times New Roman"/>
          <w:color w:val="000000"/>
          <w:sz w:val="24"/>
          <w:szCs w:val="24"/>
          <w:lang w:val="en-US" w:eastAsia="zh-CN"/>
        </w:rPr>
        <w:t>苗情监测</w:t>
      </w:r>
      <w:r>
        <w:rPr>
          <w:rFonts w:hint="eastAsia" w:ascii="Times New Roman" w:hAnsi="宋体" w:eastAsia="宋体" w:cs="Times New Roman"/>
          <w:color w:val="000000"/>
          <w:sz w:val="24"/>
          <w:szCs w:val="24"/>
        </w:rPr>
        <w:t>结果。水稻</w:t>
      </w:r>
      <w:r>
        <w:rPr>
          <w:rFonts w:hint="eastAsia" w:ascii="Times New Roman" w:hAnsi="宋体" w:eastAsia="宋体" w:cs="Times New Roman"/>
          <w:color w:val="000000"/>
          <w:sz w:val="24"/>
          <w:szCs w:val="24"/>
          <w:lang w:val="en-US" w:eastAsia="zh-CN"/>
        </w:rPr>
        <w:t>苗情</w:t>
      </w:r>
      <w:r>
        <w:rPr>
          <w:rFonts w:hint="eastAsia" w:ascii="Times New Roman" w:hAnsi="宋体" w:eastAsia="宋体" w:cs="Times New Roman"/>
          <w:color w:val="000000"/>
          <w:sz w:val="24"/>
          <w:szCs w:val="24"/>
        </w:rPr>
        <w:t>遥感</w:t>
      </w:r>
      <w:r>
        <w:rPr>
          <w:rFonts w:hint="eastAsia" w:ascii="Times New Roman" w:hAnsi="宋体" w:eastAsia="宋体" w:cs="Times New Roman"/>
          <w:color w:val="000000"/>
          <w:sz w:val="24"/>
          <w:szCs w:val="24"/>
          <w:lang w:val="en-US" w:eastAsia="zh-CN"/>
        </w:rPr>
        <w:t>监测</w:t>
      </w:r>
      <w:r>
        <w:rPr>
          <w:rFonts w:hint="eastAsia" w:ascii="Times New Roman" w:hAnsi="宋体" w:eastAsia="宋体" w:cs="Times New Roman"/>
          <w:color w:val="000000"/>
          <w:sz w:val="24"/>
          <w:szCs w:val="24"/>
        </w:rPr>
        <w:t>专题图要素包括图名、图例、比例尺、指北针、行政区划地理信息等。其中，基本地图要素制作方式按</w:t>
      </w:r>
      <w:r>
        <w:rPr>
          <w:rFonts w:hint="eastAsia" w:ascii="Times New Roman" w:hAnsi="Times New Roman" w:eastAsia="宋体" w:cs="Times New Roman"/>
          <w:color w:val="000000"/>
          <w:sz w:val="24"/>
          <w:szCs w:val="24"/>
        </w:rPr>
        <w:t>GB/T 20257</w:t>
      </w:r>
      <w:r>
        <w:rPr>
          <w:rFonts w:hint="eastAsia" w:ascii="Times New Roman" w:hAnsi="宋体" w:eastAsia="宋体" w:cs="Times New Roman"/>
          <w:color w:val="000000"/>
          <w:sz w:val="24"/>
          <w:szCs w:val="24"/>
        </w:rPr>
        <w:t>完成。</w:t>
      </w:r>
    </w:p>
    <w:p w14:paraId="1C29A7F6">
      <w:pPr>
        <w:spacing w:before="158" w:beforeLines="50" w:after="158" w:afterLines="50"/>
        <w:outlineLvl w:val="2"/>
        <w:rPr>
          <w:rFonts w:ascii="黑体" w:hAnsi="黑体" w:eastAsia="黑体" w:cs="Times New Roman"/>
          <w:sz w:val="24"/>
          <w:szCs w:val="24"/>
          <w:lang w:val="en-US" w:eastAsia="zh-CN" w:bidi="ar-SA"/>
        </w:rPr>
      </w:pPr>
      <w:r>
        <w:rPr>
          <w:rFonts w:hint="eastAsia" w:ascii="黑体" w:hAnsi="黑体" w:eastAsia="黑体" w:cs="Times New Roman"/>
          <w:sz w:val="24"/>
          <w:szCs w:val="24"/>
          <w:lang w:val="en-US" w:eastAsia="zh-CN" w:bidi="ar-SA"/>
        </w:rPr>
        <w:t>7</w:t>
      </w:r>
      <w:r>
        <w:rPr>
          <w:rFonts w:ascii="黑体" w:hAnsi="黑体" w:eastAsia="黑体" w:cs="Times New Roman"/>
          <w:sz w:val="24"/>
          <w:szCs w:val="24"/>
          <w:lang w:val="en-US" w:eastAsia="zh-CN" w:bidi="ar-SA"/>
        </w:rPr>
        <w:t xml:space="preserve">.2  </w:t>
      </w:r>
      <w:r>
        <w:rPr>
          <w:rFonts w:hint="eastAsia" w:ascii="黑体" w:hAnsi="黑体" w:eastAsia="黑体" w:cs="Times New Roman"/>
          <w:sz w:val="24"/>
          <w:szCs w:val="24"/>
          <w:lang w:val="en-US" w:eastAsia="zh-CN" w:bidi="ar-SA"/>
        </w:rPr>
        <w:t>报告编写</w:t>
      </w:r>
    </w:p>
    <w:p w14:paraId="11A08A5D">
      <w:pPr>
        <w:ind w:left="420" w:firstLine="420"/>
        <w:rPr>
          <w:rFonts w:hint="eastAsia" w:ascii="宋体" w:hAnsi="宋体"/>
          <w:color w:val="000000"/>
          <w:sz w:val="24"/>
          <w:szCs w:val="24"/>
          <w:highlight w:val="yellow"/>
        </w:rPr>
      </w:pPr>
      <w:r>
        <w:rPr>
          <w:rFonts w:hint="eastAsia" w:ascii="Times New Roman" w:hAnsi="宋体" w:eastAsia="宋体" w:cs="Times New Roman"/>
          <w:color w:val="000000"/>
          <w:sz w:val="24"/>
          <w:szCs w:val="24"/>
        </w:rPr>
        <w:t>水稻</w:t>
      </w:r>
      <w:r>
        <w:rPr>
          <w:rFonts w:hint="eastAsia" w:ascii="Times New Roman" w:hAnsi="宋体" w:eastAsia="宋体" w:cs="Times New Roman"/>
          <w:color w:val="000000"/>
          <w:sz w:val="24"/>
          <w:szCs w:val="24"/>
          <w:lang w:val="en-US" w:eastAsia="zh-CN"/>
        </w:rPr>
        <w:t>苗情</w:t>
      </w:r>
      <w:r>
        <w:rPr>
          <w:rFonts w:hint="eastAsia" w:ascii="Times New Roman" w:hAnsi="宋体" w:eastAsia="宋体" w:cs="Times New Roman"/>
          <w:color w:val="000000"/>
          <w:sz w:val="24"/>
          <w:szCs w:val="24"/>
        </w:rPr>
        <w:t>遥感</w:t>
      </w:r>
      <w:r>
        <w:rPr>
          <w:rFonts w:hint="eastAsia" w:ascii="Times New Roman" w:hAnsi="宋体" w:eastAsia="宋体" w:cs="Times New Roman"/>
          <w:color w:val="000000"/>
          <w:sz w:val="24"/>
          <w:szCs w:val="24"/>
          <w:lang w:val="en-US" w:eastAsia="zh-CN"/>
        </w:rPr>
        <w:t>监测</w:t>
      </w:r>
      <w:r>
        <w:rPr>
          <w:rFonts w:hint="eastAsia" w:ascii="Times New Roman" w:hAnsi="宋体" w:eastAsia="宋体" w:cs="Times New Roman"/>
          <w:color w:val="000000"/>
          <w:sz w:val="24"/>
          <w:szCs w:val="24"/>
        </w:rPr>
        <w:t>报告内容包括描述水稻的区域范围、时间说明、数据说明、</w:t>
      </w:r>
      <w:r>
        <w:rPr>
          <w:rFonts w:hint="eastAsia" w:ascii="Times New Roman" w:hAnsi="宋体" w:eastAsia="宋体" w:cs="Times New Roman"/>
          <w:color w:val="000000"/>
          <w:sz w:val="24"/>
          <w:szCs w:val="24"/>
          <w:lang w:val="en-US" w:eastAsia="zh-CN"/>
        </w:rPr>
        <w:t>苗情监测</w:t>
      </w:r>
      <w:r>
        <w:rPr>
          <w:rFonts w:hint="eastAsia" w:ascii="Times New Roman" w:hAnsi="宋体" w:eastAsia="宋体" w:cs="Times New Roman"/>
          <w:color w:val="000000"/>
          <w:sz w:val="24"/>
          <w:szCs w:val="24"/>
        </w:rPr>
        <w:t>等与遥感监测结果的有关信息。</w:t>
      </w:r>
    </w:p>
    <w:sectPr>
      <w:footerReference r:id="rId10" w:type="first"/>
      <w:footerReference r:id="rId9" w:type="default"/>
      <w:pgSz w:w="11906" w:h="16838"/>
      <w:pgMar w:top="1814" w:right="1417" w:bottom="1701" w:left="1701" w:header="1417" w:footer="850" w:gutter="0"/>
      <w:pgNumType w:fmt="decimal"/>
      <w:cols w:space="720" w:num="1"/>
      <w:titlePg/>
      <w:docGrid w:type="lines" w:linePitch="317"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7F9C4">
    <w:pPr>
      <w:pStyle w:val="11"/>
      <w:jc w:val="right"/>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D4D4A4E">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mF77c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AqZhe+3AIAACQGAAAOAAAAAAAAAAEAIAAAAB8BAABkcnMvZTJvRG9jLnhtbFBLBQYA&#10;AAAABgAGAFkBAABtBgAAAAA=&#10;">
              <v:fill on="f" focussize="0,0"/>
              <v:stroke on="f" weight="0.5pt"/>
              <v:imagedata o:title=""/>
              <o:lock v:ext="edit" aspectratio="f"/>
              <v:textbox inset="0mm,0mm,0mm,0mm" style="mso-fit-shape-to-text:t;">
                <w:txbxContent>
                  <w:p w14:paraId="7D4D4A4E">
                    <w:pPr>
                      <w:pStyle w:val="11"/>
                    </w:pPr>
                    <w:r>
                      <w:fldChar w:fldCharType="begin"/>
                    </w:r>
                    <w:r>
                      <w:instrText xml:space="preserve"> PAGE  \* MERGEFORMAT </w:instrText>
                    </w:r>
                    <w:r>
                      <w:fldChar w:fldCharType="separate"/>
                    </w:r>
                    <w:r>
                      <w:t>i</w:t>
                    </w:r>
                    <w:r>
                      <w:fldChar w:fldCharType="end"/>
                    </w:r>
                  </w:p>
                </w:txbxContent>
              </v:textbox>
            </v:shape>
          </w:pict>
        </mc:Fallback>
      </mc:AlternateContent>
    </w:r>
  </w:p>
  <w:p w14:paraId="14C10422">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8BBF5">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E00103">
    <w:pPr>
      <w:pStyle w:val="3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4B384">
    <w:pPr>
      <w:pStyle w:val="39"/>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5F7302">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C5F7302">
                    <w:pPr>
                      <w:pStyle w:val="11"/>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6995B">
    <w:pPr>
      <w:pStyle w:val="3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DE5A3C">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4DE5A3C">
                    <w:pPr>
                      <w:pStyle w:val="11"/>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DE0A5">
    <w:pPr>
      <w:pStyle w:val="11"/>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7AC3B5E">
                          <w:pPr>
                            <w:pStyle w:val="11"/>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PRhHJN0CAAAkBgAADgAAAAAAAAABACAAAAAfAQAAZHJzL2Uyb0RvYy54bWxQSwUG&#10;AAAAAAYABgBZAQAAbgYAAAAA&#10;">
              <v:fill on="f" focussize="0,0"/>
              <v:stroke on="f" weight="0.5pt"/>
              <v:imagedata o:title=""/>
              <o:lock v:ext="edit" aspectratio="f"/>
              <v:textbox inset="0mm,0mm,0mm,0mm" style="mso-fit-shape-to-text:t;">
                <w:txbxContent>
                  <w:p w14:paraId="27AC3B5E">
                    <w:pPr>
                      <w:pStyle w:val="11"/>
                    </w:pPr>
                    <w:r>
                      <w:fldChar w:fldCharType="begin"/>
                    </w:r>
                    <w:r>
                      <w:instrText xml:space="preserve"> PAGE  \* MERGEFORMAT </w:instrText>
                    </w:r>
                    <w:r>
                      <w:fldChar w:fldCharType="separate"/>
                    </w:r>
                    <w:r>
                      <w:t>i</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EE043">
    <w:pPr>
      <w:pStyle w:val="40"/>
      <w:rPr>
        <w:rFonts w:hint="eastAsia"/>
      </w:rPr>
    </w:pPr>
    <w:r>
      <w:rPr>
        <w:rFonts w:hint="eastAsia"/>
      </w:rPr>
      <w:t>T/SZAI XXX-2026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AD19E">
    <w:pPr>
      <w:pStyle w:val="40"/>
    </w:pPr>
    <w:r>
      <w:rPr>
        <w:rFonts w:hint="eastAsia"/>
      </w:rPr>
      <w:t>T/SZAI XXX-2026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FC6"/>
    <w:rsid w:val="00001E03"/>
    <w:rsid w:val="00005439"/>
    <w:rsid w:val="00007DAD"/>
    <w:rsid w:val="00016681"/>
    <w:rsid w:val="000174C5"/>
    <w:rsid w:val="00024E17"/>
    <w:rsid w:val="00030EAD"/>
    <w:rsid w:val="00032CEC"/>
    <w:rsid w:val="00033659"/>
    <w:rsid w:val="000376DD"/>
    <w:rsid w:val="0004082A"/>
    <w:rsid w:val="00046D6F"/>
    <w:rsid w:val="00054076"/>
    <w:rsid w:val="00057EF2"/>
    <w:rsid w:val="00062BBD"/>
    <w:rsid w:val="000630C0"/>
    <w:rsid w:val="000651FB"/>
    <w:rsid w:val="0006682A"/>
    <w:rsid w:val="00071655"/>
    <w:rsid w:val="000724FC"/>
    <w:rsid w:val="000729A1"/>
    <w:rsid w:val="000758F2"/>
    <w:rsid w:val="0008051A"/>
    <w:rsid w:val="00083F62"/>
    <w:rsid w:val="00086360"/>
    <w:rsid w:val="00090F5A"/>
    <w:rsid w:val="000965EF"/>
    <w:rsid w:val="000A2625"/>
    <w:rsid w:val="000B4335"/>
    <w:rsid w:val="000B475E"/>
    <w:rsid w:val="000C134C"/>
    <w:rsid w:val="000C5BEE"/>
    <w:rsid w:val="000C6FA1"/>
    <w:rsid w:val="000D22A5"/>
    <w:rsid w:val="000D4B3E"/>
    <w:rsid w:val="000D66A9"/>
    <w:rsid w:val="000E2AD8"/>
    <w:rsid w:val="000E414A"/>
    <w:rsid w:val="000F223F"/>
    <w:rsid w:val="000F4E84"/>
    <w:rsid w:val="000F55DB"/>
    <w:rsid w:val="000F6D84"/>
    <w:rsid w:val="000F774B"/>
    <w:rsid w:val="001032B5"/>
    <w:rsid w:val="001064AE"/>
    <w:rsid w:val="001109C8"/>
    <w:rsid w:val="00111953"/>
    <w:rsid w:val="00111F55"/>
    <w:rsid w:val="00114704"/>
    <w:rsid w:val="00116851"/>
    <w:rsid w:val="00116A44"/>
    <w:rsid w:val="0012013A"/>
    <w:rsid w:val="001216C5"/>
    <w:rsid w:val="00122728"/>
    <w:rsid w:val="001235C7"/>
    <w:rsid w:val="00125924"/>
    <w:rsid w:val="001259A4"/>
    <w:rsid w:val="001344FF"/>
    <w:rsid w:val="00134EAC"/>
    <w:rsid w:val="001357A2"/>
    <w:rsid w:val="00136702"/>
    <w:rsid w:val="001379FE"/>
    <w:rsid w:val="0014432C"/>
    <w:rsid w:val="00150554"/>
    <w:rsid w:val="00154829"/>
    <w:rsid w:val="00154A3C"/>
    <w:rsid w:val="001640F2"/>
    <w:rsid w:val="00164B9C"/>
    <w:rsid w:val="00166196"/>
    <w:rsid w:val="00175EE2"/>
    <w:rsid w:val="00176261"/>
    <w:rsid w:val="001830D3"/>
    <w:rsid w:val="0018359E"/>
    <w:rsid w:val="00187F4D"/>
    <w:rsid w:val="00192041"/>
    <w:rsid w:val="001923DF"/>
    <w:rsid w:val="00193CA0"/>
    <w:rsid w:val="00194AFC"/>
    <w:rsid w:val="00195501"/>
    <w:rsid w:val="00196CD4"/>
    <w:rsid w:val="001A0147"/>
    <w:rsid w:val="001A0877"/>
    <w:rsid w:val="001A3624"/>
    <w:rsid w:val="001B54EE"/>
    <w:rsid w:val="001C178D"/>
    <w:rsid w:val="001C2B19"/>
    <w:rsid w:val="001C3E7C"/>
    <w:rsid w:val="001D0ADF"/>
    <w:rsid w:val="001D54EC"/>
    <w:rsid w:val="001D632E"/>
    <w:rsid w:val="001E727B"/>
    <w:rsid w:val="001F1B4C"/>
    <w:rsid w:val="00202F19"/>
    <w:rsid w:val="00203FB4"/>
    <w:rsid w:val="002050A6"/>
    <w:rsid w:val="00224FB5"/>
    <w:rsid w:val="00225A9D"/>
    <w:rsid w:val="002264B0"/>
    <w:rsid w:val="00240F38"/>
    <w:rsid w:val="00241C96"/>
    <w:rsid w:val="00246DF5"/>
    <w:rsid w:val="002525B2"/>
    <w:rsid w:val="002643F1"/>
    <w:rsid w:val="00264CB3"/>
    <w:rsid w:val="00267834"/>
    <w:rsid w:val="00271803"/>
    <w:rsid w:val="00272BE1"/>
    <w:rsid w:val="002809D8"/>
    <w:rsid w:val="0028219D"/>
    <w:rsid w:val="00284A05"/>
    <w:rsid w:val="00286985"/>
    <w:rsid w:val="00294380"/>
    <w:rsid w:val="002A088A"/>
    <w:rsid w:val="002A44BA"/>
    <w:rsid w:val="002A58C2"/>
    <w:rsid w:val="002A5AEA"/>
    <w:rsid w:val="002C03F0"/>
    <w:rsid w:val="002C171A"/>
    <w:rsid w:val="002C4D98"/>
    <w:rsid w:val="002D3887"/>
    <w:rsid w:val="002F0A6E"/>
    <w:rsid w:val="002F40D2"/>
    <w:rsid w:val="003011EB"/>
    <w:rsid w:val="00316B97"/>
    <w:rsid w:val="00320220"/>
    <w:rsid w:val="0032131F"/>
    <w:rsid w:val="00326458"/>
    <w:rsid w:val="00326D6B"/>
    <w:rsid w:val="00330A43"/>
    <w:rsid w:val="003330A3"/>
    <w:rsid w:val="00341999"/>
    <w:rsid w:val="0034250C"/>
    <w:rsid w:val="003430D2"/>
    <w:rsid w:val="00344C99"/>
    <w:rsid w:val="00345CF1"/>
    <w:rsid w:val="00346F22"/>
    <w:rsid w:val="00347B35"/>
    <w:rsid w:val="00351607"/>
    <w:rsid w:val="00360B88"/>
    <w:rsid w:val="0036571F"/>
    <w:rsid w:val="0037148A"/>
    <w:rsid w:val="003753F8"/>
    <w:rsid w:val="00377574"/>
    <w:rsid w:val="003814F1"/>
    <w:rsid w:val="00381B9B"/>
    <w:rsid w:val="0039374E"/>
    <w:rsid w:val="003940E3"/>
    <w:rsid w:val="00394C38"/>
    <w:rsid w:val="003A11C3"/>
    <w:rsid w:val="003A6021"/>
    <w:rsid w:val="003B17E7"/>
    <w:rsid w:val="003C3189"/>
    <w:rsid w:val="003C34AB"/>
    <w:rsid w:val="003C4E25"/>
    <w:rsid w:val="003D09A2"/>
    <w:rsid w:val="003D0E7C"/>
    <w:rsid w:val="003D2BAB"/>
    <w:rsid w:val="003D3571"/>
    <w:rsid w:val="003D4E41"/>
    <w:rsid w:val="003D6691"/>
    <w:rsid w:val="003E169E"/>
    <w:rsid w:val="003E57B6"/>
    <w:rsid w:val="003E75F1"/>
    <w:rsid w:val="00400EB8"/>
    <w:rsid w:val="004030B1"/>
    <w:rsid w:val="004031A9"/>
    <w:rsid w:val="00413E1F"/>
    <w:rsid w:val="0041430E"/>
    <w:rsid w:val="00414388"/>
    <w:rsid w:val="00423907"/>
    <w:rsid w:val="00432BCD"/>
    <w:rsid w:val="00436DBB"/>
    <w:rsid w:val="00437B31"/>
    <w:rsid w:val="0044603B"/>
    <w:rsid w:val="004523A5"/>
    <w:rsid w:val="00453285"/>
    <w:rsid w:val="0045587B"/>
    <w:rsid w:val="0046271C"/>
    <w:rsid w:val="00465C25"/>
    <w:rsid w:val="004757A6"/>
    <w:rsid w:val="00475FE4"/>
    <w:rsid w:val="0047662F"/>
    <w:rsid w:val="00477F33"/>
    <w:rsid w:val="0048070D"/>
    <w:rsid w:val="004820DE"/>
    <w:rsid w:val="00483E04"/>
    <w:rsid w:val="004932CF"/>
    <w:rsid w:val="004A29A5"/>
    <w:rsid w:val="004A704F"/>
    <w:rsid w:val="004A7C53"/>
    <w:rsid w:val="004B3051"/>
    <w:rsid w:val="004B50CB"/>
    <w:rsid w:val="004B686E"/>
    <w:rsid w:val="004C3173"/>
    <w:rsid w:val="004C629D"/>
    <w:rsid w:val="004C63ED"/>
    <w:rsid w:val="004D589D"/>
    <w:rsid w:val="004D5F22"/>
    <w:rsid w:val="004D78E8"/>
    <w:rsid w:val="004E2C7A"/>
    <w:rsid w:val="004E49A6"/>
    <w:rsid w:val="004E57A6"/>
    <w:rsid w:val="004E6C6C"/>
    <w:rsid w:val="004E6FA7"/>
    <w:rsid w:val="004F1B3B"/>
    <w:rsid w:val="004F314E"/>
    <w:rsid w:val="0050025C"/>
    <w:rsid w:val="00502358"/>
    <w:rsid w:val="0050280E"/>
    <w:rsid w:val="005034BF"/>
    <w:rsid w:val="00504BAA"/>
    <w:rsid w:val="00514842"/>
    <w:rsid w:val="00514DDC"/>
    <w:rsid w:val="005158E9"/>
    <w:rsid w:val="00520387"/>
    <w:rsid w:val="00523139"/>
    <w:rsid w:val="00523EAE"/>
    <w:rsid w:val="00524BC3"/>
    <w:rsid w:val="00525111"/>
    <w:rsid w:val="00525D69"/>
    <w:rsid w:val="00532CDE"/>
    <w:rsid w:val="00537098"/>
    <w:rsid w:val="005412A9"/>
    <w:rsid w:val="00542F22"/>
    <w:rsid w:val="00543A0C"/>
    <w:rsid w:val="00546B8F"/>
    <w:rsid w:val="00551B57"/>
    <w:rsid w:val="00555DB4"/>
    <w:rsid w:val="00557E83"/>
    <w:rsid w:val="00563751"/>
    <w:rsid w:val="005655A4"/>
    <w:rsid w:val="00573C09"/>
    <w:rsid w:val="0057413F"/>
    <w:rsid w:val="00575922"/>
    <w:rsid w:val="00575CD6"/>
    <w:rsid w:val="005848D3"/>
    <w:rsid w:val="00587EEB"/>
    <w:rsid w:val="00591542"/>
    <w:rsid w:val="00591F1D"/>
    <w:rsid w:val="00591FED"/>
    <w:rsid w:val="005A774B"/>
    <w:rsid w:val="005B2E91"/>
    <w:rsid w:val="005B571D"/>
    <w:rsid w:val="005B6623"/>
    <w:rsid w:val="005C06BE"/>
    <w:rsid w:val="005D0D3C"/>
    <w:rsid w:val="005D1839"/>
    <w:rsid w:val="005D4B54"/>
    <w:rsid w:val="005D59C0"/>
    <w:rsid w:val="005E0AFE"/>
    <w:rsid w:val="005E2DE2"/>
    <w:rsid w:val="005F27E8"/>
    <w:rsid w:val="00601D23"/>
    <w:rsid w:val="006028E7"/>
    <w:rsid w:val="00606988"/>
    <w:rsid w:val="006142C5"/>
    <w:rsid w:val="00616F54"/>
    <w:rsid w:val="00617330"/>
    <w:rsid w:val="006229B0"/>
    <w:rsid w:val="00623760"/>
    <w:rsid w:val="00626160"/>
    <w:rsid w:val="00636EF6"/>
    <w:rsid w:val="0064026C"/>
    <w:rsid w:val="00643442"/>
    <w:rsid w:val="006470C2"/>
    <w:rsid w:val="006554E9"/>
    <w:rsid w:val="00656B58"/>
    <w:rsid w:val="006577EE"/>
    <w:rsid w:val="006629DE"/>
    <w:rsid w:val="00673E96"/>
    <w:rsid w:val="006768C8"/>
    <w:rsid w:val="00676BD8"/>
    <w:rsid w:val="00677B8A"/>
    <w:rsid w:val="00687458"/>
    <w:rsid w:val="00691321"/>
    <w:rsid w:val="006968C0"/>
    <w:rsid w:val="00697B9C"/>
    <w:rsid w:val="00697D27"/>
    <w:rsid w:val="006A4A92"/>
    <w:rsid w:val="006A5F81"/>
    <w:rsid w:val="006A6D4D"/>
    <w:rsid w:val="006B4B30"/>
    <w:rsid w:val="006B7939"/>
    <w:rsid w:val="006B7EF9"/>
    <w:rsid w:val="006C02C1"/>
    <w:rsid w:val="006C2819"/>
    <w:rsid w:val="006D0028"/>
    <w:rsid w:val="006E00D1"/>
    <w:rsid w:val="006E174A"/>
    <w:rsid w:val="006F3FFB"/>
    <w:rsid w:val="006F61CE"/>
    <w:rsid w:val="006F6951"/>
    <w:rsid w:val="00705DC1"/>
    <w:rsid w:val="007113C4"/>
    <w:rsid w:val="0071471C"/>
    <w:rsid w:val="007215BB"/>
    <w:rsid w:val="0072250C"/>
    <w:rsid w:val="00730F49"/>
    <w:rsid w:val="0073222A"/>
    <w:rsid w:val="00735943"/>
    <w:rsid w:val="00737791"/>
    <w:rsid w:val="00740FCC"/>
    <w:rsid w:val="007422E3"/>
    <w:rsid w:val="00742D1B"/>
    <w:rsid w:val="00747D71"/>
    <w:rsid w:val="00754D69"/>
    <w:rsid w:val="007570B2"/>
    <w:rsid w:val="0076034A"/>
    <w:rsid w:val="0076777A"/>
    <w:rsid w:val="00774B37"/>
    <w:rsid w:val="00774D09"/>
    <w:rsid w:val="007774E3"/>
    <w:rsid w:val="00785F05"/>
    <w:rsid w:val="00786F46"/>
    <w:rsid w:val="00787D36"/>
    <w:rsid w:val="00792869"/>
    <w:rsid w:val="0079299A"/>
    <w:rsid w:val="00796305"/>
    <w:rsid w:val="00796CC4"/>
    <w:rsid w:val="007A2306"/>
    <w:rsid w:val="007A47D0"/>
    <w:rsid w:val="007B5B37"/>
    <w:rsid w:val="007C1946"/>
    <w:rsid w:val="007C2B35"/>
    <w:rsid w:val="007C46B1"/>
    <w:rsid w:val="007D04A8"/>
    <w:rsid w:val="007D3CBE"/>
    <w:rsid w:val="007F1030"/>
    <w:rsid w:val="007F253B"/>
    <w:rsid w:val="007F2760"/>
    <w:rsid w:val="007F3AB4"/>
    <w:rsid w:val="00801717"/>
    <w:rsid w:val="0080227E"/>
    <w:rsid w:val="008048CB"/>
    <w:rsid w:val="00810F20"/>
    <w:rsid w:val="008112EF"/>
    <w:rsid w:val="008114EE"/>
    <w:rsid w:val="008119EE"/>
    <w:rsid w:val="00813260"/>
    <w:rsid w:val="0081369A"/>
    <w:rsid w:val="008145B7"/>
    <w:rsid w:val="0081602B"/>
    <w:rsid w:val="00816EBB"/>
    <w:rsid w:val="00833B09"/>
    <w:rsid w:val="008341F0"/>
    <w:rsid w:val="00841A6D"/>
    <w:rsid w:val="0084509E"/>
    <w:rsid w:val="00845824"/>
    <w:rsid w:val="00852DD0"/>
    <w:rsid w:val="00860DB1"/>
    <w:rsid w:val="00865A75"/>
    <w:rsid w:val="00865BC8"/>
    <w:rsid w:val="0087272C"/>
    <w:rsid w:val="00875B50"/>
    <w:rsid w:val="00876ABF"/>
    <w:rsid w:val="00883E1E"/>
    <w:rsid w:val="00884E97"/>
    <w:rsid w:val="00893216"/>
    <w:rsid w:val="00895794"/>
    <w:rsid w:val="008A3E3D"/>
    <w:rsid w:val="008B2EC5"/>
    <w:rsid w:val="008B5019"/>
    <w:rsid w:val="008D07D2"/>
    <w:rsid w:val="008D0ABD"/>
    <w:rsid w:val="008D4BD8"/>
    <w:rsid w:val="008D5F54"/>
    <w:rsid w:val="008E12B9"/>
    <w:rsid w:val="008E351C"/>
    <w:rsid w:val="008F7DA0"/>
    <w:rsid w:val="009048E6"/>
    <w:rsid w:val="00910FFA"/>
    <w:rsid w:val="00925F33"/>
    <w:rsid w:val="00926B08"/>
    <w:rsid w:val="00933778"/>
    <w:rsid w:val="00941C9E"/>
    <w:rsid w:val="009475EB"/>
    <w:rsid w:val="0094761F"/>
    <w:rsid w:val="00955883"/>
    <w:rsid w:val="00955A54"/>
    <w:rsid w:val="00975A1C"/>
    <w:rsid w:val="00983FBC"/>
    <w:rsid w:val="00991054"/>
    <w:rsid w:val="0099141A"/>
    <w:rsid w:val="00993744"/>
    <w:rsid w:val="00994C8E"/>
    <w:rsid w:val="009979D8"/>
    <w:rsid w:val="009A01FF"/>
    <w:rsid w:val="009B15FF"/>
    <w:rsid w:val="009B1C6B"/>
    <w:rsid w:val="009C18EB"/>
    <w:rsid w:val="009C2AA5"/>
    <w:rsid w:val="009C4CAF"/>
    <w:rsid w:val="009C67C9"/>
    <w:rsid w:val="009D2551"/>
    <w:rsid w:val="009D47E3"/>
    <w:rsid w:val="009D75E3"/>
    <w:rsid w:val="009E04B6"/>
    <w:rsid w:val="009E5478"/>
    <w:rsid w:val="009E6D32"/>
    <w:rsid w:val="009F3820"/>
    <w:rsid w:val="009F465F"/>
    <w:rsid w:val="009F48C5"/>
    <w:rsid w:val="009F7393"/>
    <w:rsid w:val="00A000A1"/>
    <w:rsid w:val="00A018F4"/>
    <w:rsid w:val="00A03B33"/>
    <w:rsid w:val="00A11416"/>
    <w:rsid w:val="00A11658"/>
    <w:rsid w:val="00A1208D"/>
    <w:rsid w:val="00A146A8"/>
    <w:rsid w:val="00A23C18"/>
    <w:rsid w:val="00A2700C"/>
    <w:rsid w:val="00A277F0"/>
    <w:rsid w:val="00A34AA2"/>
    <w:rsid w:val="00A435C8"/>
    <w:rsid w:val="00A45FD7"/>
    <w:rsid w:val="00A52382"/>
    <w:rsid w:val="00A5463D"/>
    <w:rsid w:val="00A5621F"/>
    <w:rsid w:val="00A57A52"/>
    <w:rsid w:val="00A62BCF"/>
    <w:rsid w:val="00A63644"/>
    <w:rsid w:val="00A65B31"/>
    <w:rsid w:val="00A65BCA"/>
    <w:rsid w:val="00A721BA"/>
    <w:rsid w:val="00A72CD0"/>
    <w:rsid w:val="00A7735F"/>
    <w:rsid w:val="00A77B26"/>
    <w:rsid w:val="00A861C4"/>
    <w:rsid w:val="00A9736C"/>
    <w:rsid w:val="00AA0E4B"/>
    <w:rsid w:val="00AA15F0"/>
    <w:rsid w:val="00AA2C92"/>
    <w:rsid w:val="00AA3024"/>
    <w:rsid w:val="00AB0C68"/>
    <w:rsid w:val="00AB440A"/>
    <w:rsid w:val="00AB4BBC"/>
    <w:rsid w:val="00AB5F4B"/>
    <w:rsid w:val="00AB66BF"/>
    <w:rsid w:val="00AB6B2E"/>
    <w:rsid w:val="00AB6BA0"/>
    <w:rsid w:val="00AB733D"/>
    <w:rsid w:val="00AB7CEF"/>
    <w:rsid w:val="00AC1DE9"/>
    <w:rsid w:val="00AC3AE7"/>
    <w:rsid w:val="00AC4573"/>
    <w:rsid w:val="00AC720B"/>
    <w:rsid w:val="00AD2E5D"/>
    <w:rsid w:val="00AD6401"/>
    <w:rsid w:val="00AD7C53"/>
    <w:rsid w:val="00AE72C0"/>
    <w:rsid w:val="00AF3BDB"/>
    <w:rsid w:val="00B0444F"/>
    <w:rsid w:val="00B07005"/>
    <w:rsid w:val="00B07AC5"/>
    <w:rsid w:val="00B1136F"/>
    <w:rsid w:val="00B11546"/>
    <w:rsid w:val="00B12875"/>
    <w:rsid w:val="00B1374F"/>
    <w:rsid w:val="00B165BA"/>
    <w:rsid w:val="00B2252A"/>
    <w:rsid w:val="00B23623"/>
    <w:rsid w:val="00B23E42"/>
    <w:rsid w:val="00B344AA"/>
    <w:rsid w:val="00B34637"/>
    <w:rsid w:val="00B35506"/>
    <w:rsid w:val="00B432DD"/>
    <w:rsid w:val="00B44101"/>
    <w:rsid w:val="00B446A5"/>
    <w:rsid w:val="00B52AE0"/>
    <w:rsid w:val="00B54F94"/>
    <w:rsid w:val="00B67990"/>
    <w:rsid w:val="00B72B2D"/>
    <w:rsid w:val="00B7688B"/>
    <w:rsid w:val="00B76C15"/>
    <w:rsid w:val="00B92C68"/>
    <w:rsid w:val="00B9582F"/>
    <w:rsid w:val="00B97576"/>
    <w:rsid w:val="00B97A21"/>
    <w:rsid w:val="00B97BB1"/>
    <w:rsid w:val="00BA1FDF"/>
    <w:rsid w:val="00BA75BA"/>
    <w:rsid w:val="00BB0B91"/>
    <w:rsid w:val="00BB40A9"/>
    <w:rsid w:val="00BC686E"/>
    <w:rsid w:val="00BD2442"/>
    <w:rsid w:val="00BD6BAC"/>
    <w:rsid w:val="00BE0118"/>
    <w:rsid w:val="00BE226B"/>
    <w:rsid w:val="00BF6923"/>
    <w:rsid w:val="00BF6F45"/>
    <w:rsid w:val="00C0144E"/>
    <w:rsid w:val="00C05FAB"/>
    <w:rsid w:val="00C1144F"/>
    <w:rsid w:val="00C14471"/>
    <w:rsid w:val="00C15BEB"/>
    <w:rsid w:val="00C17300"/>
    <w:rsid w:val="00C21536"/>
    <w:rsid w:val="00C2179F"/>
    <w:rsid w:val="00C2266A"/>
    <w:rsid w:val="00C41663"/>
    <w:rsid w:val="00C472A2"/>
    <w:rsid w:val="00C47D15"/>
    <w:rsid w:val="00C505EE"/>
    <w:rsid w:val="00C53301"/>
    <w:rsid w:val="00C543A3"/>
    <w:rsid w:val="00C56729"/>
    <w:rsid w:val="00C65122"/>
    <w:rsid w:val="00C73329"/>
    <w:rsid w:val="00C77B5D"/>
    <w:rsid w:val="00C82154"/>
    <w:rsid w:val="00C90B08"/>
    <w:rsid w:val="00C91C7B"/>
    <w:rsid w:val="00C95696"/>
    <w:rsid w:val="00C95AEE"/>
    <w:rsid w:val="00C9649B"/>
    <w:rsid w:val="00C96E38"/>
    <w:rsid w:val="00C9732F"/>
    <w:rsid w:val="00CB1321"/>
    <w:rsid w:val="00CB2DB8"/>
    <w:rsid w:val="00CB2FF4"/>
    <w:rsid w:val="00CB4AF2"/>
    <w:rsid w:val="00CB5163"/>
    <w:rsid w:val="00CB7765"/>
    <w:rsid w:val="00CC0CB1"/>
    <w:rsid w:val="00CC44BE"/>
    <w:rsid w:val="00CE6FD6"/>
    <w:rsid w:val="00CF0D0C"/>
    <w:rsid w:val="00CF36CA"/>
    <w:rsid w:val="00CF458D"/>
    <w:rsid w:val="00CF4B9F"/>
    <w:rsid w:val="00CF6F7C"/>
    <w:rsid w:val="00D01681"/>
    <w:rsid w:val="00D05B1E"/>
    <w:rsid w:val="00D06904"/>
    <w:rsid w:val="00D17D00"/>
    <w:rsid w:val="00D2052E"/>
    <w:rsid w:val="00D26EB4"/>
    <w:rsid w:val="00D301B6"/>
    <w:rsid w:val="00D30A15"/>
    <w:rsid w:val="00D319C2"/>
    <w:rsid w:val="00D374DE"/>
    <w:rsid w:val="00D45D5F"/>
    <w:rsid w:val="00D50991"/>
    <w:rsid w:val="00D51E86"/>
    <w:rsid w:val="00D54D1A"/>
    <w:rsid w:val="00D562F3"/>
    <w:rsid w:val="00D61059"/>
    <w:rsid w:val="00D627C2"/>
    <w:rsid w:val="00D62A81"/>
    <w:rsid w:val="00D6412D"/>
    <w:rsid w:val="00D65F04"/>
    <w:rsid w:val="00D72496"/>
    <w:rsid w:val="00D80EB3"/>
    <w:rsid w:val="00D813DF"/>
    <w:rsid w:val="00D8177A"/>
    <w:rsid w:val="00D831B1"/>
    <w:rsid w:val="00D84C30"/>
    <w:rsid w:val="00D85C73"/>
    <w:rsid w:val="00D85EA8"/>
    <w:rsid w:val="00D870B0"/>
    <w:rsid w:val="00D9069C"/>
    <w:rsid w:val="00D94A29"/>
    <w:rsid w:val="00D95D34"/>
    <w:rsid w:val="00DB5A5D"/>
    <w:rsid w:val="00DC1FEB"/>
    <w:rsid w:val="00DC57BA"/>
    <w:rsid w:val="00DC7CC5"/>
    <w:rsid w:val="00DD7592"/>
    <w:rsid w:val="00DE4CED"/>
    <w:rsid w:val="00DE7F62"/>
    <w:rsid w:val="00DF454D"/>
    <w:rsid w:val="00DF65E6"/>
    <w:rsid w:val="00DF6E77"/>
    <w:rsid w:val="00E000D6"/>
    <w:rsid w:val="00E077FE"/>
    <w:rsid w:val="00E13054"/>
    <w:rsid w:val="00E16152"/>
    <w:rsid w:val="00E17FB5"/>
    <w:rsid w:val="00E24D60"/>
    <w:rsid w:val="00E322AE"/>
    <w:rsid w:val="00E345DD"/>
    <w:rsid w:val="00E36AB8"/>
    <w:rsid w:val="00E36D9C"/>
    <w:rsid w:val="00E403EA"/>
    <w:rsid w:val="00E467BC"/>
    <w:rsid w:val="00E50ED7"/>
    <w:rsid w:val="00E517FE"/>
    <w:rsid w:val="00E549A3"/>
    <w:rsid w:val="00E5562C"/>
    <w:rsid w:val="00E611C5"/>
    <w:rsid w:val="00E62EB9"/>
    <w:rsid w:val="00E63C8C"/>
    <w:rsid w:val="00E67922"/>
    <w:rsid w:val="00E67F29"/>
    <w:rsid w:val="00E732A3"/>
    <w:rsid w:val="00E74938"/>
    <w:rsid w:val="00E80755"/>
    <w:rsid w:val="00E82520"/>
    <w:rsid w:val="00E8282D"/>
    <w:rsid w:val="00E9053E"/>
    <w:rsid w:val="00E92ECA"/>
    <w:rsid w:val="00E9559C"/>
    <w:rsid w:val="00E977B9"/>
    <w:rsid w:val="00EA7068"/>
    <w:rsid w:val="00EB3485"/>
    <w:rsid w:val="00EB6423"/>
    <w:rsid w:val="00EC5981"/>
    <w:rsid w:val="00EC717A"/>
    <w:rsid w:val="00ED4CB9"/>
    <w:rsid w:val="00EE60CB"/>
    <w:rsid w:val="00EF1065"/>
    <w:rsid w:val="00EF219A"/>
    <w:rsid w:val="00EF5EA3"/>
    <w:rsid w:val="00F0073E"/>
    <w:rsid w:val="00F016C5"/>
    <w:rsid w:val="00F01F4A"/>
    <w:rsid w:val="00F032A7"/>
    <w:rsid w:val="00F04135"/>
    <w:rsid w:val="00F0578C"/>
    <w:rsid w:val="00F14DBA"/>
    <w:rsid w:val="00F22FBF"/>
    <w:rsid w:val="00F244A8"/>
    <w:rsid w:val="00F2650D"/>
    <w:rsid w:val="00F26B06"/>
    <w:rsid w:val="00F4438A"/>
    <w:rsid w:val="00F45279"/>
    <w:rsid w:val="00F6085E"/>
    <w:rsid w:val="00F7113A"/>
    <w:rsid w:val="00F76739"/>
    <w:rsid w:val="00F76E8B"/>
    <w:rsid w:val="00F8170C"/>
    <w:rsid w:val="00F86AE5"/>
    <w:rsid w:val="00F87F93"/>
    <w:rsid w:val="00F93DD4"/>
    <w:rsid w:val="00FA2F57"/>
    <w:rsid w:val="00FB3251"/>
    <w:rsid w:val="00FB35EF"/>
    <w:rsid w:val="00FB688F"/>
    <w:rsid w:val="00FB7C4E"/>
    <w:rsid w:val="00FC551D"/>
    <w:rsid w:val="00FC571A"/>
    <w:rsid w:val="00FC5F37"/>
    <w:rsid w:val="00FC7668"/>
    <w:rsid w:val="00FC7842"/>
    <w:rsid w:val="00FD308F"/>
    <w:rsid w:val="00FD32AB"/>
    <w:rsid w:val="00FD59D5"/>
    <w:rsid w:val="00FE0181"/>
    <w:rsid w:val="00FE06D4"/>
    <w:rsid w:val="00FE236C"/>
    <w:rsid w:val="00FE23F2"/>
    <w:rsid w:val="00FE3549"/>
    <w:rsid w:val="00FE6D6C"/>
    <w:rsid w:val="00FF0B00"/>
    <w:rsid w:val="00FF1D85"/>
    <w:rsid w:val="00FF1F56"/>
    <w:rsid w:val="00FF2510"/>
    <w:rsid w:val="00FF5D06"/>
    <w:rsid w:val="00FF6275"/>
    <w:rsid w:val="06F83124"/>
    <w:rsid w:val="0AA122E7"/>
    <w:rsid w:val="0AC12D3E"/>
    <w:rsid w:val="0D687498"/>
    <w:rsid w:val="173B5D32"/>
    <w:rsid w:val="19D4256A"/>
    <w:rsid w:val="1A6778B2"/>
    <w:rsid w:val="1DB73D40"/>
    <w:rsid w:val="1DED0DE4"/>
    <w:rsid w:val="1EB27A1A"/>
    <w:rsid w:val="20237C2B"/>
    <w:rsid w:val="20F75A0D"/>
    <w:rsid w:val="26CC7C68"/>
    <w:rsid w:val="2A2F7DC7"/>
    <w:rsid w:val="2F961354"/>
    <w:rsid w:val="2FBE4FC1"/>
    <w:rsid w:val="344A4500"/>
    <w:rsid w:val="360D2423"/>
    <w:rsid w:val="3B3D1DAB"/>
    <w:rsid w:val="3B9A2121"/>
    <w:rsid w:val="3FBC5A49"/>
    <w:rsid w:val="42C6780A"/>
    <w:rsid w:val="48533379"/>
    <w:rsid w:val="545220E4"/>
    <w:rsid w:val="56776537"/>
    <w:rsid w:val="5C5B47CF"/>
    <w:rsid w:val="6A072332"/>
    <w:rsid w:val="73A41BFF"/>
    <w:rsid w:val="784B67EB"/>
    <w:rsid w:val="7ACF269E"/>
    <w:rsid w:val="7AD340B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5"/>
    <w:qFormat/>
    <w:uiPriority w:val="0"/>
    <w:pPr>
      <w:keepNext/>
      <w:keepLines/>
      <w:spacing w:before="340" w:after="330" w:line="578" w:lineRule="auto"/>
      <w:outlineLvl w:val="0"/>
    </w:pPr>
    <w:rPr>
      <w:b/>
      <w:bCs/>
      <w:kern w:val="44"/>
      <w:sz w:val="44"/>
      <w:szCs w:val="44"/>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21">
    <w:name w:val="Default Paragraph Font"/>
    <w:link w:val="22"/>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4">
    <w:name w:val="toc 7"/>
    <w:basedOn w:val="1"/>
    <w:next w:val="1"/>
    <w:qFormat/>
    <w:uiPriority w:val="0"/>
    <w:pPr>
      <w:ind w:left="1260"/>
      <w:jc w:val="left"/>
    </w:pPr>
    <w:rPr>
      <w:rFonts w:ascii="等线" w:eastAsia="等线"/>
      <w:sz w:val="18"/>
      <w:szCs w:val="18"/>
    </w:rPr>
  </w:style>
  <w:style w:type="paragraph" w:styleId="5">
    <w:name w:val="toc 5"/>
    <w:basedOn w:val="1"/>
    <w:next w:val="1"/>
    <w:qFormat/>
    <w:uiPriority w:val="0"/>
    <w:pPr>
      <w:ind w:left="840"/>
      <w:jc w:val="left"/>
    </w:pPr>
    <w:rPr>
      <w:rFonts w:ascii="等线" w:eastAsia="等线"/>
      <w:sz w:val="18"/>
      <w:szCs w:val="18"/>
    </w:rPr>
  </w:style>
  <w:style w:type="paragraph" w:styleId="6">
    <w:name w:val="toc 3"/>
    <w:basedOn w:val="1"/>
    <w:next w:val="1"/>
    <w:qFormat/>
    <w:uiPriority w:val="39"/>
    <w:pPr>
      <w:ind w:left="420"/>
      <w:jc w:val="left"/>
    </w:pPr>
    <w:rPr>
      <w:rFonts w:ascii="等线" w:eastAsia="等线"/>
      <w:i/>
      <w:iCs/>
      <w:sz w:val="20"/>
      <w:szCs w:val="20"/>
    </w:rPr>
  </w:style>
  <w:style w:type="paragraph" w:styleId="7">
    <w:name w:val="Plain Text"/>
    <w:basedOn w:val="1"/>
    <w:qFormat/>
    <w:uiPriority w:val="0"/>
    <w:rPr>
      <w:rFonts w:ascii="宋体" w:hAnsi="Courier New" w:cs="Courier New"/>
      <w:szCs w:val="21"/>
    </w:rPr>
  </w:style>
  <w:style w:type="paragraph" w:styleId="8">
    <w:name w:val="toc 8"/>
    <w:basedOn w:val="1"/>
    <w:next w:val="1"/>
    <w:qFormat/>
    <w:uiPriority w:val="0"/>
    <w:pPr>
      <w:ind w:left="1470"/>
      <w:jc w:val="left"/>
    </w:pPr>
    <w:rPr>
      <w:rFonts w:ascii="等线" w:eastAsia="等线"/>
      <w:sz w:val="18"/>
      <w:szCs w:val="18"/>
    </w:rPr>
  </w:style>
  <w:style w:type="paragraph" w:styleId="9">
    <w:name w:val="Date"/>
    <w:basedOn w:val="1"/>
    <w:next w:val="1"/>
    <w:qFormat/>
    <w:uiPriority w:val="0"/>
    <w:pPr>
      <w:ind w:left="100" w:leftChars="2500"/>
    </w:pPr>
  </w:style>
  <w:style w:type="paragraph" w:styleId="10">
    <w:name w:val="Balloon Text"/>
    <w:basedOn w:val="1"/>
    <w:semiHidden/>
    <w:qFormat/>
    <w:uiPriority w:val="0"/>
    <w:rPr>
      <w:sz w:val="18"/>
      <w:szCs w:val="18"/>
    </w:rPr>
  </w:style>
  <w:style w:type="paragraph" w:styleId="11">
    <w:name w:val="footer"/>
    <w:basedOn w:val="1"/>
    <w:link w:val="26"/>
    <w:qFormat/>
    <w:uiPriority w:val="99"/>
    <w:pPr>
      <w:tabs>
        <w:tab w:val="center" w:pos="4153"/>
        <w:tab w:val="right" w:pos="8306"/>
      </w:tabs>
      <w:snapToGrid w:val="0"/>
      <w:jc w:val="left"/>
    </w:pPr>
    <w:rPr>
      <w:sz w:val="18"/>
      <w:szCs w:val="18"/>
    </w:rPr>
  </w:style>
  <w:style w:type="paragraph" w:styleId="12">
    <w:name w:val="header"/>
    <w:basedOn w:val="1"/>
    <w:link w:val="27"/>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spacing w:before="120" w:after="120"/>
      <w:jc w:val="left"/>
    </w:pPr>
    <w:rPr>
      <w:rFonts w:ascii="等线" w:eastAsia="等线"/>
      <w:b/>
      <w:bCs/>
      <w:caps/>
      <w:sz w:val="20"/>
      <w:szCs w:val="20"/>
    </w:rPr>
  </w:style>
  <w:style w:type="paragraph" w:styleId="14">
    <w:name w:val="toc 4"/>
    <w:basedOn w:val="1"/>
    <w:next w:val="1"/>
    <w:qFormat/>
    <w:uiPriority w:val="39"/>
    <w:pPr>
      <w:ind w:left="630"/>
      <w:jc w:val="left"/>
    </w:pPr>
    <w:rPr>
      <w:rFonts w:ascii="等线" w:eastAsia="等线"/>
      <w:sz w:val="18"/>
      <w:szCs w:val="18"/>
    </w:rPr>
  </w:style>
  <w:style w:type="paragraph" w:styleId="15">
    <w:name w:val="toc 6"/>
    <w:basedOn w:val="1"/>
    <w:next w:val="1"/>
    <w:qFormat/>
    <w:uiPriority w:val="0"/>
    <w:pPr>
      <w:ind w:left="1050"/>
      <w:jc w:val="left"/>
    </w:pPr>
    <w:rPr>
      <w:rFonts w:ascii="等线" w:eastAsia="等线"/>
      <w:sz w:val="18"/>
      <w:szCs w:val="18"/>
    </w:rPr>
  </w:style>
  <w:style w:type="paragraph" w:styleId="16">
    <w:name w:val="toc 2"/>
    <w:basedOn w:val="1"/>
    <w:next w:val="1"/>
    <w:qFormat/>
    <w:uiPriority w:val="39"/>
    <w:pPr>
      <w:ind w:left="210"/>
      <w:jc w:val="left"/>
    </w:pPr>
    <w:rPr>
      <w:rFonts w:ascii="等线" w:eastAsia="等线"/>
      <w:smallCaps/>
      <w:sz w:val="20"/>
      <w:szCs w:val="20"/>
    </w:rPr>
  </w:style>
  <w:style w:type="paragraph" w:styleId="17">
    <w:name w:val="toc 9"/>
    <w:basedOn w:val="1"/>
    <w:next w:val="1"/>
    <w:qFormat/>
    <w:uiPriority w:val="0"/>
    <w:pPr>
      <w:ind w:left="1680"/>
      <w:jc w:val="left"/>
    </w:pPr>
    <w:rPr>
      <w:rFonts w:ascii="等线" w:eastAsia="等线"/>
      <w:sz w:val="18"/>
      <w:szCs w:val="18"/>
    </w:rPr>
  </w:style>
  <w:style w:type="paragraph" w:styleId="18">
    <w:name w:val="Normal (Web)"/>
    <w:basedOn w:val="1"/>
    <w:unhideWhenUsed/>
    <w:qFormat/>
    <w:uiPriority w:val="0"/>
    <w:pPr>
      <w:widowControl/>
      <w:spacing w:before="100" w:beforeAutospacing="1" w:after="100" w:afterAutospacing="1"/>
      <w:jc w:val="left"/>
    </w:pPr>
    <w:rPr>
      <w:rFonts w:ascii="宋体" w:hAnsi="宋体"/>
      <w:kern w:val="0"/>
      <w:sz w:val="24"/>
    </w:rPr>
  </w:style>
  <w:style w:type="table" w:styleId="20">
    <w:name w:val="Table Grid"/>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2">
    <w:name w:val=" Char Char Char Char Char"/>
    <w:basedOn w:val="1"/>
    <w:link w:val="21"/>
    <w:qFormat/>
    <w:uiPriority w:val="0"/>
    <w:pPr>
      <w:widowControl/>
      <w:spacing w:after="160" w:line="240" w:lineRule="exact"/>
      <w:jc w:val="left"/>
    </w:pPr>
    <w:rPr>
      <w:rFonts w:ascii="Verdana" w:hAnsi="Verdana" w:eastAsia="仿宋_GB2312"/>
      <w:kern w:val="0"/>
      <w:sz w:val="30"/>
      <w:szCs w:val="30"/>
      <w:lang w:eastAsia="en-US"/>
    </w:rPr>
  </w:style>
  <w:style w:type="character" w:styleId="23">
    <w:name w:val="Emphasis"/>
    <w:qFormat/>
    <w:uiPriority w:val="20"/>
    <w:rPr>
      <w:i/>
      <w:iCs/>
    </w:rPr>
  </w:style>
  <w:style w:type="character" w:styleId="24">
    <w:name w:val="Hyperlink"/>
    <w:unhideWhenUsed/>
    <w:qFormat/>
    <w:uiPriority w:val="99"/>
    <w:rPr>
      <w:color w:val="0563C1"/>
      <w:u w:val="single"/>
    </w:rPr>
  </w:style>
  <w:style w:type="character" w:customStyle="1" w:styleId="25">
    <w:name w:val="标题 1 字符"/>
    <w:link w:val="2"/>
    <w:qFormat/>
    <w:uiPriority w:val="0"/>
    <w:rPr>
      <w:b/>
      <w:bCs/>
      <w:kern w:val="44"/>
      <w:sz w:val="44"/>
      <w:szCs w:val="44"/>
    </w:rPr>
  </w:style>
  <w:style w:type="character" w:customStyle="1" w:styleId="26">
    <w:name w:val="页脚 字符1"/>
    <w:link w:val="11"/>
    <w:qFormat/>
    <w:uiPriority w:val="0"/>
    <w:rPr>
      <w:kern w:val="2"/>
      <w:sz w:val="18"/>
      <w:szCs w:val="18"/>
    </w:rPr>
  </w:style>
  <w:style w:type="character" w:customStyle="1" w:styleId="27">
    <w:name w:val="页眉 字符"/>
    <w:link w:val="12"/>
    <w:qFormat/>
    <w:uiPriority w:val="0"/>
    <w:rPr>
      <w:kern w:val="2"/>
      <w:sz w:val="18"/>
      <w:szCs w:val="18"/>
    </w:rPr>
  </w:style>
  <w:style w:type="character" w:customStyle="1" w:styleId="28">
    <w:name w:val="页脚 字符"/>
    <w:qFormat/>
    <w:uiPriority w:val="99"/>
  </w:style>
  <w:style w:type="character" w:customStyle="1" w:styleId="29">
    <w:name w:val="highlight1"/>
    <w:qFormat/>
    <w:uiPriority w:val="0"/>
    <w:rPr>
      <w:shd w:val="clear" w:color="auto" w:fill="FFFF00"/>
    </w:rPr>
  </w:style>
  <w:style w:type="paragraph" w:customStyle="1" w:styleId="30">
    <w:name w:val="段"/>
    <w:link w:val="31"/>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31">
    <w:name w:val="段 Char"/>
    <w:link w:val="30"/>
    <w:qFormat/>
    <w:uiPriority w:val="0"/>
    <w:rPr>
      <w:rFonts w:ascii="宋体"/>
      <w:sz w:val="21"/>
    </w:rPr>
  </w:style>
  <w:style w:type="paragraph" w:customStyle="1" w:styleId="32">
    <w:name w:val="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3">
    <w:name w:val="正文1"/>
    <w:basedOn w:val="1"/>
    <w:qFormat/>
    <w:uiPriority w:val="0"/>
    <w:pPr>
      <w:spacing w:line="480" w:lineRule="exact"/>
      <w:ind w:firstLine="567"/>
      <w:jc w:val="left"/>
    </w:pPr>
    <w:rPr>
      <w:sz w:val="28"/>
      <w:lang w:val="sq-AL"/>
    </w:rPr>
  </w:style>
  <w:style w:type="paragraph" w:customStyle="1" w:styleId="34">
    <w:name w:val="目次、标准名称标题"/>
    <w:basedOn w:val="1"/>
    <w:next w:val="30"/>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35">
    <w:name w:val="章标题"/>
    <w:next w:val="30"/>
    <w:qFormat/>
    <w:uiPriority w:val="0"/>
    <w:p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36">
    <w:name w:val="一级条标题"/>
    <w:next w:val="30"/>
    <w:qFormat/>
    <w:uiPriority w:val="0"/>
    <w:pPr>
      <w:spacing w:before="50" w:beforeLines="50" w:after="50" w:afterLines="50"/>
      <w:outlineLvl w:val="2"/>
    </w:pPr>
    <w:rPr>
      <w:rFonts w:ascii="黑体" w:hAnsi="黑体" w:eastAsia="黑体" w:cs="Times New Roman"/>
      <w:sz w:val="21"/>
      <w:szCs w:val="21"/>
      <w:lang w:val="en-US" w:eastAsia="zh-CN" w:bidi="ar-SA"/>
    </w:rPr>
  </w:style>
  <w:style w:type="paragraph" w:customStyle="1" w:styleId="37">
    <w:name w:val="二级无"/>
    <w:basedOn w:val="1"/>
    <w:qFormat/>
    <w:uiPriority w:val="0"/>
    <w:pPr>
      <w:widowControl/>
      <w:jc w:val="left"/>
      <w:outlineLvl w:val="3"/>
    </w:pPr>
    <w:rPr>
      <w:rFonts w:ascii="宋体" w:hAnsi="黑体"/>
      <w:kern w:val="0"/>
      <w:szCs w:val="21"/>
    </w:rPr>
  </w:style>
  <w:style w:type="paragraph" w:customStyle="1" w:styleId="38">
    <w:name w:val="一级无"/>
    <w:basedOn w:val="36"/>
    <w:qFormat/>
    <w:uiPriority w:val="0"/>
    <w:pPr>
      <w:spacing w:before="0" w:beforeLines="0" w:after="0" w:afterLines="0"/>
    </w:pPr>
    <w:rPr>
      <w:rFonts w:ascii="宋体" w:eastAsia="宋体"/>
    </w:rPr>
  </w:style>
  <w:style w:type="paragraph" w:customStyle="1" w:styleId="39">
    <w:name w:val="标准书脚_奇数页"/>
    <w:qFormat/>
    <w:uiPriority w:val="99"/>
    <w:pPr>
      <w:spacing w:before="120"/>
      <w:ind w:right="198"/>
      <w:jc w:val="right"/>
    </w:pPr>
    <w:rPr>
      <w:rFonts w:ascii="宋体" w:hAnsi="Times New Roman" w:eastAsia="宋体" w:cs="Times New Roman"/>
      <w:sz w:val="18"/>
      <w:szCs w:val="18"/>
      <w:lang w:val="en-US" w:eastAsia="zh-CN" w:bidi="ar-SA"/>
    </w:rPr>
  </w:style>
  <w:style w:type="paragraph" w:customStyle="1" w:styleId="40">
    <w:name w:val="标准书眉_奇数页"/>
    <w:next w:val="1"/>
    <w:qFormat/>
    <w:uiPriority w:val="99"/>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41">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42">
    <w:name w:val="其他标准标志"/>
    <w:basedOn w:val="1"/>
    <w:qFormat/>
    <w:uiPriority w:val="0"/>
    <w:pPr>
      <w:framePr w:w="6101" w:h="1389" w:hRule="exact" w:hSpace="181" w:vSpace="181" w:wrap="around" w:vAnchor="page" w:hAnchor="page" w:x="4673" w:y="942" w:anchorLock="1"/>
      <w:widowControl/>
      <w:shd w:val="solid" w:color="FFFFFF" w:fill="FFFFFF"/>
      <w:spacing w:line="0" w:lineRule="atLeast"/>
      <w:jc w:val="right"/>
    </w:pPr>
    <w:rPr>
      <w:b/>
      <w:w w:val="130"/>
      <w:kern w:val="0"/>
      <w:sz w:val="96"/>
      <w:szCs w:val="96"/>
    </w:rPr>
  </w:style>
  <w:style w:type="paragraph" w:customStyle="1" w:styleId="43">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44">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45">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6">
    <w:name w:val="封面标准英文名称"/>
    <w:basedOn w:val="47"/>
    <w:qFormat/>
    <w:uiPriority w:val="0"/>
    <w:pPr>
      <w:spacing w:before="370" w:line="400" w:lineRule="exact"/>
    </w:pPr>
    <w:rPr>
      <w:rFonts w:ascii="Times New Roman"/>
      <w:sz w:val="28"/>
      <w:szCs w:val="28"/>
    </w:rPr>
  </w:style>
  <w:style w:type="paragraph" w:customStyle="1" w:styleId="47">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48">
    <w:name w:val="封面标准文稿类别"/>
    <w:basedOn w:val="49"/>
    <w:qFormat/>
    <w:uiPriority w:val="0"/>
    <w:pPr>
      <w:spacing w:after="160" w:line="240" w:lineRule="auto"/>
    </w:pPr>
    <w:rPr>
      <w:sz w:val="24"/>
    </w:rPr>
  </w:style>
  <w:style w:type="paragraph" w:customStyle="1" w:styleId="49">
    <w:name w:val="封面一致性程度标识"/>
    <w:basedOn w:val="46"/>
    <w:qFormat/>
    <w:uiPriority w:val="0"/>
    <w:pPr>
      <w:spacing w:before="440"/>
    </w:pPr>
    <w:rPr>
      <w:rFonts w:ascii="宋体" w:eastAsia="宋体"/>
    </w:rPr>
  </w:style>
  <w:style w:type="paragraph" w:customStyle="1" w:styleId="50">
    <w:name w:val="封面标准文稿编辑信息"/>
    <w:basedOn w:val="48"/>
    <w:qFormat/>
    <w:uiPriority w:val="0"/>
    <w:pPr>
      <w:spacing w:before="180" w:line="180" w:lineRule="exact"/>
    </w:pPr>
    <w:rPr>
      <w:sz w:val="21"/>
    </w:rPr>
  </w:style>
  <w:style w:type="paragraph" w:customStyle="1" w:styleId="51">
    <w:name w:val="其他发布日期"/>
    <w:basedOn w:val="1"/>
    <w:qFormat/>
    <w:uiPriority w:val="0"/>
    <w:pPr>
      <w:framePr w:w="3997" w:h="471" w:hRule="exact" w:vSpace="181" w:wrap="around" w:vAnchor="page" w:hAnchor="page" w:x="1419" w:y="14097" w:anchorLock="1"/>
      <w:widowControl/>
      <w:jc w:val="left"/>
    </w:pPr>
    <w:rPr>
      <w:rFonts w:eastAsia="黑体"/>
      <w:kern w:val="0"/>
      <w:sz w:val="28"/>
      <w:szCs w:val="20"/>
    </w:rPr>
  </w:style>
  <w:style w:type="paragraph" w:customStyle="1" w:styleId="52">
    <w:name w:val="其他实施日期"/>
    <w:basedOn w:val="1"/>
    <w:qFormat/>
    <w:uiPriority w:val="0"/>
    <w:pPr>
      <w:framePr w:w="3997" w:h="471" w:hRule="exact" w:vSpace="181" w:wrap="around" w:vAnchor="page" w:hAnchor="page" w:x="7089" w:y="14097" w:anchorLock="1"/>
      <w:widowControl/>
      <w:jc w:val="right"/>
    </w:pPr>
    <w:rPr>
      <w:rFonts w:eastAsia="黑体"/>
      <w:kern w:val="0"/>
      <w:sz w:val="28"/>
      <w:szCs w:val="20"/>
    </w:rPr>
  </w:style>
  <w:style w:type="character" w:customStyle="1" w:styleId="53">
    <w:name w:val="发布"/>
    <w:qFormat/>
    <w:uiPriority w:val="0"/>
    <w:rPr>
      <w:rFonts w:ascii="黑体" w:eastAsia="黑体"/>
      <w:spacing w:val="85"/>
      <w:w w:val="100"/>
      <w:position w:val="3"/>
      <w:sz w:val="28"/>
      <w:szCs w:val="28"/>
    </w:rPr>
  </w:style>
  <w:style w:type="paragraph" w:customStyle="1" w:styleId="54">
    <w:name w:val="其他发布部门"/>
    <w:basedOn w:val="1"/>
    <w:qFormat/>
    <w:uiPriority w:val="0"/>
    <w:pPr>
      <w:framePr w:w="7938" w:h="1134" w:hRule="exact" w:hSpace="125" w:vSpace="181" w:wrap="around" w:vAnchor="page" w:hAnchor="page" w:x="2150" w:y="15310" w:anchorLock="1"/>
      <w:widowControl/>
      <w:spacing w:line="0" w:lineRule="atLeast"/>
      <w:jc w:val="center"/>
    </w:pPr>
    <w:rPr>
      <w:rFonts w:ascii="黑体" w:eastAsia="黑体"/>
      <w:spacing w:val="20"/>
      <w:w w:val="135"/>
      <w:kern w:val="0"/>
      <w:sz w:val="28"/>
      <w:szCs w:val="20"/>
    </w:rPr>
  </w:style>
  <w:style w:type="paragraph" w:customStyle="1" w:styleId="55">
    <w:name w:val="终结线"/>
    <w:basedOn w:val="1"/>
    <w:qFormat/>
    <w:uiPriority w:val="99"/>
    <w:pPr>
      <w:framePr w:hSpace="181" w:vSpace="181" w:wrap="around" w:vAnchor="text" w:hAnchor="margin" w:xAlign="center" w:y="285"/>
    </w:pPr>
  </w:style>
  <w:style w:type="paragraph" w:customStyle="1" w:styleId="56">
    <w:name w:val="图"/>
    <w:basedOn w:val="1"/>
    <w:qFormat/>
    <w:uiPriority w:val="0"/>
    <w:pPr>
      <w:spacing w:beforeLines="50" w:afterLines="50"/>
      <w:jc w:val="center"/>
    </w:pPr>
  </w:style>
  <w:style w:type="paragraph" w:customStyle="1" w:styleId="57">
    <w:name w:val="表格内容"/>
    <w:basedOn w:val="1"/>
    <w:qFormat/>
    <w:uiPriority w:val="0"/>
    <w:pPr>
      <w:spacing w:line="312" w:lineRule="auto"/>
      <w:jc w:val="center"/>
    </w:pPr>
    <w:rPr>
      <w:rFonts w:eastAsia="仿宋_GB2312"/>
      <w:bCs/>
      <w:szCs w:val="21"/>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microsoft.com/office/2006/relationships/keyMapCustomizations" Target="customizations.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1858</Words>
  <Characters>2560</Characters>
  <Lines>1</Lines>
  <Paragraphs>1</Paragraphs>
  <TotalTime>0</TotalTime>
  <ScaleCrop>false</ScaleCrop>
  <LinksUpToDate>false</LinksUpToDate>
  <CharactersWithSpaces>2723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2026-02-12T06:14:00Z</dcterms:created>
  <dc:creator>admin</dc:creator>
  <cp:lastModifiedBy>苏州市人工智能行业协会</cp:lastModifiedBy>
  <cp:lastPrinted>2013-05-17T11:23:00Z</cp:lastPrinted>
  <dcterms:modified xsi:type="dcterms:W3CDTF">2026-04-17T09:24:59Z</dcterms:modified>
  <dc:title>该模块是通过从采样点实测的水稻农学参数与遥感光谱指数进行统计相关性分析，依据相关系数或拟合度最大来确定最好的农学参数和敏感的遥感光谱指数，在此基础上，采用多种模式模型（如线性、多项式、指数等）构建以遥感光谱指数为自变量、农学参数为因变量的遥感监测模型，从而依据上述所构建的遥感监测水稻生长与营养模型来计算并制作表征水稻农学特征的长势与营养分布表达图，然后参照农学分级标准确定水稻长势与营养等级并制作水稻长势与营养分级图，从而实现水稻长势与品质营养的遥感监测</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D6251286B64E454D93CEBBC8B7860FEB_13</vt:lpwstr>
  </property>
  <property fmtid="{D5CDD505-2E9C-101B-9397-08002B2CF9AE}" pid="4" name="KSOTemplateDocerSaveRecord">
    <vt:lpwstr>eyJoZGlkIjoiYTgwNmM5NWI1MGRiZmYwOTM3NjNlZWQzNjg1NzgxMWIiLCJ1c2VySWQiOiI0MDQyOTA0ODkifQ==</vt:lpwstr>
  </property>
</Properties>
</file>