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Times New Roman" w:eastAsia="方正小标宋简体"/>
          <w:sz w:val="44"/>
          <w:szCs w:val="32"/>
          <w:lang w:val="en-US" w:eastAsia="zh-CN"/>
        </w:rPr>
      </w:pPr>
    </w:p>
    <w:p>
      <w:pPr>
        <w:rPr>
          <w:rFonts w:hint="eastAsia" w:ascii="方正小标宋简体" w:hAnsi="Times New Roman" w:eastAsia="方正小标宋简体"/>
          <w:sz w:val="44"/>
          <w:szCs w:val="32"/>
          <w:lang w:val="en-US" w:eastAsia="zh-CN"/>
        </w:rPr>
      </w:pPr>
    </w:p>
    <w:p>
      <w:pPr>
        <w:pStyle w:val="2"/>
        <w:rPr>
          <w:rFonts w:hint="eastAsia" w:ascii="方正小标宋简体" w:hAnsi="Times New Roman" w:eastAsia="方正小标宋简体"/>
          <w:sz w:val="44"/>
          <w:szCs w:val="32"/>
          <w:lang w:val="en-US" w:eastAsia="zh-CN"/>
        </w:rPr>
      </w:pPr>
    </w:p>
    <w:p>
      <w:pPr>
        <w:pStyle w:val="2"/>
        <w:rPr>
          <w:rFonts w:hint="eastAsia"/>
          <w:lang w:val="en-US" w:eastAsia="zh-CN"/>
        </w:rPr>
      </w:pPr>
    </w:p>
    <w:p>
      <w:pPr>
        <w:rPr>
          <w:rFonts w:hint="eastAsia" w:ascii="方正小标宋简体" w:hAnsi="Times New Roman" w:eastAsia="方正小标宋简体"/>
          <w:sz w:val="44"/>
          <w:szCs w:val="32"/>
          <w:lang w:val="en-US" w:eastAsia="zh-CN"/>
        </w:rPr>
      </w:pPr>
    </w:p>
    <w:p>
      <w:pPr>
        <w:pStyle w:val="2"/>
        <w:rPr>
          <w:rFonts w:hint="eastAsia"/>
          <w:lang w:val="en-US" w:eastAsia="zh-CN"/>
        </w:rPr>
      </w:pPr>
    </w:p>
    <w:p>
      <w:pPr>
        <w:pStyle w:val="2"/>
        <w:rPr>
          <w:rFonts w:hint="eastAsia"/>
          <w:lang w:val="en-US" w:eastAsia="zh-CN"/>
        </w:rPr>
      </w:pPr>
    </w:p>
    <w:p>
      <w:pPr>
        <w:jc w:val="center"/>
        <w:rPr>
          <w:rFonts w:hint="eastAsia" w:ascii="方正小标宋_GBK" w:eastAsia="方正小标宋_GBK" w:hAnsiTheme="minorHAnsi" w:cstheme="minorBidi"/>
          <w:sz w:val="36"/>
          <w:szCs w:val="36"/>
          <w:lang w:val="en-US" w:eastAsia="zh-CN"/>
        </w:rPr>
      </w:pPr>
      <w:r>
        <w:rPr>
          <w:rFonts w:hint="eastAsia" w:ascii="方正小标宋_GBK" w:eastAsia="方正小标宋_GBK" w:hAnsiTheme="minorHAnsi" w:cstheme="minorBidi"/>
          <w:sz w:val="36"/>
          <w:szCs w:val="36"/>
          <w:lang w:val="en-US" w:eastAsia="zh-CN"/>
        </w:rPr>
        <w:t>团体标准</w:t>
      </w:r>
    </w:p>
    <w:p>
      <w:pPr>
        <w:jc w:val="center"/>
        <w:rPr>
          <w:rFonts w:hint="default" w:ascii="方正小标宋_GBK" w:eastAsia="方正小标宋_GBK" w:hAnsiTheme="minorHAnsi" w:cstheme="minorBidi"/>
          <w:sz w:val="36"/>
          <w:szCs w:val="36"/>
          <w:lang w:val="en-US" w:eastAsia="zh-CN"/>
        </w:rPr>
      </w:pPr>
      <w:r>
        <w:rPr>
          <w:rFonts w:hint="eastAsia" w:ascii="方正小标宋_GBK" w:eastAsia="方正小标宋_GBK" w:hAnsiTheme="minorHAnsi" w:cstheme="minorBidi"/>
          <w:sz w:val="36"/>
          <w:szCs w:val="36"/>
          <w:lang w:val="en-US" w:eastAsia="zh-CN"/>
        </w:rPr>
        <w:t>《遂宁无抗生猪饲养技术规程》</w:t>
      </w:r>
    </w:p>
    <w:p>
      <w:pPr>
        <w:jc w:val="center"/>
        <w:rPr>
          <w:rFonts w:hint="eastAsia" w:ascii="方正小标宋_GBK" w:eastAsia="方正小标宋_GBK" w:hAnsiTheme="minorHAnsi" w:cstheme="minorBidi"/>
          <w:sz w:val="36"/>
          <w:szCs w:val="36"/>
        </w:rPr>
      </w:pPr>
      <w:r>
        <w:rPr>
          <w:rFonts w:hint="eastAsia" w:ascii="方正小标宋_GBK" w:eastAsia="方正小标宋_GBK" w:hAnsiTheme="minorHAnsi" w:cstheme="minorBidi"/>
          <w:sz w:val="36"/>
          <w:szCs w:val="36"/>
        </w:rPr>
        <w:t>编制说明</w:t>
      </w:r>
    </w:p>
    <w:p>
      <w:pPr>
        <w:pStyle w:val="8"/>
        <w:adjustRightInd w:val="0"/>
        <w:snapToGrid w:val="0"/>
        <w:spacing w:before="120" w:line="0" w:lineRule="atLeast"/>
        <w:ind w:firstLine="0" w:firstLineChars="0"/>
        <w:outlineLvl w:val="0"/>
        <w:rPr>
          <w:rFonts w:ascii="黑体" w:hAnsi="宋体" w:eastAsia="黑体"/>
          <w:b/>
          <w:bCs/>
          <w:sz w:val="48"/>
          <w:szCs w:val="48"/>
        </w:rPr>
      </w:pPr>
    </w:p>
    <w:p>
      <w:pPr>
        <w:pStyle w:val="8"/>
        <w:adjustRightInd w:val="0"/>
        <w:snapToGrid w:val="0"/>
        <w:spacing w:before="120" w:line="0" w:lineRule="atLeast"/>
        <w:ind w:firstLine="0" w:firstLineChars="0"/>
        <w:outlineLvl w:val="0"/>
        <w:rPr>
          <w:rFonts w:ascii="黑体" w:hAnsi="宋体" w:eastAsia="黑体"/>
          <w:b/>
          <w:bCs/>
          <w:sz w:val="48"/>
          <w:szCs w:val="48"/>
        </w:rPr>
      </w:pPr>
    </w:p>
    <w:p>
      <w:pPr>
        <w:rPr>
          <w:b/>
          <w:sz w:val="36"/>
          <w:szCs w:val="36"/>
        </w:rPr>
      </w:pPr>
    </w:p>
    <w:p>
      <w:pPr>
        <w:rPr>
          <w:sz w:val="24"/>
        </w:rPr>
      </w:pPr>
    </w:p>
    <w:p>
      <w:pPr>
        <w:rPr>
          <w:sz w:val="24"/>
        </w:rPr>
      </w:pPr>
    </w:p>
    <w:p>
      <w:pPr>
        <w:rPr>
          <w:sz w:val="24"/>
        </w:rPr>
      </w:pPr>
    </w:p>
    <w:p>
      <w:pPr>
        <w:rPr>
          <w:sz w:val="24"/>
        </w:rPr>
      </w:pPr>
    </w:p>
    <w:p>
      <w:pPr>
        <w:rPr>
          <w:sz w:val="24"/>
        </w:rPr>
      </w:pPr>
    </w:p>
    <w:p>
      <w:pPr>
        <w:spacing w:line="360" w:lineRule="auto"/>
        <w:ind w:firstLine="643" w:firstLineChars="200"/>
        <w:jc w:val="center"/>
        <w:rPr>
          <w:rFonts w:hint="eastAsia" w:ascii="Times New Roman" w:hAnsi="Times New Roman" w:eastAsia="仿宋" w:cs="Times New Roman"/>
          <w:b/>
          <w:bCs/>
          <w:sz w:val="32"/>
          <w:szCs w:val="32"/>
          <w:lang w:val="en-US" w:eastAsia="zh-CN"/>
        </w:rPr>
      </w:pPr>
    </w:p>
    <w:p>
      <w:pPr>
        <w:jc w:val="center"/>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标准起草小组</w:t>
      </w:r>
    </w:p>
    <w:p>
      <w:pPr>
        <w:jc w:val="center"/>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2022年12月</w:t>
      </w:r>
    </w:p>
    <w:p>
      <w:pPr>
        <w:spacing w:line="360" w:lineRule="auto"/>
        <w:jc w:val="center"/>
        <w:rPr>
          <w:b/>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720" w:num="1"/>
          <w:titlePg/>
          <w:docGrid w:type="lines" w:linePitch="312" w:charSpace="0"/>
        </w:sectPr>
      </w:pP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一、工作情况</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（一）任务来源</w:t>
      </w:r>
      <w:r>
        <w:rPr>
          <w:rFonts w:hint="eastAsia" w:ascii="黑体" w:hAnsi="黑体" w:eastAsia="黑体" w:cstheme="minorBidi"/>
          <w:color w:val="FF0000"/>
          <w:sz w:val="21"/>
          <w:szCs w:val="21"/>
          <w:lang w:val="en-US" w:eastAsia="zh-CN"/>
        </w:rPr>
        <w:t>（团体标准是否只写一个编制说明？把黑猪部分也加入进去？）</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抗生素在国内畜禽养殖生产中被滥用已经造成了畜禽产品抗生素残留问题普遍存在。大量长期使用抗生素让</w:t>
      </w:r>
      <w:r>
        <w:rPr>
          <w:rFonts w:hint="default" w:ascii="仿宋_GB2312" w:eastAsia="仿宋_GB2312"/>
          <w:sz w:val="32"/>
          <w:szCs w:val="32"/>
          <w:lang w:val="en-US" w:eastAsia="zh-CN"/>
        </w:rPr>
        <w:t>“</w:t>
      </w:r>
      <w:r>
        <w:rPr>
          <w:rFonts w:hint="eastAsia" w:ascii="仿宋_GB2312" w:eastAsia="仿宋_GB2312"/>
          <w:sz w:val="32"/>
          <w:szCs w:val="32"/>
          <w:lang w:val="en-US" w:eastAsia="zh-CN"/>
        </w:rPr>
        <w:t>耐药菌</w:t>
      </w:r>
      <w:r>
        <w:rPr>
          <w:rFonts w:hint="default" w:ascii="仿宋_GB2312" w:eastAsia="仿宋_GB2312"/>
          <w:sz w:val="32"/>
          <w:szCs w:val="32"/>
          <w:lang w:val="en-US" w:eastAsia="zh-CN"/>
        </w:rPr>
        <w:t>”</w:t>
      </w:r>
      <w:r>
        <w:rPr>
          <w:rFonts w:hint="eastAsia" w:ascii="仿宋_GB2312" w:eastAsia="仿宋_GB2312"/>
          <w:sz w:val="32"/>
          <w:szCs w:val="32"/>
          <w:lang w:val="en-US" w:eastAsia="zh-CN"/>
        </w:rPr>
        <w:t>大量繁殖，最终对畜体和人体造成严重伤害和威胁，甚至破坏自然生态环境</w:t>
      </w:r>
      <w:r>
        <w:rPr>
          <w:rFonts w:hint="default" w:ascii="仿宋_GB2312" w:eastAsia="仿宋_GB2312"/>
          <w:sz w:val="32"/>
          <w:szCs w:val="32"/>
          <w:lang w:val="en-US" w:eastAsia="zh-CN"/>
        </w:rPr>
        <w:t>。</w:t>
      </w:r>
      <w:r>
        <w:rPr>
          <w:rFonts w:hint="eastAsia" w:ascii="仿宋_GB2312" w:eastAsia="仿宋_GB2312"/>
          <w:sz w:val="32"/>
          <w:szCs w:val="32"/>
          <w:lang w:val="en-US" w:eastAsia="zh-CN"/>
        </w:rPr>
        <w:t>农业农村部于2019年7月发布了第194号公告，在饲料中禁止使用促生长类抗生素，以避免抗生素滥用造成更严重的公共卫生安全问题。因此，改变饲养方式，拒绝滥用抗生素，是当今绿色安全养殖的趋势和要求</w:t>
      </w:r>
      <w:r>
        <w:rPr>
          <w:rFonts w:hint="default" w:ascii="仿宋_GB2312" w:eastAsia="仿宋_GB2312"/>
          <w:sz w:val="32"/>
          <w:szCs w:val="32"/>
          <w:lang w:val="en-US"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齐全农牧集团股份有限公司成立于1994年，位于遂宁市经济技术开发区，主要生产经营兽药、饲料、生猪养殖为一体的大型民营企业，属国家重点龙头企业和国家扶贫龙头企业。集团于2016年成立了齐全研究院，包括生猪无抗养殖工程技术研究中心、饲料营养分析研究中心等五个中心。该研究院自成立以来，制定了无抗生猪养殖企业标准，并于2017年获得四川省科技厅批准成立四川省唯一一家生猪无抗养殖工程技术研究中心。无抗猪生产就是在生猪的养殖过程中不添加</w:t>
      </w:r>
      <w:r>
        <w:rPr>
          <w:rFonts w:hint="default" w:ascii="仿宋_GB2312" w:eastAsia="仿宋_GB2312"/>
          <w:sz w:val="32"/>
          <w:szCs w:val="32"/>
          <w:lang w:val="en-US" w:eastAsia="zh-CN"/>
        </w:rPr>
        <w:t>、</w:t>
      </w:r>
      <w:r>
        <w:rPr>
          <w:rFonts w:hint="eastAsia" w:ascii="仿宋_GB2312" w:eastAsia="仿宋_GB2312"/>
          <w:sz w:val="32"/>
          <w:szCs w:val="32"/>
          <w:lang w:val="en-US" w:eastAsia="zh-CN"/>
        </w:rPr>
        <w:t>不使用任何抗生素的绿色安全饲养方式</w:t>
      </w:r>
      <w:r>
        <w:rPr>
          <w:rFonts w:hint="default" w:ascii="仿宋_GB2312" w:eastAsia="仿宋_GB2312"/>
          <w:sz w:val="32"/>
          <w:szCs w:val="32"/>
          <w:lang w:val="en-US"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通过《遂宁无抗生猪饲养技术规程》标准的制定，应用国内一系列先进的科学技术，大力推行绿色环保养殖，实现养猪业的可持续发展，相信在社会和众多养殖者的共同努力下，我国现代养殖业会进一步向无抗养殖迈进。</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（二）协作单位</w:t>
      </w:r>
    </w:p>
    <w:p>
      <w:pPr>
        <w:ind w:firstLine="640" w:firstLineChars="200"/>
        <w:rPr>
          <w:rFonts w:hint="eastAsia" w:ascii="黑体" w:hAnsi="黑体" w:eastAsia="黑体" w:cstheme="minorBidi"/>
          <w:color w:val="FF0000"/>
          <w:sz w:val="32"/>
          <w:szCs w:val="32"/>
          <w:lang w:val="en-US" w:eastAsia="zh-CN"/>
        </w:rPr>
      </w:pPr>
      <w:r>
        <w:rPr>
          <w:rFonts w:hint="eastAsia" w:ascii="仿宋_GB2312" w:eastAsia="仿宋_GB2312"/>
          <w:color w:val="FF0000"/>
          <w:sz w:val="32"/>
          <w:szCs w:val="32"/>
        </w:rPr>
        <w:t>遂宁市农业农村局、</w:t>
      </w:r>
      <w:r>
        <w:rPr>
          <w:rFonts w:hint="eastAsia" w:ascii="仿宋_GB2312" w:eastAsia="仿宋_GB2312"/>
          <w:color w:val="FF0000"/>
          <w:sz w:val="32"/>
          <w:szCs w:val="32"/>
          <w:lang w:val="en-US" w:eastAsia="zh-CN"/>
        </w:rPr>
        <w:t>齐全农牧集团股份有限公司</w:t>
      </w:r>
      <w:r>
        <w:rPr>
          <w:rFonts w:hint="eastAsia" w:ascii="仿宋_GB2312" w:eastAsia="仿宋_GB2312"/>
          <w:color w:val="FF0000"/>
          <w:sz w:val="32"/>
          <w:szCs w:val="32"/>
        </w:rPr>
        <w:t>、</w:t>
      </w:r>
      <w:r>
        <w:rPr>
          <w:rFonts w:hint="eastAsia" w:ascii="仿宋_GB2312" w:eastAsia="仿宋_GB2312"/>
          <w:color w:val="FF0000"/>
          <w:sz w:val="32"/>
          <w:szCs w:val="32"/>
          <w:lang w:val="en-US" w:eastAsia="zh-CN"/>
        </w:rPr>
        <w:t>遂宁市高金食品有限公司、</w:t>
      </w:r>
      <w:r>
        <w:rPr>
          <w:rFonts w:hint="eastAsia" w:ascii="仿宋_GB2312" w:eastAsia="仿宋_GB2312"/>
          <w:color w:val="FF0000"/>
          <w:sz w:val="32"/>
          <w:szCs w:val="32"/>
        </w:rPr>
        <w:t>成都市农林科学院、成都市标准化研究院。</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（三）工作过程</w:t>
      </w:r>
    </w:p>
    <w:p>
      <w:pPr>
        <w:ind w:firstLine="643"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成立标准编制小组（2</w:t>
      </w:r>
      <w:r>
        <w:rPr>
          <w:rFonts w:ascii="仿宋_GB2312" w:eastAsia="仿宋_GB2312"/>
          <w:b/>
          <w:bCs/>
          <w:sz w:val="32"/>
          <w:szCs w:val="32"/>
        </w:rPr>
        <w:t>022</w:t>
      </w:r>
      <w:r>
        <w:rPr>
          <w:rFonts w:hint="eastAsia" w:ascii="仿宋_GB2312" w:eastAsia="仿宋_GB2312"/>
          <w:b/>
          <w:bCs/>
          <w:sz w:val="32"/>
          <w:szCs w:val="32"/>
        </w:rPr>
        <w:t>年1</w:t>
      </w:r>
      <w:r>
        <w:rPr>
          <w:rFonts w:ascii="仿宋_GB2312" w:eastAsia="仿宋_GB2312"/>
          <w:b/>
          <w:bCs/>
          <w:sz w:val="32"/>
          <w:szCs w:val="32"/>
        </w:rPr>
        <w:t>0</w:t>
      </w:r>
      <w:r>
        <w:rPr>
          <w:rFonts w:hint="eastAsia" w:ascii="仿宋_GB2312" w:eastAsia="仿宋_GB2312"/>
          <w:b/>
          <w:bCs/>
          <w:sz w:val="32"/>
          <w:szCs w:val="32"/>
        </w:rPr>
        <w:t>月）</w:t>
      </w:r>
    </w:p>
    <w:p>
      <w:pPr>
        <w:ind w:firstLine="640" w:firstLineChars="200"/>
        <w:rPr>
          <w:rFonts w:ascii="仿宋_GB2312" w:eastAsia="仿宋_GB2312"/>
          <w:b/>
          <w:bCs/>
          <w:sz w:val="32"/>
          <w:szCs w:val="32"/>
        </w:rPr>
      </w:pPr>
      <w:r>
        <w:rPr>
          <w:rFonts w:hint="eastAsia" w:ascii="仿宋_GB2312" w:eastAsia="仿宋_GB2312"/>
          <w:sz w:val="32"/>
          <w:szCs w:val="32"/>
        </w:rPr>
        <w:t>成立由</w:t>
      </w:r>
      <w:r>
        <w:rPr>
          <w:rFonts w:hint="eastAsia" w:ascii="仿宋_GB2312" w:eastAsia="仿宋_GB2312"/>
          <w:sz w:val="32"/>
          <w:szCs w:val="32"/>
          <w:lang w:val="en-US" w:eastAsia="zh-CN"/>
        </w:rPr>
        <w:t>畜牧兽医</w:t>
      </w:r>
      <w:r>
        <w:rPr>
          <w:rFonts w:hint="eastAsia" w:ascii="仿宋_GB2312" w:eastAsia="仿宋_GB2312"/>
          <w:sz w:val="32"/>
          <w:szCs w:val="32"/>
        </w:rPr>
        <w:t>行业专家、标准化专家和相关生产经营主体构成的标准编制组，确定标准编制组组长，同意协调本标准制定推进过程中的各项事宜。</w:t>
      </w:r>
    </w:p>
    <w:p>
      <w:pPr>
        <w:ind w:firstLine="643"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前期调研（2</w:t>
      </w:r>
      <w:r>
        <w:rPr>
          <w:rFonts w:ascii="仿宋_GB2312" w:eastAsia="仿宋_GB2312"/>
          <w:b/>
          <w:bCs/>
          <w:sz w:val="32"/>
          <w:szCs w:val="32"/>
        </w:rPr>
        <w:t>022</w:t>
      </w:r>
      <w:r>
        <w:rPr>
          <w:rFonts w:hint="eastAsia" w:ascii="仿宋_GB2312" w:eastAsia="仿宋_GB2312"/>
          <w:b/>
          <w:bCs/>
          <w:sz w:val="32"/>
          <w:szCs w:val="32"/>
        </w:rPr>
        <w:t>年1</w:t>
      </w:r>
      <w:r>
        <w:rPr>
          <w:rFonts w:ascii="仿宋_GB2312" w:eastAsia="仿宋_GB2312"/>
          <w:b/>
          <w:bCs/>
          <w:sz w:val="32"/>
          <w:szCs w:val="32"/>
        </w:rPr>
        <w:t>0</w:t>
      </w:r>
      <w:r>
        <w:rPr>
          <w:rFonts w:hint="eastAsia" w:ascii="仿宋_GB2312" w:eastAsia="仿宋_GB2312"/>
          <w:b/>
          <w:bCs/>
          <w:sz w:val="32"/>
          <w:szCs w:val="32"/>
        </w:rPr>
        <w:t>月-1</w:t>
      </w:r>
      <w:r>
        <w:rPr>
          <w:rFonts w:ascii="仿宋_GB2312" w:eastAsia="仿宋_GB2312"/>
          <w:b/>
          <w:bCs/>
          <w:sz w:val="32"/>
          <w:szCs w:val="32"/>
        </w:rPr>
        <w:t>1</w:t>
      </w:r>
      <w:r>
        <w:rPr>
          <w:rFonts w:hint="eastAsia" w:ascii="仿宋_GB2312" w:eastAsia="仿宋_GB2312"/>
          <w:b/>
          <w:bCs/>
          <w:sz w:val="32"/>
          <w:szCs w:val="32"/>
        </w:rPr>
        <w:t>月）</w:t>
      </w:r>
    </w:p>
    <w:p>
      <w:pPr>
        <w:ind w:firstLine="640" w:firstLineChars="200"/>
        <w:rPr>
          <w:rFonts w:ascii="仿宋_GB2312" w:eastAsia="仿宋_GB2312"/>
          <w:b/>
          <w:bCs/>
          <w:sz w:val="32"/>
          <w:szCs w:val="32"/>
        </w:rPr>
      </w:pPr>
      <w:r>
        <w:rPr>
          <w:rFonts w:hint="eastAsia" w:ascii="仿宋_GB2312" w:eastAsia="仿宋_GB2312"/>
          <w:sz w:val="32"/>
          <w:szCs w:val="32"/>
        </w:rPr>
        <w:t>标准编制小组多次开展实地走访调研工作，有针对性对</w:t>
      </w:r>
      <w:r>
        <w:rPr>
          <w:rFonts w:hint="eastAsia" w:ascii="仿宋_GB2312" w:eastAsia="仿宋_GB2312"/>
          <w:sz w:val="32"/>
          <w:szCs w:val="32"/>
          <w:lang w:val="en-US" w:eastAsia="zh-CN"/>
        </w:rPr>
        <w:t>齐全农牧集团股份有限公司、遂宁市高金食品有限公司</w:t>
      </w:r>
      <w:r>
        <w:rPr>
          <w:rFonts w:hint="eastAsia" w:ascii="仿宋_GB2312" w:eastAsia="仿宋_GB2312"/>
          <w:sz w:val="32"/>
          <w:szCs w:val="32"/>
        </w:rPr>
        <w:t>等多家生产经营主体进行考察，对遂宁</w:t>
      </w:r>
      <w:r>
        <w:rPr>
          <w:rFonts w:hint="eastAsia" w:ascii="仿宋_GB2312" w:eastAsia="仿宋_GB2312"/>
          <w:sz w:val="32"/>
          <w:szCs w:val="32"/>
          <w:lang w:val="en-US" w:eastAsia="zh-CN"/>
        </w:rPr>
        <w:t>市无抗生猪养殖过程中的饲养管理过程</w:t>
      </w:r>
      <w:r>
        <w:rPr>
          <w:rFonts w:hint="eastAsia" w:ascii="仿宋_GB2312" w:eastAsia="仿宋_GB2312"/>
          <w:sz w:val="32"/>
          <w:szCs w:val="32"/>
        </w:rPr>
        <w:t>进行深入调研，深入了解遂宁市</w:t>
      </w:r>
      <w:r>
        <w:rPr>
          <w:rFonts w:hint="eastAsia" w:ascii="仿宋_GB2312" w:eastAsia="仿宋_GB2312"/>
          <w:sz w:val="32"/>
          <w:szCs w:val="32"/>
          <w:lang w:val="en-US" w:eastAsia="zh-CN"/>
        </w:rPr>
        <w:t>无抗生猪养殖过程中的引种、猪场建设及环境要求、饮水要求、饲养管理、无抗饲料饲喂、兽药使用、卫生防疫和生产档案管理等情况</w:t>
      </w:r>
      <w:r>
        <w:rPr>
          <w:rFonts w:hint="eastAsia" w:ascii="Times New Roman" w:hAnsi="Times New Roman" w:eastAsia="仿宋"/>
          <w:sz w:val="32"/>
          <w:szCs w:val="32"/>
          <w:lang w:val="en-US" w:eastAsia="zh-CN"/>
        </w:rPr>
        <w:t>，查阅了全国各地有关技术资料，拟定框架，</w:t>
      </w:r>
      <w:r>
        <w:rPr>
          <w:rFonts w:hint="eastAsia" w:ascii="仿宋_GB2312" w:eastAsia="仿宋_GB2312"/>
          <w:sz w:val="32"/>
          <w:szCs w:val="32"/>
        </w:rPr>
        <w:t>提出《遂宁</w:t>
      </w:r>
      <w:r>
        <w:rPr>
          <w:rFonts w:hint="eastAsia" w:ascii="仿宋_GB2312" w:eastAsia="仿宋_GB2312"/>
          <w:sz w:val="32"/>
          <w:szCs w:val="32"/>
          <w:lang w:val="en-US" w:eastAsia="zh-CN"/>
        </w:rPr>
        <w:t>无抗生猪饲养技术规程</w:t>
      </w:r>
      <w:r>
        <w:rPr>
          <w:rFonts w:hint="eastAsia" w:ascii="仿宋_GB2312" w:eastAsia="仿宋_GB2312"/>
          <w:sz w:val="32"/>
          <w:szCs w:val="32"/>
        </w:rPr>
        <w:t>》的立项申请。</w:t>
      </w:r>
    </w:p>
    <w:p>
      <w:pPr>
        <w:ind w:firstLine="640"/>
        <w:rPr>
          <w:rFonts w:hint="eastAsia" w:ascii="仿宋_GB2312" w:eastAsia="仿宋_GB2312"/>
          <w:b/>
          <w:bCs/>
          <w:sz w:val="32"/>
          <w:szCs w:val="32"/>
        </w:rPr>
      </w:pPr>
      <w:r>
        <w:rPr>
          <w:rFonts w:hint="eastAsia" w:ascii="仿宋_GB2312" w:eastAsia="仿宋_GB2312"/>
          <w:b/>
          <w:bCs/>
          <w:sz w:val="32"/>
          <w:szCs w:val="32"/>
        </w:rPr>
        <w:t>3.标准立项</w:t>
      </w:r>
      <w:r>
        <w:rPr>
          <w:rFonts w:hint="eastAsia" w:ascii="仿宋_GB2312" w:eastAsia="仿宋_GB2312"/>
          <w:b/>
          <w:bCs/>
          <w:color w:val="FF0000"/>
          <w:sz w:val="32"/>
          <w:szCs w:val="32"/>
        </w:rPr>
        <w:t>（2022年1</w:t>
      </w:r>
      <w:r>
        <w:rPr>
          <w:rFonts w:hint="eastAsia" w:ascii="仿宋_GB2312" w:eastAsia="仿宋_GB2312"/>
          <w:b/>
          <w:bCs/>
          <w:color w:val="FF0000"/>
          <w:sz w:val="32"/>
          <w:szCs w:val="32"/>
          <w:lang w:val="en-US" w:eastAsia="zh-CN"/>
        </w:rPr>
        <w:t>2</w:t>
      </w:r>
      <w:r>
        <w:rPr>
          <w:rFonts w:hint="eastAsia" w:ascii="仿宋_GB2312" w:eastAsia="仿宋_GB2312"/>
          <w:b/>
          <w:bCs/>
          <w:color w:val="FF0000"/>
          <w:sz w:val="32"/>
          <w:szCs w:val="32"/>
        </w:rPr>
        <w:t>月）</w:t>
      </w:r>
    </w:p>
    <w:p>
      <w:pPr>
        <w:ind w:firstLine="640"/>
        <w:rPr>
          <w:rFonts w:ascii="仿宋_GB2312" w:eastAsia="仿宋_GB2312"/>
          <w:color w:val="FF0000"/>
          <w:sz w:val="32"/>
          <w:szCs w:val="32"/>
        </w:rPr>
      </w:pPr>
      <w:r>
        <w:rPr>
          <w:rFonts w:ascii="仿宋_GB2312" w:eastAsia="仿宋_GB2312"/>
          <w:color w:val="FF0000"/>
          <w:sz w:val="32"/>
          <w:szCs w:val="32"/>
        </w:rPr>
        <w:t>202</w:t>
      </w:r>
      <w:r>
        <w:rPr>
          <w:rFonts w:hint="eastAsia" w:ascii="仿宋_GB2312" w:eastAsia="仿宋_GB2312"/>
          <w:color w:val="FF0000"/>
          <w:sz w:val="32"/>
          <w:szCs w:val="32"/>
          <w:lang w:val="en-US" w:eastAsia="zh-CN"/>
        </w:rPr>
        <w:t>x</w:t>
      </w:r>
      <w:r>
        <w:rPr>
          <w:rFonts w:hint="eastAsia" w:ascii="仿宋_GB2312" w:eastAsia="仿宋_GB2312"/>
          <w:color w:val="FF0000"/>
          <w:sz w:val="32"/>
          <w:szCs w:val="32"/>
        </w:rPr>
        <w:t>年</w:t>
      </w:r>
      <w:r>
        <w:rPr>
          <w:rFonts w:hint="eastAsia" w:ascii="仿宋_GB2312" w:eastAsia="仿宋_GB2312"/>
          <w:color w:val="FF0000"/>
          <w:sz w:val="32"/>
          <w:szCs w:val="32"/>
          <w:lang w:val="en-US" w:eastAsia="zh-CN"/>
        </w:rPr>
        <w:t>xx</w:t>
      </w:r>
      <w:r>
        <w:rPr>
          <w:rFonts w:hint="eastAsia" w:ascii="仿宋_GB2312" w:eastAsia="仿宋_GB2312"/>
          <w:color w:val="FF0000"/>
          <w:sz w:val="32"/>
          <w:szCs w:val="32"/>
        </w:rPr>
        <w:t>月，遂宁市</w:t>
      </w:r>
      <w:r>
        <w:rPr>
          <w:rFonts w:hint="eastAsia" w:ascii="仿宋_GB2312" w:eastAsia="仿宋_GB2312"/>
          <w:color w:val="FF0000"/>
          <w:sz w:val="32"/>
          <w:szCs w:val="32"/>
          <w:lang w:val="en-US" w:eastAsia="zh-CN"/>
        </w:rPr>
        <w:t>xxx</w:t>
      </w:r>
      <w:r>
        <w:rPr>
          <w:rFonts w:hint="eastAsia" w:ascii="仿宋_GB2312" w:eastAsia="仿宋_GB2312"/>
          <w:color w:val="FF0000"/>
          <w:sz w:val="32"/>
          <w:szCs w:val="32"/>
        </w:rPr>
        <w:t>印发了《关于</w:t>
      </w:r>
      <w:r>
        <w:rPr>
          <w:rFonts w:ascii="仿宋_GB2312" w:eastAsia="仿宋_GB2312"/>
          <w:color w:val="FF0000"/>
          <w:sz w:val="32"/>
          <w:szCs w:val="32"/>
        </w:rPr>
        <w:t>&lt;</w:t>
      </w:r>
      <w:r>
        <w:rPr>
          <w:rFonts w:hint="eastAsia" w:ascii="仿宋_GB2312" w:eastAsia="仿宋_GB2312"/>
          <w:color w:val="FF0000"/>
          <w:sz w:val="32"/>
          <w:szCs w:val="32"/>
          <w:lang w:val="en-US" w:eastAsia="zh-CN"/>
        </w:rPr>
        <w:t>xxx</w:t>
      </w:r>
      <w:r>
        <w:rPr>
          <w:rFonts w:ascii="仿宋_GB2312" w:eastAsia="仿宋_GB2312"/>
          <w:color w:val="FF0000"/>
          <w:sz w:val="32"/>
          <w:szCs w:val="32"/>
        </w:rPr>
        <w:t>&gt;</w:t>
      </w:r>
      <w:r>
        <w:rPr>
          <w:rFonts w:hint="eastAsia" w:ascii="仿宋_GB2312" w:eastAsia="仿宋_GB2312"/>
          <w:color w:val="FF0000"/>
          <w:sz w:val="32"/>
          <w:szCs w:val="32"/>
        </w:rPr>
        <w:t>团体标准的立项公告》，并在“全国团体标准信息平台”上发布。</w:t>
      </w:r>
    </w:p>
    <w:p>
      <w:pPr>
        <w:ind w:firstLine="64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标准起草</w:t>
      </w:r>
      <w:r>
        <w:rPr>
          <w:rFonts w:hint="eastAsia" w:ascii="仿宋_GB2312" w:eastAsia="仿宋_GB2312"/>
          <w:b/>
          <w:bCs/>
          <w:color w:val="FF0000"/>
          <w:sz w:val="32"/>
          <w:szCs w:val="32"/>
        </w:rPr>
        <w:t>（2</w:t>
      </w:r>
      <w:r>
        <w:rPr>
          <w:rFonts w:ascii="仿宋_GB2312" w:eastAsia="仿宋_GB2312"/>
          <w:b/>
          <w:bCs/>
          <w:color w:val="FF0000"/>
          <w:sz w:val="32"/>
          <w:szCs w:val="32"/>
        </w:rPr>
        <w:t>022</w:t>
      </w:r>
      <w:r>
        <w:rPr>
          <w:rFonts w:hint="eastAsia" w:ascii="仿宋_GB2312" w:eastAsia="仿宋_GB2312"/>
          <w:b/>
          <w:bCs/>
          <w:color w:val="FF0000"/>
          <w:sz w:val="32"/>
          <w:szCs w:val="32"/>
        </w:rPr>
        <w:t>年1</w:t>
      </w:r>
      <w:r>
        <w:rPr>
          <w:rFonts w:ascii="仿宋_GB2312" w:eastAsia="仿宋_GB2312"/>
          <w:b/>
          <w:bCs/>
          <w:color w:val="FF0000"/>
          <w:sz w:val="32"/>
          <w:szCs w:val="32"/>
        </w:rPr>
        <w:t>1</w:t>
      </w:r>
      <w:r>
        <w:rPr>
          <w:rFonts w:hint="eastAsia" w:ascii="仿宋_GB2312" w:eastAsia="仿宋_GB2312"/>
          <w:b/>
          <w:bCs/>
          <w:color w:val="FF0000"/>
          <w:sz w:val="32"/>
          <w:szCs w:val="32"/>
        </w:rPr>
        <w:t>月-</w:t>
      </w:r>
      <w:r>
        <w:rPr>
          <w:rFonts w:ascii="仿宋_GB2312" w:eastAsia="仿宋_GB2312"/>
          <w:b/>
          <w:bCs/>
          <w:color w:val="FF0000"/>
          <w:sz w:val="32"/>
          <w:szCs w:val="32"/>
        </w:rPr>
        <w:t>12</w:t>
      </w:r>
      <w:r>
        <w:rPr>
          <w:rFonts w:hint="eastAsia" w:ascii="仿宋_GB2312" w:eastAsia="仿宋_GB2312"/>
          <w:b/>
          <w:bCs/>
          <w:color w:val="FF0000"/>
          <w:sz w:val="32"/>
          <w:szCs w:val="32"/>
        </w:rPr>
        <w:t>月）</w:t>
      </w:r>
    </w:p>
    <w:p>
      <w:pPr>
        <w:ind w:firstLine="640"/>
        <w:rPr>
          <w:rFonts w:ascii="仿宋_GB2312" w:eastAsia="仿宋_GB2312"/>
          <w:color w:val="FF0000"/>
          <w:sz w:val="32"/>
          <w:szCs w:val="32"/>
        </w:rPr>
      </w:pPr>
      <w:r>
        <w:rPr>
          <w:rFonts w:hint="eastAsia" w:ascii="仿宋_GB2312" w:eastAsia="仿宋_GB2312"/>
          <w:color w:val="FF0000"/>
          <w:sz w:val="32"/>
          <w:szCs w:val="32"/>
        </w:rPr>
        <w:t>立项公告发布后，标准编制小组以国家标准和行业标准为依托，通过实地走访起草制定《遂宁</w:t>
      </w:r>
      <w:r>
        <w:rPr>
          <w:rFonts w:hint="eastAsia" w:ascii="仿宋_GB2312" w:eastAsia="仿宋_GB2312"/>
          <w:color w:val="FF0000"/>
          <w:sz w:val="32"/>
          <w:szCs w:val="32"/>
          <w:lang w:val="en-US" w:eastAsia="zh-CN"/>
        </w:rPr>
        <w:t>无抗生猪饲养技术规程</w:t>
      </w:r>
      <w:r>
        <w:rPr>
          <w:rFonts w:hint="eastAsia" w:ascii="仿宋_GB2312" w:eastAsia="仿宋_GB2312"/>
          <w:color w:val="FF0000"/>
          <w:sz w:val="32"/>
          <w:szCs w:val="32"/>
        </w:rPr>
        <w:t>》，并在标准编制小组内部对草案内容、结构，尤其是</w:t>
      </w:r>
      <w:r>
        <w:rPr>
          <w:rFonts w:hint="eastAsia" w:ascii="仿宋_GB2312" w:eastAsia="仿宋_GB2312"/>
          <w:color w:val="FF0000"/>
          <w:sz w:val="32"/>
          <w:szCs w:val="32"/>
          <w:lang w:val="en-US" w:eastAsia="zh-CN"/>
        </w:rPr>
        <w:t>饲养管理中</w:t>
      </w:r>
      <w:r>
        <w:rPr>
          <w:rFonts w:hint="eastAsia" w:ascii="仿宋_GB2312" w:eastAsia="仿宋_GB2312"/>
          <w:color w:val="FF0000"/>
          <w:sz w:val="32"/>
          <w:szCs w:val="32"/>
        </w:rPr>
        <w:t>的关键指标，进行初步审查和反复论证，对《遂宁</w:t>
      </w:r>
      <w:r>
        <w:rPr>
          <w:rFonts w:hint="eastAsia" w:ascii="仿宋_GB2312" w:eastAsia="仿宋_GB2312"/>
          <w:color w:val="FF0000"/>
          <w:sz w:val="32"/>
          <w:szCs w:val="32"/>
          <w:lang w:val="en-US" w:eastAsia="zh-CN"/>
        </w:rPr>
        <w:t>无抗生猪饲养技术规程</w:t>
      </w:r>
      <w:r>
        <w:rPr>
          <w:rFonts w:hint="eastAsia" w:ascii="仿宋_GB2312" w:eastAsia="仿宋_GB2312"/>
          <w:color w:val="FF0000"/>
          <w:sz w:val="32"/>
          <w:szCs w:val="32"/>
        </w:rPr>
        <w:t>》内容进行多次修改和完善。</w:t>
      </w:r>
    </w:p>
    <w:p>
      <w:pPr>
        <w:ind w:firstLine="640"/>
        <w:rPr>
          <w:rFonts w:hint="eastAsia" w:ascii="仿宋_GB2312" w:eastAsia="仿宋_GB2312"/>
          <w:b/>
          <w:bCs/>
          <w:color w:val="FF0000"/>
          <w:sz w:val="32"/>
          <w:szCs w:val="32"/>
        </w:rPr>
      </w:pPr>
      <w:r>
        <w:rPr>
          <w:rFonts w:hint="eastAsia" w:ascii="仿宋_GB2312" w:eastAsia="仿宋_GB2312"/>
          <w:b/>
          <w:bCs/>
          <w:sz w:val="32"/>
          <w:szCs w:val="32"/>
        </w:rPr>
        <w:t>5</w:t>
      </w:r>
      <w:r>
        <w:rPr>
          <w:rFonts w:ascii="仿宋_GB2312" w:eastAsia="仿宋_GB2312"/>
          <w:b/>
          <w:bCs/>
          <w:sz w:val="32"/>
          <w:szCs w:val="32"/>
        </w:rPr>
        <w:t>.</w:t>
      </w:r>
      <w:r>
        <w:rPr>
          <w:rFonts w:hint="eastAsia" w:ascii="仿宋_GB2312" w:eastAsia="仿宋_GB2312"/>
          <w:b/>
          <w:bCs/>
          <w:sz w:val="32"/>
          <w:szCs w:val="32"/>
        </w:rPr>
        <w:t>形成标准征求意见稿</w:t>
      </w:r>
      <w:r>
        <w:rPr>
          <w:rFonts w:hint="eastAsia" w:ascii="仿宋_GB2312" w:eastAsia="仿宋_GB2312"/>
          <w:b/>
          <w:bCs/>
          <w:color w:val="FF0000"/>
          <w:sz w:val="32"/>
          <w:szCs w:val="32"/>
        </w:rPr>
        <w:t>（2</w:t>
      </w:r>
      <w:r>
        <w:rPr>
          <w:rFonts w:ascii="仿宋_GB2312" w:eastAsia="仿宋_GB2312"/>
          <w:b/>
          <w:bCs/>
          <w:color w:val="FF0000"/>
          <w:sz w:val="32"/>
          <w:szCs w:val="32"/>
        </w:rPr>
        <w:t>02</w:t>
      </w:r>
      <w:r>
        <w:rPr>
          <w:rFonts w:hint="eastAsia" w:ascii="仿宋_GB2312" w:eastAsia="仿宋_GB2312"/>
          <w:b/>
          <w:bCs/>
          <w:color w:val="FF0000"/>
          <w:sz w:val="32"/>
          <w:szCs w:val="32"/>
          <w:lang w:val="en-US" w:eastAsia="zh-CN"/>
        </w:rPr>
        <w:t>x</w:t>
      </w:r>
      <w:r>
        <w:rPr>
          <w:rFonts w:hint="eastAsia" w:ascii="仿宋_GB2312" w:eastAsia="仿宋_GB2312"/>
          <w:b/>
          <w:bCs/>
          <w:color w:val="FF0000"/>
          <w:sz w:val="32"/>
          <w:szCs w:val="32"/>
        </w:rPr>
        <w:t>年</w:t>
      </w:r>
      <w:r>
        <w:rPr>
          <w:rFonts w:hint="eastAsia" w:ascii="仿宋_GB2312" w:eastAsia="仿宋_GB2312"/>
          <w:b/>
          <w:bCs/>
          <w:color w:val="FF0000"/>
          <w:sz w:val="32"/>
          <w:szCs w:val="32"/>
          <w:lang w:val="en-US" w:eastAsia="zh-CN"/>
        </w:rPr>
        <w:t>x</w:t>
      </w:r>
      <w:r>
        <w:rPr>
          <w:rFonts w:hint="eastAsia" w:ascii="仿宋_GB2312" w:eastAsia="仿宋_GB2312"/>
          <w:b/>
          <w:bCs/>
          <w:color w:val="FF0000"/>
          <w:sz w:val="32"/>
          <w:szCs w:val="32"/>
        </w:rPr>
        <w:t>月）</w:t>
      </w:r>
    </w:p>
    <w:p>
      <w:pPr>
        <w:pStyle w:val="2"/>
      </w:pPr>
    </w:p>
    <w:p>
      <w:pPr>
        <w:pStyle w:val="27"/>
        <w:numPr>
          <w:ilvl w:val="0"/>
          <w:numId w:val="0"/>
        </w:numPr>
        <w:rPr>
          <w:rFonts w:hint="eastAsia" w:ascii="方正楷体_GBK" w:eastAsia="方正楷体_GBK" w:hAnsiTheme="minorHAnsi" w:cstheme="minorBidi"/>
          <w:sz w:val="32"/>
          <w:szCs w:val="32"/>
          <w:lang w:val="en-US" w:eastAsia="zh-CN"/>
        </w:rPr>
      </w:pPr>
      <w:r>
        <w:rPr>
          <w:rFonts w:hint="eastAsia" w:ascii="方正楷体_GBK" w:eastAsia="方正楷体_GBK" w:hAnsiTheme="minorHAnsi" w:cstheme="minorBidi"/>
          <w:sz w:val="32"/>
          <w:szCs w:val="32"/>
          <w:lang w:val="en-US" w:eastAsia="zh-CN"/>
        </w:rPr>
        <w:t>（四）主要起草人</w:t>
      </w:r>
    </w:p>
    <w:p>
      <w:pPr>
        <w:pStyle w:val="27"/>
        <w:numPr>
          <w:ilvl w:val="0"/>
          <w:numId w:val="0"/>
        </w:numPr>
        <w:rPr>
          <w:rFonts w:hint="default" w:ascii="方正楷体_GBK" w:eastAsia="方正楷体_GBK" w:hAnsiTheme="minorHAnsi" w:cstheme="minorBidi"/>
          <w:sz w:val="32"/>
          <w:szCs w:val="32"/>
          <w:lang w:val="en-US" w:eastAsia="zh-CN"/>
        </w:rPr>
      </w:pP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二、标准编制原则</w:t>
      </w:r>
    </w:p>
    <w:p>
      <w:pPr>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本标准</w:t>
      </w:r>
      <w:r>
        <w:rPr>
          <w:rFonts w:hint="eastAsia" w:ascii="仿宋_GB2312" w:eastAsia="仿宋_GB2312"/>
          <w:sz w:val="32"/>
          <w:szCs w:val="32"/>
        </w:rPr>
        <w:t>按照GB/T 1.1-2020 《标准化工作导则  第1部分：标准化文件的结构和起草规则》中的有关规定，注重总体的合理性和系统性。</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标准应符合国家有关法律法规、强制性标准及相关产业政策要求。</w:t>
      </w:r>
    </w:p>
    <w:p>
      <w:pPr>
        <w:pStyle w:val="27"/>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标准应具有科学性、先进性、经济性，切实可行。</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三、标准的主要内容</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（一）本标准范围</w:t>
      </w:r>
    </w:p>
    <w:p>
      <w:pPr>
        <w:pStyle w:val="27"/>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本文件规定了遂宁市无抗生猪养殖过程中的引种、猪场建设及环境要求、饮水要求、饲养管理、无抗饲料饲喂、兽药使用、卫生防疫和生产档案管理的技术规范。</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本文件适用于遂宁市行政区域内无抗生猪饲养管理。</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文件的设计主要抓住了无抗生猪饲养技术的关键点，包括引种、猪场建设及环境要求、饮水要求、饲养管理、无抗饲料饲喂、兽药使用、卫生防疫和生产档案管理八个方面。无抗生猪饲养技术关键点如图1所示。</w:t>
      </w:r>
    </w:p>
    <w:p>
      <w:pPr>
        <w:pStyle w:val="2"/>
        <w:jc w:val="center"/>
        <w:rPr>
          <w:rFonts w:hint="eastAsia" w:ascii="方正仿宋简体" w:eastAsia="方正仿宋简体"/>
          <w:sz w:val="32"/>
          <w:lang w:eastAsia="zh-CN"/>
        </w:rPr>
      </w:pPr>
      <w:r>
        <w:rPr>
          <w:rFonts w:hint="eastAsia" w:ascii="方正仿宋简体" w:eastAsia="方正仿宋简体"/>
          <w:sz w:val="32"/>
          <w:lang w:eastAsia="zh-CN"/>
        </w:rPr>
        <w:drawing>
          <wp:inline distT="0" distB="0" distL="114300" distR="114300">
            <wp:extent cx="5218430" cy="2360930"/>
            <wp:effectExtent l="0" t="0" r="1270" b="1270"/>
            <wp:docPr id="19" name="图片 19" descr="166778998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7789989841"/>
                    <pic:cNvPicPr>
                      <a:picLocks noChangeAspect="1"/>
                    </pic:cNvPicPr>
                  </pic:nvPicPr>
                  <pic:blipFill>
                    <a:blip r:embed="rId10"/>
                    <a:srcRect t="8452" b="12966"/>
                    <a:stretch>
                      <a:fillRect/>
                    </a:stretch>
                  </pic:blipFill>
                  <pic:spPr>
                    <a:xfrm>
                      <a:off x="0" y="0"/>
                      <a:ext cx="5218430" cy="2360930"/>
                    </a:xfrm>
                    <a:prstGeom prst="rect">
                      <a:avLst/>
                    </a:prstGeom>
                  </pic:spPr>
                </pic:pic>
              </a:graphicData>
            </a:graphic>
          </wp:inline>
        </w:drawing>
      </w:r>
    </w:p>
    <w:p>
      <w:pPr>
        <w:pStyle w:val="27"/>
        <w:numPr>
          <w:ilvl w:val="0"/>
          <w:numId w:val="0"/>
        </w:numPr>
        <w:ind w:firstLine="560" w:firstLineChars="200"/>
        <w:jc w:val="center"/>
        <w:rPr>
          <w:rFonts w:hint="eastAsia" w:ascii="仿宋_GB2312" w:eastAsia="仿宋_GB2312"/>
          <w:sz w:val="32"/>
          <w:szCs w:val="32"/>
          <w:lang w:val="en-US" w:eastAsia="zh-CN"/>
        </w:rPr>
      </w:pPr>
      <w:r>
        <w:rPr>
          <w:rFonts w:hint="eastAsia" w:ascii="黑体" w:hAnsi="黑体" w:eastAsia="黑体" w:cs="黑体"/>
          <w:sz w:val="28"/>
          <w:szCs w:val="28"/>
        </w:rPr>
        <w:t>图1</w:t>
      </w:r>
      <w:r>
        <w:rPr>
          <w:rFonts w:hint="eastAsia" w:ascii="黑体" w:hAnsi="黑体" w:eastAsia="黑体" w:cs="黑体"/>
          <w:sz w:val="28"/>
          <w:szCs w:val="28"/>
          <w:lang w:val="en-US" w:eastAsia="zh-CN"/>
        </w:rPr>
        <w:t>无抗生猪饲养技术关键点</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（二）确定标准的主要依据</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17823  集约化猪场防疫基本要求</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17824.1  规模猪场建设</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17824.2  规模猪场生产技术规程</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17824.3  规模猪场环境参数及环境管理</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36195  畜禽粪便无害化处理技术规范</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GB/T 39915  动物饲养场防疫准则</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 5027  无公害食品 畜禽饮用水水质</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 5031  无公害食品 生猪饲养兽医防疫准则</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472  绿色食品 兽药使用准则</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3189  猪饲养场兽医卫生规范</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3381  生猪无害化处理操作规范</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3445  畜禽养殖场档案规范</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5030  无公害农产品 兽药使用准则</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NY/T 5033  无公害食品 生猪饲养管理准则</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《中华人民共和国兽药典》</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《药物饲料添加剂品种目录》</w:t>
      </w:r>
    </w:p>
    <w:p>
      <w:pPr>
        <w:pStyle w:val="27"/>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《中华人民共和国动物防疫法》</w:t>
      </w:r>
    </w:p>
    <w:p>
      <w:pPr>
        <w:pStyle w:val="27"/>
        <w:numPr>
          <w:ilvl w:val="0"/>
          <w:numId w:val="0"/>
        </w:numPr>
        <w:ind w:firstLine="640" w:firstLineChars="200"/>
        <w:rPr>
          <w:rFonts w:hint="default" w:ascii="方正楷体_GBK" w:eastAsia="方正楷体_GBK" w:hAnsiTheme="minorHAnsi" w:cstheme="minorBidi"/>
          <w:sz w:val="32"/>
          <w:szCs w:val="32"/>
          <w:lang w:val="en-US" w:eastAsia="zh-CN"/>
        </w:rPr>
      </w:pPr>
      <w:r>
        <w:rPr>
          <w:rFonts w:hint="eastAsia" w:ascii="仿宋_GB2312" w:eastAsia="仿宋_GB2312"/>
          <w:sz w:val="32"/>
          <w:szCs w:val="32"/>
          <w:lang w:val="en-US" w:eastAsia="zh-CN"/>
        </w:rPr>
        <w:t>《畜禽标识和养殖档案管理办法》</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（三）关于术语和定义</w:t>
      </w:r>
    </w:p>
    <w:p>
      <w:pPr>
        <w:keepNext w:val="0"/>
        <w:keepLines w:val="0"/>
        <w:widowControl/>
        <w:suppressLineNumbers w:val="0"/>
        <w:ind w:firstLine="640" w:firstLineChars="200"/>
        <w:jc w:val="left"/>
        <w:rPr>
          <w:rFonts w:hint="eastAsia" w:ascii="黑体" w:hAnsi="黑体" w:eastAsia="黑体" w:cstheme="minorBidi"/>
          <w:sz w:val="32"/>
          <w:szCs w:val="32"/>
          <w:lang w:val="en-US" w:eastAsia="zh-CN"/>
        </w:rPr>
      </w:pPr>
      <w:bookmarkStart w:id="0" w:name="_Toc6534"/>
      <w:bookmarkStart w:id="1" w:name="_Toc72420156"/>
      <w:bookmarkStart w:id="2" w:name="_Toc72498215"/>
      <w:r>
        <w:rPr>
          <w:rFonts w:hint="eastAsia" w:ascii="仿宋_GB2312" w:eastAsia="仿宋_GB2312"/>
          <w:sz w:val="32"/>
          <w:szCs w:val="32"/>
          <w:lang w:val="en-US" w:eastAsia="zh-CN"/>
        </w:rPr>
        <w:t>本文件中“3.1无抗生猪：从断奶到出栏的养殖过程中，全程未使用抗生素的生猪。”和“3.2 无抗饲料：在饲料生产、存储和运输过程中不添加抗生素、不受抗生素污染，符合国家法律法规要求、经国家或国际标准规定的检测方法不应检出任何抗生素的饲料。”的术语和定义参考行业标准DB35T2023《生猪无抗饲养技术规范》和DB51T2337《肉猪阶段性无抗养殖技术规程》。</w:t>
      </w:r>
      <w:bookmarkEnd w:id="0"/>
      <w:bookmarkEnd w:id="1"/>
      <w:bookmarkEnd w:id="2"/>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（四）关于引种</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根据遂宁市</w:t>
      </w:r>
      <w:r>
        <w:rPr>
          <w:rFonts w:hint="eastAsia" w:ascii="仿宋_GB2312" w:eastAsia="仿宋_GB2312"/>
          <w:sz w:val="32"/>
          <w:szCs w:val="32"/>
          <w:lang w:val="en-US" w:eastAsia="zh-CN"/>
        </w:rPr>
        <w:t>无抗生猪引种</w:t>
      </w:r>
      <w:r>
        <w:rPr>
          <w:rFonts w:hint="eastAsia" w:ascii="仿宋_GB2312" w:eastAsia="仿宋_GB2312"/>
          <w:sz w:val="32"/>
          <w:szCs w:val="32"/>
        </w:rPr>
        <w:t>的实际情况，</w:t>
      </w:r>
      <w:r>
        <w:rPr>
          <w:rFonts w:hint="eastAsia" w:ascii="仿宋_GB2312" w:eastAsia="仿宋_GB2312"/>
          <w:sz w:val="32"/>
          <w:szCs w:val="32"/>
          <w:lang w:val="en-US" w:eastAsia="zh-CN"/>
        </w:rPr>
        <w:t>符合GB/T 17824.2的要求。</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（五）关于猪场建设及环境要求</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根据遂宁市</w:t>
      </w:r>
      <w:r>
        <w:rPr>
          <w:rFonts w:hint="eastAsia" w:ascii="仿宋_GB2312" w:eastAsia="仿宋_GB2312"/>
          <w:sz w:val="32"/>
          <w:szCs w:val="32"/>
          <w:lang w:val="en-US" w:eastAsia="zh-CN"/>
        </w:rPr>
        <w:t>生猪养殖场</w:t>
      </w:r>
      <w:r>
        <w:rPr>
          <w:rFonts w:hint="eastAsia" w:ascii="仿宋_GB2312" w:eastAsia="仿宋_GB2312"/>
          <w:sz w:val="32"/>
          <w:szCs w:val="32"/>
        </w:rPr>
        <w:t>的实际情况，</w:t>
      </w:r>
      <w:r>
        <w:rPr>
          <w:rFonts w:hint="eastAsia" w:ascii="仿宋_GB2312" w:eastAsia="仿宋_GB2312"/>
          <w:sz w:val="32"/>
          <w:szCs w:val="32"/>
          <w:lang w:val="en-US" w:eastAsia="zh-CN"/>
        </w:rPr>
        <w:t>符合GB/T 17824.1和GB/T 17824.3的规定。</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（六）关于饮水要求</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猪场水质符合NY 5027的规定，且水中不得检出抗生素。</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（七）关于饲养管理</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猪群结构和管理符合GB/T 17824.2、NY/T 5033的规定，且从生猪断奶到出栏期间不得使用抗生素饲喂。</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（八）关于无抗饲料饲喂</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本文件中“8.1 种猪无抗饲料饲喂流程见附录A.1”中“附录A.1”的数据、“8.2 母猪阶段精准营养饲喂流程见附录A.2”中“附录A.2”的数据、“8.2 带仔头数为1～5头的母猪，每天喂料3 kg。”中的数据、“8.3 饲喂公猪料，配种期3 kg/天，休闲期2.2～2.5 kg/天”中的数据、“8.4 商品猪及自留种猪饲喂流程见附录A.3”中附录A.3的数据和“8.5 进入保育舍的仔猪，7～10日龄开始教槽补料，断奶后饲喂10～15天教槽料。进入育肥舍后，保育料逐渐过渡到仔猪料，过渡期为3～5天”中的数据均参考“齐全农牧集团股份有限公司猪场生产管理流程”。</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本文件中“8.6 无抗饲料配方见附录B.1”中的数据参考“齐全农牧集团无抗饲料系列”。</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（九）关于兽药使用</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根据遂宁市无抗生猪养殖过程中的兽药使用</w:t>
      </w:r>
      <w:bookmarkStart w:id="3" w:name="_GoBack"/>
      <w:bookmarkEnd w:id="3"/>
      <w:r>
        <w:rPr>
          <w:rFonts w:hint="eastAsia" w:ascii="仿宋_GB2312" w:eastAsia="仿宋_GB2312"/>
          <w:sz w:val="32"/>
          <w:szCs w:val="32"/>
          <w:lang w:val="en-US" w:eastAsia="zh-CN"/>
        </w:rPr>
        <w:t>情况，符合NY/T 472、NY/T 5030的要求。</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（十）关于卫生防疫</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根据遂宁市无抗生猪养殖卫生防疫的实际情况，卫生、消毒、用药等符合GB/T 17823、GB/T 39915、NY 5031、NY/T 3189的要求。猪群的免疫应符合《中华人民共和国动物防疫法》及其配套法规的要求。病、死猪无害化处理应符合NY/T 3381的要求。粪便无害化处理符合GB/T 36195的要求。</w:t>
      </w:r>
    </w:p>
    <w:p>
      <w:pPr>
        <w:pStyle w:val="27"/>
        <w:numPr>
          <w:ilvl w:val="0"/>
          <w:numId w:val="0"/>
        </w:numPr>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（十一）关于生产档案管理</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符合NY/T 3445、《畜禽标识和养殖档案管理办法》等规定的要求。</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四、采用国际、国外先进标准的程度</w:t>
      </w:r>
    </w:p>
    <w:p>
      <w:pPr>
        <w:ind w:firstLine="640"/>
        <w:rPr>
          <w:rFonts w:ascii="仿宋_GB2312" w:eastAsia="仿宋_GB2312"/>
          <w:sz w:val="32"/>
          <w:szCs w:val="32"/>
        </w:rPr>
      </w:pPr>
      <w:r>
        <w:rPr>
          <w:rFonts w:hint="eastAsia" w:ascii="仿宋_GB2312" w:eastAsia="仿宋_GB2312"/>
          <w:sz w:val="32"/>
          <w:szCs w:val="32"/>
        </w:rPr>
        <w:t>目前本标准未采用相关的国际、国外标准。</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五、本标准与现行法律法规和</w:t>
      </w:r>
      <w:r>
        <w:rPr>
          <w:rFonts w:hint="eastAsia" w:ascii="黑体" w:hAnsi="黑体" w:eastAsia="黑体" w:cstheme="minorBidi"/>
          <w:color w:val="FF0000"/>
          <w:sz w:val="32"/>
          <w:szCs w:val="32"/>
          <w:lang w:val="en-US" w:eastAsia="zh-CN"/>
        </w:rPr>
        <w:t>其他</w:t>
      </w:r>
      <w:r>
        <w:rPr>
          <w:rFonts w:hint="eastAsia" w:ascii="黑体" w:hAnsi="黑体" w:eastAsia="黑体" w:cstheme="minorBidi"/>
          <w:sz w:val="32"/>
          <w:szCs w:val="32"/>
          <w:lang w:val="en-US" w:eastAsia="zh-CN"/>
        </w:rPr>
        <w:t>标准的关系</w:t>
      </w:r>
    </w:p>
    <w:p>
      <w:pPr>
        <w:ind w:firstLine="640"/>
        <w:rPr>
          <w:rFonts w:hint="eastAsia" w:ascii="仿宋_GB2312" w:eastAsia="仿宋_GB2312"/>
          <w:sz w:val="32"/>
          <w:szCs w:val="32"/>
        </w:rPr>
      </w:pPr>
      <w:r>
        <w:rPr>
          <w:rFonts w:hint="eastAsia" w:ascii="仿宋_GB2312" w:eastAsia="仿宋_GB2312"/>
          <w:sz w:val="32"/>
          <w:szCs w:val="32"/>
        </w:rPr>
        <w:t xml:space="preserve">经查询，目前国内已发布GB/T </w:t>
      </w:r>
      <w:r>
        <w:rPr>
          <w:rFonts w:hint="eastAsia" w:ascii="仿宋_GB2312" w:eastAsia="仿宋_GB2312"/>
          <w:sz w:val="32"/>
          <w:szCs w:val="32"/>
          <w:lang w:val="en-US" w:eastAsia="zh-CN"/>
        </w:rPr>
        <w:t>17823</w:t>
      </w:r>
      <w:r>
        <w:rPr>
          <w:rFonts w:hint="eastAsia" w:ascii="仿宋_GB2312" w:eastAsia="仿宋_GB2312"/>
          <w:sz w:val="32"/>
          <w:szCs w:val="32"/>
        </w:rPr>
        <w:t>《</w:t>
      </w:r>
      <w:r>
        <w:rPr>
          <w:rFonts w:hint="eastAsia" w:ascii="仿宋_GB2312" w:eastAsia="仿宋_GB2312"/>
          <w:sz w:val="32"/>
          <w:szCs w:val="32"/>
          <w:lang w:val="en-US" w:eastAsia="zh-CN"/>
        </w:rPr>
        <w:t>集约化猪场防疫基本要求</w:t>
      </w:r>
      <w:r>
        <w:rPr>
          <w:rFonts w:hint="eastAsia" w:ascii="仿宋_GB2312" w:eastAsia="仿宋_GB2312"/>
          <w:sz w:val="32"/>
          <w:szCs w:val="32"/>
        </w:rPr>
        <w:t xml:space="preserve">》、GB/T </w:t>
      </w:r>
      <w:r>
        <w:rPr>
          <w:rFonts w:hint="eastAsia" w:ascii="仿宋_GB2312" w:eastAsia="仿宋_GB2312"/>
          <w:sz w:val="32"/>
          <w:szCs w:val="32"/>
          <w:lang w:val="en-US" w:eastAsia="zh-CN"/>
        </w:rPr>
        <w:t>17824.1</w:t>
      </w:r>
      <w:r>
        <w:rPr>
          <w:rFonts w:hint="eastAsia" w:ascii="仿宋_GB2312" w:eastAsia="仿宋_GB2312"/>
          <w:sz w:val="32"/>
          <w:szCs w:val="32"/>
        </w:rPr>
        <w:t>《</w:t>
      </w:r>
      <w:r>
        <w:rPr>
          <w:rFonts w:hint="eastAsia" w:ascii="仿宋_GB2312" w:eastAsia="仿宋_GB2312"/>
          <w:sz w:val="32"/>
          <w:szCs w:val="32"/>
          <w:lang w:val="en-US" w:eastAsia="zh-CN"/>
        </w:rPr>
        <w:t>规模猪场建设</w:t>
      </w:r>
      <w:r>
        <w:rPr>
          <w:rFonts w:hint="eastAsia" w:ascii="仿宋_GB2312" w:eastAsia="仿宋_GB2312"/>
          <w:sz w:val="32"/>
          <w:szCs w:val="32"/>
        </w:rPr>
        <w:t>》、</w:t>
      </w:r>
      <w:r>
        <w:rPr>
          <w:rFonts w:hint="eastAsia" w:ascii="仿宋_GB2312" w:eastAsia="仿宋_GB2312"/>
          <w:sz w:val="32"/>
          <w:szCs w:val="32"/>
          <w:lang w:val="en-US" w:eastAsia="zh-CN"/>
        </w:rPr>
        <w:t>NY</w:t>
      </w:r>
      <w:r>
        <w:rPr>
          <w:rFonts w:hint="eastAsia" w:ascii="仿宋_GB2312" w:eastAsia="仿宋_GB2312"/>
          <w:sz w:val="32"/>
          <w:szCs w:val="32"/>
        </w:rPr>
        <w:t xml:space="preserve">/T </w:t>
      </w:r>
      <w:r>
        <w:rPr>
          <w:rFonts w:hint="eastAsia" w:ascii="仿宋_GB2312" w:eastAsia="仿宋_GB2312"/>
          <w:sz w:val="32"/>
          <w:szCs w:val="32"/>
          <w:lang w:val="en-US" w:eastAsia="zh-CN"/>
        </w:rPr>
        <w:t>472</w:t>
      </w:r>
      <w:r>
        <w:rPr>
          <w:rFonts w:hint="eastAsia" w:ascii="仿宋_GB2312" w:eastAsia="仿宋_GB2312"/>
          <w:sz w:val="32"/>
          <w:szCs w:val="32"/>
        </w:rPr>
        <w:t>《</w:t>
      </w:r>
      <w:r>
        <w:rPr>
          <w:rFonts w:hint="eastAsia" w:ascii="仿宋_GB2312" w:eastAsia="仿宋_GB2312"/>
          <w:sz w:val="32"/>
          <w:szCs w:val="32"/>
          <w:lang w:val="en-US" w:eastAsia="zh-CN"/>
        </w:rPr>
        <w:t>绿色食品 兽药使用准则</w:t>
      </w:r>
      <w:r>
        <w:rPr>
          <w:rFonts w:hint="eastAsia" w:ascii="仿宋_GB2312" w:eastAsia="仿宋_GB2312"/>
          <w:sz w:val="32"/>
          <w:szCs w:val="32"/>
        </w:rPr>
        <w:t>》等相关标准，</w:t>
      </w:r>
      <w:r>
        <w:rPr>
          <w:rFonts w:hint="eastAsia" w:ascii="仿宋_GB2312" w:eastAsia="仿宋_GB2312"/>
          <w:sz w:val="32"/>
          <w:szCs w:val="32"/>
          <w:lang w:val="en-US" w:eastAsia="zh-CN"/>
        </w:rPr>
        <w:t>但关于无抗生猪饲养管理技术的标准并没有查询到国家标准，且行业标准非常少。其中，DB35T2023《生猪无抗饲养技术规范》为吉林省地方标准，但只适用于吉林，其生猪饲养管理流程和无抗饲料配方与本文件并不相同，DB51T2337《肉猪阶段性无抗养殖技术规程》为四川省地方标准，但只适用于“四川省行政区域内的肉猪出栏前不少于50天的阶段性无抗养殖”。因此，目前的国家标准和其他行业标准内容无法完全契合遂宁市无抗生猪养殖的实际情况。</w:t>
      </w:r>
      <w:r>
        <w:rPr>
          <w:rFonts w:hint="eastAsia" w:ascii="仿宋_GB2312" w:eastAsia="仿宋_GB2312"/>
          <w:sz w:val="32"/>
          <w:szCs w:val="32"/>
        </w:rPr>
        <w:t>本标准的编制遵循</w:t>
      </w:r>
      <w:r>
        <w:rPr>
          <w:rFonts w:hint="eastAsia" w:ascii="仿宋_GB2312" w:eastAsia="仿宋_GB2312"/>
          <w:sz w:val="32"/>
          <w:szCs w:val="32"/>
          <w:lang w:val="en-US" w:eastAsia="zh-CN"/>
        </w:rPr>
        <w:t>了</w:t>
      </w:r>
      <w:r>
        <w:rPr>
          <w:rFonts w:hint="eastAsia" w:ascii="仿宋_GB2312" w:eastAsia="仿宋_GB2312"/>
          <w:sz w:val="32"/>
          <w:szCs w:val="32"/>
        </w:rPr>
        <w:t>GB/T 1.1-2020《标准化工作导则 第1部分：标准化文件的结构和起草规则》，并参考部分国家标准，严格切合遂宁</w:t>
      </w:r>
      <w:r>
        <w:rPr>
          <w:rFonts w:hint="eastAsia" w:ascii="仿宋_GB2312" w:eastAsia="仿宋_GB2312"/>
          <w:sz w:val="32"/>
          <w:szCs w:val="32"/>
          <w:lang w:val="en-US" w:eastAsia="zh-CN"/>
        </w:rPr>
        <w:t>无抗生猪饲养技术的</w:t>
      </w:r>
      <w:r>
        <w:rPr>
          <w:rFonts w:hint="eastAsia" w:ascii="仿宋_GB2312" w:eastAsia="仿宋_GB2312"/>
          <w:sz w:val="32"/>
          <w:szCs w:val="32"/>
        </w:rPr>
        <w:t>实际情况制定，编制符合国家标准结构、内容的要求</w:t>
      </w:r>
      <w:r>
        <w:rPr>
          <w:rFonts w:hint="eastAsia" w:ascii="仿宋_GB2312" w:eastAsia="仿宋_GB2312"/>
          <w:sz w:val="32"/>
          <w:szCs w:val="32"/>
          <w:lang w:eastAsia="zh-CN"/>
        </w:rPr>
        <w:t>，</w:t>
      </w:r>
      <w:r>
        <w:rPr>
          <w:rFonts w:hint="eastAsia" w:ascii="仿宋_GB2312" w:eastAsia="仿宋_GB2312"/>
          <w:sz w:val="32"/>
          <w:szCs w:val="32"/>
          <w:lang w:val="en-US" w:eastAsia="zh-CN"/>
        </w:rPr>
        <w:t>符合未来养殖业发展趋势，以生猪从断奶到出栏的养殖过程中不添加</w:t>
      </w:r>
      <w:r>
        <w:rPr>
          <w:rFonts w:hint="default" w:ascii="仿宋_GB2312" w:eastAsia="仿宋_GB2312"/>
          <w:sz w:val="32"/>
          <w:szCs w:val="32"/>
          <w:lang w:val="en-US" w:eastAsia="zh-CN"/>
        </w:rPr>
        <w:t>、</w:t>
      </w:r>
      <w:r>
        <w:rPr>
          <w:rFonts w:hint="eastAsia" w:ascii="仿宋_GB2312" w:eastAsia="仿宋_GB2312"/>
          <w:sz w:val="32"/>
          <w:szCs w:val="32"/>
          <w:lang w:val="en-US" w:eastAsia="zh-CN"/>
        </w:rPr>
        <w:t>不使用任何抗生素为原则，建立生猪绿色安全饲养方式。</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六、重大分歧意见的处理经过和依据</w:t>
      </w:r>
    </w:p>
    <w:p>
      <w:pPr>
        <w:ind w:firstLine="640"/>
        <w:rPr>
          <w:rFonts w:ascii="仿宋_GB2312" w:eastAsia="仿宋_GB2312"/>
          <w:sz w:val="32"/>
          <w:szCs w:val="32"/>
        </w:rPr>
      </w:pPr>
      <w:r>
        <w:rPr>
          <w:rFonts w:hint="eastAsia" w:ascii="仿宋_GB2312" w:eastAsia="仿宋_GB2312"/>
          <w:sz w:val="32"/>
          <w:szCs w:val="32"/>
        </w:rPr>
        <w:t>本标准的编写过程无重大分歧意见产生。</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七、本标准性质建议</w:t>
      </w:r>
    </w:p>
    <w:p>
      <w:pPr>
        <w:ind w:firstLine="640"/>
        <w:rPr>
          <w:rFonts w:ascii="仿宋_GB2312" w:eastAsia="仿宋_GB2312"/>
          <w:sz w:val="32"/>
          <w:szCs w:val="32"/>
        </w:rPr>
      </w:pPr>
      <w:r>
        <w:rPr>
          <w:rFonts w:hint="eastAsia" w:ascii="仿宋_GB2312" w:eastAsia="仿宋_GB2312"/>
          <w:sz w:val="32"/>
          <w:szCs w:val="32"/>
        </w:rPr>
        <w:t>建议制定为团体标准</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八、贯彻标准的要求和措施建议</w:t>
      </w:r>
    </w:p>
    <w:p>
      <w:pPr>
        <w:ind w:firstLine="640"/>
        <w:rPr>
          <w:rFonts w:ascii="仿宋_GB2312" w:eastAsia="仿宋_GB2312"/>
          <w:sz w:val="32"/>
          <w:szCs w:val="32"/>
        </w:rPr>
      </w:pPr>
      <w:r>
        <w:rPr>
          <w:rFonts w:hint="eastAsia" w:ascii="仿宋_GB2312" w:eastAsia="仿宋_GB2312"/>
          <w:sz w:val="32"/>
          <w:szCs w:val="32"/>
        </w:rPr>
        <w:t>（一）标准发布后，可制作相关手册、操作指南等标准宣贯材料发放给遂宁</w:t>
      </w:r>
      <w:r>
        <w:rPr>
          <w:rFonts w:hint="eastAsia" w:ascii="仿宋_GB2312" w:eastAsia="仿宋_GB2312"/>
          <w:sz w:val="32"/>
          <w:szCs w:val="32"/>
          <w:lang w:val="en-US" w:eastAsia="zh-CN"/>
        </w:rPr>
        <w:t>无抗生猪养殖的</w:t>
      </w:r>
      <w:r>
        <w:rPr>
          <w:rFonts w:hint="eastAsia" w:ascii="仿宋_GB2312" w:eastAsia="仿宋_GB2312"/>
          <w:sz w:val="32"/>
          <w:szCs w:val="32"/>
        </w:rPr>
        <w:t>生产经营主体，加强生产者对标准的认识；组织开展培训、一对一标准指导等形式，使市场经营主体理解标准、执行标准，不断提升广大生产经营者对标准应用的积极性。</w:t>
      </w:r>
    </w:p>
    <w:p>
      <w:pPr>
        <w:ind w:firstLine="640"/>
        <w:rPr>
          <w:rFonts w:ascii="仿宋_GB2312" w:eastAsia="仿宋_GB2312"/>
          <w:sz w:val="32"/>
          <w:szCs w:val="32"/>
        </w:rPr>
      </w:pPr>
      <w:r>
        <w:rPr>
          <w:rFonts w:hint="eastAsia" w:ascii="仿宋_GB2312" w:eastAsia="仿宋_GB2312"/>
          <w:sz w:val="32"/>
          <w:szCs w:val="32"/>
        </w:rPr>
        <w:t>（二）标准一经发布，应当立即责令相关生产经营主体必须遵守标准，应用标准；定期开展监督检查，对应用标准、遵守标准相关情况进行监督检查，对于其中执行不认真的限期责令整改，使标准真正落到实处。</w:t>
      </w:r>
    </w:p>
    <w:p>
      <w:pPr>
        <w:ind w:firstLine="640"/>
        <w:rPr>
          <w:rFonts w:ascii="仿宋_GB2312" w:eastAsia="仿宋_GB2312"/>
          <w:sz w:val="32"/>
          <w:szCs w:val="32"/>
        </w:rPr>
      </w:pPr>
      <w:r>
        <w:rPr>
          <w:rFonts w:hint="eastAsia" w:ascii="仿宋_GB2312" w:eastAsia="仿宋_GB2312"/>
          <w:sz w:val="32"/>
          <w:szCs w:val="32"/>
        </w:rPr>
        <w:t>（三）对标准推广落地实施全过程实行严格的标准化管理，总结标准化建设过程中的经验；定期对标准执行过程中出现的问题进行讨论、分析，依据当地发展情况，因地制宜，随时修订标准中与实际操作相冲突的内容，确保标准能够与生产经营主体紧密贴合，助力遂宁</w:t>
      </w:r>
      <w:r>
        <w:rPr>
          <w:rFonts w:hint="eastAsia" w:ascii="仿宋_GB2312" w:eastAsia="仿宋_GB2312"/>
          <w:sz w:val="32"/>
          <w:szCs w:val="32"/>
          <w:lang w:val="en-US" w:eastAsia="zh-CN"/>
        </w:rPr>
        <w:t>无抗生猪养殖</w:t>
      </w:r>
      <w:r>
        <w:rPr>
          <w:rFonts w:hint="eastAsia" w:ascii="仿宋_GB2312" w:eastAsia="仿宋_GB2312"/>
          <w:sz w:val="32"/>
          <w:szCs w:val="32"/>
        </w:rPr>
        <w:t>产业的高质量发展。</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九、废止现行有关标准的建议</w:t>
      </w:r>
    </w:p>
    <w:p>
      <w:pPr>
        <w:ind w:firstLine="640"/>
        <w:rPr>
          <w:rFonts w:ascii="仿宋_GB2312" w:eastAsia="仿宋_GB2312"/>
          <w:sz w:val="32"/>
          <w:szCs w:val="32"/>
        </w:rPr>
      </w:pPr>
      <w:r>
        <w:rPr>
          <w:rFonts w:hint="eastAsia" w:ascii="仿宋_GB2312" w:eastAsia="仿宋_GB2312"/>
          <w:sz w:val="32"/>
          <w:szCs w:val="32"/>
        </w:rPr>
        <w:t>本标准为新制定的标准。</w:t>
      </w:r>
    </w:p>
    <w:p>
      <w:pPr>
        <w:pStyle w:val="27"/>
        <w:numPr>
          <w:ilvl w:val="0"/>
          <w:numId w:val="0"/>
        </w:numPr>
        <w:rPr>
          <w:rFonts w:hint="eastAsia" w:ascii="黑体" w:hAnsi="黑体" w:eastAsia="黑体" w:cstheme="minorBidi"/>
          <w:sz w:val="32"/>
          <w:szCs w:val="32"/>
          <w:lang w:val="en-US" w:eastAsia="zh-CN"/>
        </w:rPr>
      </w:pPr>
      <w:r>
        <w:rPr>
          <w:rFonts w:hint="eastAsia" w:ascii="黑体" w:hAnsi="黑体" w:eastAsia="黑体" w:cstheme="minorBidi"/>
          <w:sz w:val="32"/>
          <w:szCs w:val="32"/>
          <w:lang w:val="en-US" w:eastAsia="zh-CN"/>
        </w:rPr>
        <w:t>十、其他说明事项</w:t>
      </w:r>
    </w:p>
    <w:p>
      <w:pPr>
        <w:ind w:firstLine="640"/>
        <w:rPr>
          <w:rFonts w:ascii="仿宋_GB2312" w:eastAsia="仿宋_GB2312"/>
          <w:sz w:val="32"/>
          <w:szCs w:val="32"/>
        </w:rPr>
      </w:pPr>
      <w:r>
        <w:rPr>
          <w:rFonts w:hint="eastAsia" w:ascii="仿宋_GB2312" w:eastAsia="仿宋_GB2312"/>
          <w:sz w:val="32"/>
          <w:szCs w:val="32"/>
        </w:rPr>
        <w:t>无。</w:t>
      </w:r>
    </w:p>
    <w:p>
      <w:pPr>
        <w:ind w:firstLine="640"/>
        <w:rPr>
          <w:rFonts w:ascii="仿宋_GB2312" w:eastAsia="仿宋_GB2312"/>
          <w:sz w:val="32"/>
          <w:szCs w:val="32"/>
        </w:rPr>
      </w:pPr>
    </w:p>
    <w:p>
      <w:pPr>
        <w:ind w:firstLine="640"/>
        <w:jc w:val="right"/>
        <w:rPr>
          <w:rFonts w:ascii="仿宋_GB2312" w:eastAsia="仿宋_GB2312"/>
          <w:sz w:val="32"/>
          <w:szCs w:val="32"/>
        </w:rPr>
      </w:pPr>
      <w:r>
        <w:rPr>
          <w:rFonts w:hint="eastAsia" w:ascii="仿宋_GB2312" w:eastAsia="仿宋_GB2312"/>
          <w:sz w:val="32"/>
          <w:szCs w:val="32"/>
        </w:rPr>
        <w:t>标准编制小组</w:t>
      </w:r>
    </w:p>
    <w:p>
      <w:pPr>
        <w:ind w:firstLine="640"/>
        <w:jc w:val="right"/>
        <w:rPr>
          <w:rFonts w:hint="default"/>
          <w:lang w:val="en-US" w:eastAsia="zh-CN"/>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2</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DdjYjA1MzVkZWI4MTYzZGMxZDY4MTk4ZTBjNmEifQ=="/>
  </w:docVars>
  <w:rsids>
    <w:rsidRoot w:val="00684DB9"/>
    <w:rsid w:val="0003313A"/>
    <w:rsid w:val="00051F0C"/>
    <w:rsid w:val="000749DE"/>
    <w:rsid w:val="00077923"/>
    <w:rsid w:val="00083A86"/>
    <w:rsid w:val="00097C3D"/>
    <w:rsid w:val="000B343B"/>
    <w:rsid w:val="000C7E2D"/>
    <w:rsid w:val="000E18E7"/>
    <w:rsid w:val="00120AB3"/>
    <w:rsid w:val="00127A66"/>
    <w:rsid w:val="00130EE7"/>
    <w:rsid w:val="00157185"/>
    <w:rsid w:val="00166956"/>
    <w:rsid w:val="001957BE"/>
    <w:rsid w:val="001C17D1"/>
    <w:rsid w:val="001C6C45"/>
    <w:rsid w:val="001D6EF0"/>
    <w:rsid w:val="001E488D"/>
    <w:rsid w:val="001F731D"/>
    <w:rsid w:val="0021108B"/>
    <w:rsid w:val="00214B82"/>
    <w:rsid w:val="00220C08"/>
    <w:rsid w:val="00223923"/>
    <w:rsid w:val="00247ED4"/>
    <w:rsid w:val="002806A0"/>
    <w:rsid w:val="0029563D"/>
    <w:rsid w:val="002D6B4C"/>
    <w:rsid w:val="002E62A5"/>
    <w:rsid w:val="002F13B4"/>
    <w:rsid w:val="00332F57"/>
    <w:rsid w:val="00344696"/>
    <w:rsid w:val="0035206F"/>
    <w:rsid w:val="003566A1"/>
    <w:rsid w:val="003742B6"/>
    <w:rsid w:val="003A735F"/>
    <w:rsid w:val="003B57C5"/>
    <w:rsid w:val="003C6ACE"/>
    <w:rsid w:val="003F490B"/>
    <w:rsid w:val="00443FB3"/>
    <w:rsid w:val="004469AD"/>
    <w:rsid w:val="00466180"/>
    <w:rsid w:val="00476D55"/>
    <w:rsid w:val="004B25B7"/>
    <w:rsid w:val="004B68AC"/>
    <w:rsid w:val="004F04FA"/>
    <w:rsid w:val="0050601B"/>
    <w:rsid w:val="00530EFF"/>
    <w:rsid w:val="00560A44"/>
    <w:rsid w:val="00566F03"/>
    <w:rsid w:val="00570F25"/>
    <w:rsid w:val="00581C91"/>
    <w:rsid w:val="005B1D2F"/>
    <w:rsid w:val="005E050E"/>
    <w:rsid w:val="00613041"/>
    <w:rsid w:val="00615BB1"/>
    <w:rsid w:val="00625EBB"/>
    <w:rsid w:val="00641D21"/>
    <w:rsid w:val="006627EA"/>
    <w:rsid w:val="00665AD4"/>
    <w:rsid w:val="00684DB9"/>
    <w:rsid w:val="00696B0F"/>
    <w:rsid w:val="006B02C2"/>
    <w:rsid w:val="006E3A2E"/>
    <w:rsid w:val="00716F98"/>
    <w:rsid w:val="00732918"/>
    <w:rsid w:val="007451E5"/>
    <w:rsid w:val="007C02CA"/>
    <w:rsid w:val="008008BA"/>
    <w:rsid w:val="00807E8E"/>
    <w:rsid w:val="00810191"/>
    <w:rsid w:val="008165C9"/>
    <w:rsid w:val="008249FF"/>
    <w:rsid w:val="00832002"/>
    <w:rsid w:val="00837768"/>
    <w:rsid w:val="008436C1"/>
    <w:rsid w:val="00866A24"/>
    <w:rsid w:val="00883D37"/>
    <w:rsid w:val="008968F0"/>
    <w:rsid w:val="008C5139"/>
    <w:rsid w:val="008D15CA"/>
    <w:rsid w:val="008D590F"/>
    <w:rsid w:val="008E21AD"/>
    <w:rsid w:val="00902AAA"/>
    <w:rsid w:val="0093034C"/>
    <w:rsid w:val="00934DBE"/>
    <w:rsid w:val="009415C3"/>
    <w:rsid w:val="00941F1F"/>
    <w:rsid w:val="00953446"/>
    <w:rsid w:val="00973913"/>
    <w:rsid w:val="00974E52"/>
    <w:rsid w:val="009F5318"/>
    <w:rsid w:val="00A05C7F"/>
    <w:rsid w:val="00A23CF3"/>
    <w:rsid w:val="00A34016"/>
    <w:rsid w:val="00A5174F"/>
    <w:rsid w:val="00A522D0"/>
    <w:rsid w:val="00A60FA2"/>
    <w:rsid w:val="00A631CF"/>
    <w:rsid w:val="00A6727D"/>
    <w:rsid w:val="00A730FA"/>
    <w:rsid w:val="00A824DE"/>
    <w:rsid w:val="00AF4762"/>
    <w:rsid w:val="00AF624C"/>
    <w:rsid w:val="00B8763D"/>
    <w:rsid w:val="00BB24DA"/>
    <w:rsid w:val="00BB6DB3"/>
    <w:rsid w:val="00BD6C0C"/>
    <w:rsid w:val="00BE5B44"/>
    <w:rsid w:val="00BE6F60"/>
    <w:rsid w:val="00C227D9"/>
    <w:rsid w:val="00C2681B"/>
    <w:rsid w:val="00C421A7"/>
    <w:rsid w:val="00C843BC"/>
    <w:rsid w:val="00C975D1"/>
    <w:rsid w:val="00CC615B"/>
    <w:rsid w:val="00CC6F36"/>
    <w:rsid w:val="00CE2FFE"/>
    <w:rsid w:val="00CE4C19"/>
    <w:rsid w:val="00D062A8"/>
    <w:rsid w:val="00D22CA4"/>
    <w:rsid w:val="00D30F5B"/>
    <w:rsid w:val="00D961D4"/>
    <w:rsid w:val="00DA082B"/>
    <w:rsid w:val="00DA71ED"/>
    <w:rsid w:val="00DB3B49"/>
    <w:rsid w:val="00DD10EB"/>
    <w:rsid w:val="00DD25E2"/>
    <w:rsid w:val="00E03B75"/>
    <w:rsid w:val="00E23252"/>
    <w:rsid w:val="00E80ECB"/>
    <w:rsid w:val="00EA124E"/>
    <w:rsid w:val="00EC1E53"/>
    <w:rsid w:val="00EC3251"/>
    <w:rsid w:val="00EC7E8E"/>
    <w:rsid w:val="00F03B46"/>
    <w:rsid w:val="00F125D8"/>
    <w:rsid w:val="00F238A2"/>
    <w:rsid w:val="00F63864"/>
    <w:rsid w:val="00F979E3"/>
    <w:rsid w:val="00FB4FF6"/>
    <w:rsid w:val="00FD47B6"/>
    <w:rsid w:val="00FE251C"/>
    <w:rsid w:val="018B0777"/>
    <w:rsid w:val="025263E9"/>
    <w:rsid w:val="026E6CC3"/>
    <w:rsid w:val="02E13E52"/>
    <w:rsid w:val="03097F29"/>
    <w:rsid w:val="045C1A3B"/>
    <w:rsid w:val="06DB71F7"/>
    <w:rsid w:val="072F7AFC"/>
    <w:rsid w:val="088707DC"/>
    <w:rsid w:val="09C14A2B"/>
    <w:rsid w:val="0A024E07"/>
    <w:rsid w:val="0A4F496D"/>
    <w:rsid w:val="0A6937F7"/>
    <w:rsid w:val="0A7F05F4"/>
    <w:rsid w:val="0ACC2958"/>
    <w:rsid w:val="0AFF6B42"/>
    <w:rsid w:val="0B7402F4"/>
    <w:rsid w:val="0BEE16F4"/>
    <w:rsid w:val="0D0C6C6B"/>
    <w:rsid w:val="0E4C08B1"/>
    <w:rsid w:val="0F182768"/>
    <w:rsid w:val="0F20717A"/>
    <w:rsid w:val="0F650406"/>
    <w:rsid w:val="0FCF1D58"/>
    <w:rsid w:val="108B36A8"/>
    <w:rsid w:val="10A17382"/>
    <w:rsid w:val="115C2CF7"/>
    <w:rsid w:val="11E24A0B"/>
    <w:rsid w:val="120E3DC8"/>
    <w:rsid w:val="152C5381"/>
    <w:rsid w:val="15A510D5"/>
    <w:rsid w:val="17787877"/>
    <w:rsid w:val="17AD43A0"/>
    <w:rsid w:val="17B740FD"/>
    <w:rsid w:val="17D86039"/>
    <w:rsid w:val="18BD7EDC"/>
    <w:rsid w:val="19AE61A3"/>
    <w:rsid w:val="19DA4E06"/>
    <w:rsid w:val="19E27BC1"/>
    <w:rsid w:val="19FE0E5E"/>
    <w:rsid w:val="1A2850FB"/>
    <w:rsid w:val="1B4E67F4"/>
    <w:rsid w:val="1B6C3E33"/>
    <w:rsid w:val="1BBB33D8"/>
    <w:rsid w:val="1C6E4FA2"/>
    <w:rsid w:val="1C713C88"/>
    <w:rsid w:val="1CFF6AA9"/>
    <w:rsid w:val="1D1327C1"/>
    <w:rsid w:val="1D466FFF"/>
    <w:rsid w:val="1D94745E"/>
    <w:rsid w:val="1DC057DB"/>
    <w:rsid w:val="1F27700B"/>
    <w:rsid w:val="1F4E4346"/>
    <w:rsid w:val="200339A1"/>
    <w:rsid w:val="20191ACD"/>
    <w:rsid w:val="205A7065"/>
    <w:rsid w:val="209333C2"/>
    <w:rsid w:val="212F576A"/>
    <w:rsid w:val="21B46D3A"/>
    <w:rsid w:val="22B24E39"/>
    <w:rsid w:val="23E56F43"/>
    <w:rsid w:val="24097621"/>
    <w:rsid w:val="24187C59"/>
    <w:rsid w:val="242364B5"/>
    <w:rsid w:val="246854C0"/>
    <w:rsid w:val="24771F5E"/>
    <w:rsid w:val="2501521C"/>
    <w:rsid w:val="253277F1"/>
    <w:rsid w:val="258260BB"/>
    <w:rsid w:val="261E020C"/>
    <w:rsid w:val="26347402"/>
    <w:rsid w:val="269F005D"/>
    <w:rsid w:val="26A12C8C"/>
    <w:rsid w:val="27256F7F"/>
    <w:rsid w:val="287D4C62"/>
    <w:rsid w:val="28AD3ACA"/>
    <w:rsid w:val="28DB6B25"/>
    <w:rsid w:val="28F85C3E"/>
    <w:rsid w:val="2B08715B"/>
    <w:rsid w:val="2C8D1C48"/>
    <w:rsid w:val="2CBB4833"/>
    <w:rsid w:val="2CF04554"/>
    <w:rsid w:val="2DC32B2E"/>
    <w:rsid w:val="2DE11B75"/>
    <w:rsid w:val="2E555BD0"/>
    <w:rsid w:val="2E705FC1"/>
    <w:rsid w:val="2EAD533F"/>
    <w:rsid w:val="2F211564"/>
    <w:rsid w:val="2F480F0F"/>
    <w:rsid w:val="30226048"/>
    <w:rsid w:val="30397ECF"/>
    <w:rsid w:val="307E79DE"/>
    <w:rsid w:val="30890F6E"/>
    <w:rsid w:val="313C61FC"/>
    <w:rsid w:val="318E1C04"/>
    <w:rsid w:val="32011F47"/>
    <w:rsid w:val="339958F4"/>
    <w:rsid w:val="33AA3073"/>
    <w:rsid w:val="33B43B98"/>
    <w:rsid w:val="33B60663"/>
    <w:rsid w:val="33D40A75"/>
    <w:rsid w:val="348C2513"/>
    <w:rsid w:val="35140430"/>
    <w:rsid w:val="3529715B"/>
    <w:rsid w:val="354E5004"/>
    <w:rsid w:val="35893DB2"/>
    <w:rsid w:val="35BC7482"/>
    <w:rsid w:val="364A12C6"/>
    <w:rsid w:val="36861071"/>
    <w:rsid w:val="36C65BB9"/>
    <w:rsid w:val="36CD3D60"/>
    <w:rsid w:val="37054AD1"/>
    <w:rsid w:val="37B471FD"/>
    <w:rsid w:val="3810734C"/>
    <w:rsid w:val="387A2417"/>
    <w:rsid w:val="391244B0"/>
    <w:rsid w:val="3A1F3E3B"/>
    <w:rsid w:val="3AA32C70"/>
    <w:rsid w:val="3B491430"/>
    <w:rsid w:val="3BE64547"/>
    <w:rsid w:val="3E4F2D58"/>
    <w:rsid w:val="3E816A37"/>
    <w:rsid w:val="3F311DFB"/>
    <w:rsid w:val="3F527E3A"/>
    <w:rsid w:val="3FF227BD"/>
    <w:rsid w:val="42565461"/>
    <w:rsid w:val="432975B5"/>
    <w:rsid w:val="434347A0"/>
    <w:rsid w:val="44010D9C"/>
    <w:rsid w:val="44305870"/>
    <w:rsid w:val="45321187"/>
    <w:rsid w:val="46223AE5"/>
    <w:rsid w:val="46830F01"/>
    <w:rsid w:val="46AF58A4"/>
    <w:rsid w:val="46EF106D"/>
    <w:rsid w:val="47911C80"/>
    <w:rsid w:val="49191CAE"/>
    <w:rsid w:val="49CF5A44"/>
    <w:rsid w:val="4A4248DE"/>
    <w:rsid w:val="4A846562"/>
    <w:rsid w:val="4B920BD1"/>
    <w:rsid w:val="4C463F88"/>
    <w:rsid w:val="4C6D5134"/>
    <w:rsid w:val="4DC71274"/>
    <w:rsid w:val="4F0111EA"/>
    <w:rsid w:val="4F7B2A3B"/>
    <w:rsid w:val="4FB90774"/>
    <w:rsid w:val="50BD1728"/>
    <w:rsid w:val="51043273"/>
    <w:rsid w:val="51281690"/>
    <w:rsid w:val="52344112"/>
    <w:rsid w:val="532A56BF"/>
    <w:rsid w:val="54290784"/>
    <w:rsid w:val="55601F0C"/>
    <w:rsid w:val="55674DDF"/>
    <w:rsid w:val="558716C7"/>
    <w:rsid w:val="55B80D07"/>
    <w:rsid w:val="55F04B11"/>
    <w:rsid w:val="564C5841"/>
    <w:rsid w:val="57186CF8"/>
    <w:rsid w:val="57BC1FC7"/>
    <w:rsid w:val="5821210B"/>
    <w:rsid w:val="58E5308B"/>
    <w:rsid w:val="590D743B"/>
    <w:rsid w:val="592F0905"/>
    <w:rsid w:val="5BC765E2"/>
    <w:rsid w:val="5BF52127"/>
    <w:rsid w:val="5C443719"/>
    <w:rsid w:val="5C531077"/>
    <w:rsid w:val="5CDA2A34"/>
    <w:rsid w:val="5E302281"/>
    <w:rsid w:val="5E7E0FE9"/>
    <w:rsid w:val="5EA75962"/>
    <w:rsid w:val="5F03101B"/>
    <w:rsid w:val="5F7567B5"/>
    <w:rsid w:val="5F84662B"/>
    <w:rsid w:val="5FC62F1C"/>
    <w:rsid w:val="63022912"/>
    <w:rsid w:val="63B53C68"/>
    <w:rsid w:val="64254DE2"/>
    <w:rsid w:val="64521DC3"/>
    <w:rsid w:val="64811C7D"/>
    <w:rsid w:val="6541453A"/>
    <w:rsid w:val="65BD73A5"/>
    <w:rsid w:val="65C037C9"/>
    <w:rsid w:val="661175E5"/>
    <w:rsid w:val="66226882"/>
    <w:rsid w:val="670D45AD"/>
    <w:rsid w:val="684E5A28"/>
    <w:rsid w:val="68EC1253"/>
    <w:rsid w:val="6912299F"/>
    <w:rsid w:val="696D64F9"/>
    <w:rsid w:val="69E341C3"/>
    <w:rsid w:val="6ACC6695"/>
    <w:rsid w:val="6B677937"/>
    <w:rsid w:val="6BB71A46"/>
    <w:rsid w:val="6BBD66B2"/>
    <w:rsid w:val="6BBD7835"/>
    <w:rsid w:val="6BC71231"/>
    <w:rsid w:val="6BE05B03"/>
    <w:rsid w:val="6C1A20B9"/>
    <w:rsid w:val="6D3660DE"/>
    <w:rsid w:val="6D9528B5"/>
    <w:rsid w:val="6EF26947"/>
    <w:rsid w:val="6F1119BE"/>
    <w:rsid w:val="6F1D6944"/>
    <w:rsid w:val="70324670"/>
    <w:rsid w:val="708E16AE"/>
    <w:rsid w:val="713F03DD"/>
    <w:rsid w:val="71B61C57"/>
    <w:rsid w:val="71DB032D"/>
    <w:rsid w:val="72C37799"/>
    <w:rsid w:val="732E1937"/>
    <w:rsid w:val="7370313B"/>
    <w:rsid w:val="73A93354"/>
    <w:rsid w:val="73AC210D"/>
    <w:rsid w:val="743668E1"/>
    <w:rsid w:val="747C4DB2"/>
    <w:rsid w:val="753E4E52"/>
    <w:rsid w:val="76B372F7"/>
    <w:rsid w:val="77EC0C58"/>
    <w:rsid w:val="77F45D20"/>
    <w:rsid w:val="78724B2B"/>
    <w:rsid w:val="792F5D2F"/>
    <w:rsid w:val="799E4BE2"/>
    <w:rsid w:val="7A4F3196"/>
    <w:rsid w:val="7B5D3757"/>
    <w:rsid w:val="7BCC3D6F"/>
    <w:rsid w:val="7D367D75"/>
    <w:rsid w:val="7E23145D"/>
    <w:rsid w:val="7E7208B8"/>
    <w:rsid w:val="7F414CF5"/>
    <w:rsid w:val="7FAB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0"/>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23"/>
    <w:unhideWhenUsed/>
    <w:qFormat/>
    <w:uiPriority w:val="9"/>
    <w:pPr>
      <w:spacing w:beforeAutospacing="1" w:afterAutospacing="1"/>
      <w:jc w:val="left"/>
      <w:outlineLvl w:val="1"/>
    </w:pPr>
    <w:rPr>
      <w:rFonts w:hint="eastAsia" w:ascii="宋体" w:hAnsi="宋体"/>
      <w:b/>
      <w:kern w:val="0"/>
      <w:sz w:val="36"/>
      <w:szCs w:val="36"/>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tabs>
        <w:tab w:val="left" w:pos="0"/>
      </w:tabs>
      <w:ind w:firstLine="420" w:firstLineChars="200"/>
    </w:pPr>
    <w:rPr>
      <w:rFonts w:ascii="宋体" w:hAnsi="宋体" w:cstheme="minorBidi"/>
      <w:lang w:eastAsia="en-US"/>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link w:val="22"/>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qFormat/>
    <w:uiPriority w:val="0"/>
    <w:rPr>
      <w:rFonts w:ascii="Times New Roman" w:hAnsi="Times New Roman" w:eastAsia="宋体"/>
      <w:sz w:val="1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3"/>
    <w:qFormat/>
    <w:uiPriority w:val="0"/>
    <w:rPr>
      <w:rFonts w:ascii="Times New Roman" w:hAnsi="Times New Roman" w:eastAsia="宋体" w:cs="Times New Roman"/>
      <w:b/>
      <w:bCs/>
      <w:kern w:val="44"/>
      <w:sz w:val="44"/>
      <w:szCs w:val="44"/>
    </w:rPr>
  </w:style>
  <w:style w:type="character" w:customStyle="1" w:styleId="21">
    <w:name w:val="标题 4 Char"/>
    <w:basedOn w:val="15"/>
    <w:link w:val="6"/>
    <w:qFormat/>
    <w:uiPriority w:val="0"/>
    <w:rPr>
      <w:rFonts w:ascii="Cambria" w:hAnsi="Cambria" w:eastAsia="宋体" w:cs="Times New Roman"/>
      <w:b/>
      <w:bCs/>
      <w:sz w:val="28"/>
      <w:szCs w:val="28"/>
    </w:rPr>
  </w:style>
  <w:style w:type="character" w:customStyle="1" w:styleId="22">
    <w:name w:val="标题 Char"/>
    <w:basedOn w:val="15"/>
    <w:link w:val="12"/>
    <w:qFormat/>
    <w:uiPriority w:val="0"/>
    <w:rPr>
      <w:rFonts w:ascii="Cambria" w:hAnsi="Cambria" w:eastAsia="宋体" w:cs="Times New Roman"/>
      <w:b/>
      <w:bCs/>
      <w:sz w:val="32"/>
      <w:szCs w:val="32"/>
    </w:rPr>
  </w:style>
  <w:style w:type="character" w:customStyle="1" w:styleId="23">
    <w:name w:val="标题 2 Char"/>
    <w:basedOn w:val="15"/>
    <w:link w:val="4"/>
    <w:qFormat/>
    <w:uiPriority w:val="9"/>
    <w:rPr>
      <w:rFonts w:ascii="宋体" w:hAnsi="宋体" w:eastAsia="宋体" w:cs="Times New Roman"/>
      <w:b/>
      <w:kern w:val="0"/>
      <w:sz w:val="36"/>
      <w:szCs w:val="36"/>
    </w:rPr>
  </w:style>
  <w:style w:type="character" w:customStyle="1" w:styleId="24">
    <w:name w:val="标题 3 Char"/>
    <w:basedOn w:val="15"/>
    <w:link w:val="5"/>
    <w:qFormat/>
    <w:uiPriority w:val="9"/>
    <w:rPr>
      <w:rFonts w:ascii="Calibri" w:hAnsi="Calibri" w:eastAsia="宋体" w:cs="Times New Roman"/>
      <w:b/>
      <w:bCs/>
      <w:sz w:val="32"/>
      <w:szCs w:val="32"/>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二级无"/>
    <w:basedOn w:val="1"/>
    <w:qFormat/>
    <w:uiPriority w:val="0"/>
    <w:pPr>
      <w:widowControl/>
      <w:jc w:val="left"/>
      <w:outlineLvl w:val="3"/>
    </w:pPr>
    <w:rPr>
      <w:rFonts w:ascii="宋体"/>
      <w:kern w:val="0"/>
    </w:rPr>
  </w:style>
  <w:style w:type="paragraph" w:styleId="27">
    <w:name w:val="List Paragraph"/>
    <w:basedOn w:val="1"/>
    <w:qFormat/>
    <w:uiPriority w:val="34"/>
    <w:pPr>
      <w:ind w:firstLine="420" w:firstLineChars="200"/>
    </w:pPr>
  </w:style>
  <w:style w:type="paragraph" w:customStyle="1" w:styleId="28">
    <w:name w:val="一级条标题"/>
    <w:next w:val="25"/>
    <w:qFormat/>
    <w:uiPriority w:val="0"/>
    <w:p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10</Pages>
  <Words>3437</Words>
  <Characters>3809</Characters>
  <Lines>31</Lines>
  <Paragraphs>8</Paragraphs>
  <TotalTime>1</TotalTime>
  <ScaleCrop>false</ScaleCrop>
  <LinksUpToDate>false</LinksUpToDate>
  <CharactersWithSpaces>3892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2016-10-15T05:01:00Z</dcterms:created>
  <dc:creator>zhangping</dc:creator>
  <cp:lastModifiedBy>绿色眼珠珠</cp:lastModifiedBy>
  <cp:lastPrinted>2020-11-03T01:31:00Z</cp:lastPrinted>
  <dcterms:modified xsi:type="dcterms:W3CDTF">2022-12-10T02:00:05Z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506950217_btnclosed</vt:lpwstr>
  </property>
  <property fmtid="{D5CDD505-2E9C-101B-9397-08002B2CF9AE}" pid="3" name="KSOProductBuildVer">
    <vt:lpwstr>2052-11.1.0.12980</vt:lpwstr>
  </property>
  <property fmtid="{D5CDD505-2E9C-101B-9397-08002B2CF9AE}" pid="4" name="ICV">
    <vt:lpwstr>4374BCF5DC50443A8B263C9A7E796EDD</vt:lpwstr>
  </property>
</Properties>
</file>