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40" w:firstLineChars="400"/>
        <w:rPr>
          <w:rFonts w:ascii="黑体" w:hAnsi="黑体" w:eastAsia="黑体" w:cs="黑体"/>
          <w:b/>
          <w:sz w:val="30"/>
          <w:szCs w:val="30"/>
        </w:rPr>
      </w:pPr>
      <w:r>
        <w:rPr>
          <w:rFonts w:hint="eastAsia"/>
          <w:spacing w:val="20"/>
          <w:sz w:val="52"/>
          <w:szCs w:val="52"/>
        </w:rPr>
        <w:t>内蒙古标准化协会</w:t>
      </w:r>
    </w:p>
    <w:p>
      <w:pPr>
        <w:spacing w:line="360" w:lineRule="auto"/>
        <w:ind w:firstLine="602" w:firstLineChars="200"/>
        <w:jc w:val="center"/>
        <w:rPr>
          <w:rFonts w:ascii="黑体" w:hAnsi="黑体" w:eastAsia="黑体" w:cs="黑体"/>
          <w:b/>
          <w:sz w:val="30"/>
          <w:szCs w:val="30"/>
        </w:rPr>
      </w:pPr>
    </w:p>
    <w:p>
      <w:pPr>
        <w:spacing w:after="240"/>
        <w:rPr>
          <w:rFonts w:ascii="黑体" w:hAnsi="黑体" w:eastAsia="黑体" w:cs="黑体"/>
          <w:color w:val="000000"/>
          <w:kern w:val="0"/>
          <w:sz w:val="40"/>
          <w:szCs w:val="40"/>
        </w:rPr>
      </w:pP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《草原区露天煤矿排土场恢复生态系统</w:t>
      </w:r>
    </w:p>
    <w:p>
      <w:pPr>
        <w:spacing w:after="240"/>
        <w:jc w:val="center"/>
        <w:rPr>
          <w:rFonts w:ascii="黑体" w:hAnsi="黑体" w:eastAsia="黑体" w:cs="黑体"/>
          <w:color w:val="000000"/>
          <w:kern w:val="0"/>
          <w:sz w:val="40"/>
          <w:szCs w:val="40"/>
        </w:rPr>
      </w:pPr>
      <w:r>
        <w:rPr>
          <w:rFonts w:hint="eastAsia" w:ascii="黑体" w:hAnsi="黑体" w:eastAsia="黑体" w:cs="黑体"/>
          <w:color w:val="000000"/>
          <w:kern w:val="0"/>
          <w:sz w:val="40"/>
          <w:szCs w:val="40"/>
        </w:rPr>
        <w:t>质量评估技术规程》编制说明</w:t>
      </w:r>
    </w:p>
    <w:p>
      <w:pPr>
        <w:spacing w:line="360" w:lineRule="auto"/>
        <w:jc w:val="center"/>
        <w:rPr>
          <w:rFonts w:ascii="黑体" w:hAnsi="黑体" w:eastAsia="黑体" w:cs="黑体"/>
          <w:b/>
          <w:sz w:val="30"/>
          <w:szCs w:val="30"/>
        </w:rPr>
      </w:pPr>
      <w:r>
        <w:rPr>
          <w:rFonts w:hint="eastAsia" w:ascii="黑体" w:hAnsi="黑体" w:eastAsia="黑体" w:cs="黑体"/>
          <w:color w:val="000000"/>
          <w:kern w:val="0"/>
          <w:sz w:val="40"/>
          <w:szCs w:val="40"/>
        </w:rPr>
        <w:t>（征求意见稿）</w:t>
      </w: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602" w:firstLineChars="200"/>
        <w:jc w:val="center"/>
        <w:rPr>
          <w:rFonts w:hint="eastAsia" w:ascii="黑体" w:hAnsi="黑体" w:eastAsia="黑体" w:cs="黑体"/>
          <w:b/>
          <w:sz w:val="30"/>
          <w:szCs w:val="30"/>
        </w:rPr>
      </w:pPr>
    </w:p>
    <w:p>
      <w:pPr>
        <w:spacing w:line="360" w:lineRule="auto"/>
        <w:ind w:firstLine="602" w:firstLineChars="200"/>
        <w:jc w:val="center"/>
        <w:rPr>
          <w:rFonts w:ascii="黑体" w:hAnsi="黑体" w:eastAsia="黑体" w:cs="黑体"/>
          <w:b/>
          <w:sz w:val="30"/>
          <w:szCs w:val="30"/>
        </w:rPr>
      </w:pPr>
    </w:p>
    <w:p>
      <w:pPr>
        <w:spacing w:line="360" w:lineRule="auto"/>
        <w:ind w:firstLine="800" w:firstLineChars="200"/>
        <w:jc w:val="center"/>
        <w:rPr>
          <w:rFonts w:ascii="黑体" w:hAnsi="黑体" w:eastAsia="黑体" w:cs="黑体"/>
          <w:bCs/>
          <w:sz w:val="40"/>
          <w:szCs w:val="40"/>
        </w:rPr>
      </w:pPr>
      <w:r>
        <w:rPr>
          <w:rFonts w:hint="eastAsia" w:ascii="黑体" w:hAnsi="黑体" w:eastAsia="黑体" w:cs="黑体"/>
          <w:bCs/>
          <w:sz w:val="40"/>
          <w:szCs w:val="40"/>
        </w:rPr>
        <w:t>《草原区露天煤矿排土场恢复生态系统质量评估技术规程》起草组</w:t>
      </w:r>
    </w:p>
    <w:p>
      <w:pPr>
        <w:spacing w:line="360" w:lineRule="auto"/>
        <w:ind w:firstLine="800" w:firstLineChars="200"/>
        <w:jc w:val="center"/>
        <w:rPr>
          <w:rFonts w:ascii="黑体" w:hAnsi="黑体" w:eastAsia="黑体" w:cs="黑体"/>
          <w:bCs/>
          <w:sz w:val="40"/>
          <w:szCs w:val="40"/>
        </w:rPr>
      </w:pPr>
      <w:r>
        <w:rPr>
          <w:rFonts w:hint="eastAsia" w:ascii="黑体" w:hAnsi="黑体" w:eastAsia="黑体" w:cs="黑体"/>
          <w:bCs/>
          <w:sz w:val="40"/>
          <w:szCs w:val="40"/>
        </w:rPr>
        <w:t>20</w:t>
      </w:r>
      <w:r>
        <w:rPr>
          <w:rFonts w:ascii="黑体" w:hAnsi="黑体" w:eastAsia="黑体" w:cs="黑体"/>
          <w:bCs/>
          <w:sz w:val="40"/>
          <w:szCs w:val="40"/>
        </w:rPr>
        <w:t>2</w:t>
      </w:r>
      <w:r>
        <w:rPr>
          <w:rFonts w:hint="eastAsia" w:ascii="黑体" w:hAnsi="黑体" w:eastAsia="黑体" w:cs="黑体"/>
          <w:bCs/>
          <w:sz w:val="40"/>
          <w:szCs w:val="40"/>
        </w:rPr>
        <w:t>2年11月</w:t>
      </w:r>
    </w:p>
    <w:p>
      <w:pPr>
        <w:spacing w:line="360" w:lineRule="auto"/>
        <w:ind w:firstLine="602" w:firstLineChars="200"/>
        <w:rPr>
          <w:rFonts w:asciiTheme="minorEastAsia" w:hAnsiTheme="minorEastAsia"/>
          <w:b/>
          <w:sz w:val="36"/>
          <w:szCs w:val="36"/>
        </w:rPr>
      </w:pPr>
      <w:r>
        <w:rPr>
          <w:rFonts w:hint="eastAsia" w:ascii="黑体" w:hAnsi="黑体" w:eastAsia="黑体" w:cs="黑体"/>
          <w:b/>
          <w:sz w:val="30"/>
          <w:szCs w:val="30"/>
        </w:rPr>
        <w:t xml:space="preserve"> </w:t>
      </w:r>
      <w:r>
        <w:rPr>
          <w:rFonts w:ascii="黑体" w:hAnsi="黑体" w:eastAsia="黑体" w:cs="黑体"/>
          <w:b/>
          <w:sz w:val="30"/>
          <w:szCs w:val="30"/>
        </w:rPr>
        <w:t xml:space="preserve">                       </w:t>
      </w:r>
    </w:p>
    <w:p>
      <w:pPr>
        <w:jc w:val="center"/>
        <w:rPr>
          <w:rFonts w:asciiTheme="minorEastAsia" w:hAnsiTheme="minorEastAsia"/>
          <w:b/>
          <w:sz w:val="36"/>
          <w:szCs w:val="36"/>
        </w:rPr>
      </w:pPr>
    </w:p>
    <w:p>
      <w:pPr>
        <w:jc w:val="center"/>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《草原区露天煤矿排土场恢复生态系统质量评估</w:t>
      </w:r>
    </w:p>
    <w:p>
      <w:pPr>
        <w:jc w:val="center"/>
        <w:rPr>
          <w:rFonts w:asciiTheme="minorEastAsia" w:hAnsiTheme="minorEastAsia"/>
          <w:b/>
          <w:sz w:val="36"/>
          <w:szCs w:val="36"/>
        </w:rPr>
      </w:pPr>
      <w:r>
        <w:rPr>
          <w:rFonts w:hint="eastAsia" w:asciiTheme="minorEastAsia" w:hAnsiTheme="minorEastAsia"/>
          <w:b/>
          <w:sz w:val="36"/>
          <w:szCs w:val="36"/>
        </w:rPr>
        <w:t>技术规程》编制说明</w:t>
      </w:r>
    </w:p>
    <w:p>
      <w:pPr>
        <w:rPr>
          <w:rFonts w:ascii="仿宋" w:hAnsi="仿宋" w:eastAsia="仿宋"/>
          <w:b/>
          <w:sz w:val="30"/>
          <w:szCs w:val="30"/>
        </w:rPr>
      </w:pPr>
    </w:p>
    <w:p>
      <w:pPr>
        <w:ind w:firstLine="602" w:firstLineChars="200"/>
        <w:rPr>
          <w:rFonts w:ascii="仿宋" w:hAnsi="仿宋" w:eastAsia="仿宋"/>
          <w:b/>
          <w:sz w:val="30"/>
          <w:szCs w:val="30"/>
        </w:rPr>
      </w:pPr>
      <w:r>
        <w:rPr>
          <w:rFonts w:hint="eastAsia" w:ascii="仿宋" w:hAnsi="仿宋" w:eastAsia="仿宋"/>
          <w:b/>
          <w:sz w:val="30"/>
          <w:szCs w:val="30"/>
        </w:rPr>
        <w:t>一、工作简况</w:t>
      </w:r>
    </w:p>
    <w:p>
      <w:pPr>
        <w:ind w:firstLine="562" w:firstLineChars="200"/>
        <w:rPr>
          <w:rFonts w:ascii="仿宋" w:hAnsi="仿宋" w:eastAsia="仿宋"/>
          <w:b/>
          <w:sz w:val="28"/>
          <w:szCs w:val="28"/>
        </w:rPr>
      </w:pPr>
      <w:r>
        <w:rPr>
          <w:rFonts w:hint="eastAsia" w:ascii="仿宋" w:hAnsi="仿宋" w:eastAsia="仿宋"/>
          <w:b/>
          <w:sz w:val="28"/>
          <w:szCs w:val="28"/>
        </w:rPr>
        <w:t>1、任务来源</w:t>
      </w:r>
    </w:p>
    <w:p>
      <w:pPr>
        <w:ind w:firstLine="570"/>
        <w:rPr>
          <w:rFonts w:hint="eastAsia" w:ascii="仿宋" w:hAnsi="仿宋" w:eastAsia="仿宋"/>
          <w:sz w:val="28"/>
          <w:szCs w:val="28"/>
        </w:rPr>
      </w:pPr>
      <w:r>
        <w:rPr>
          <w:rFonts w:hint="eastAsia" w:ascii="仿宋" w:hAnsi="仿宋" w:eastAsia="仿宋"/>
          <w:sz w:val="28"/>
          <w:szCs w:val="28"/>
        </w:rPr>
        <w:t>该标准由内蒙古大学提出，并于2022年7月22日对该标准的申请书进行了技术审查，经协会研讨与评审后，符合立项条件，批准立项进行编制，立项文件：“内蒙古标准化协会关于下达2022第3批团体标准制修订项目的通知”(内标协[2022]016号) ，本标准由内蒙古标准化协会归口。</w:t>
      </w:r>
    </w:p>
    <w:p>
      <w:pPr>
        <w:ind w:firstLine="562" w:firstLineChars="200"/>
        <w:rPr>
          <w:rFonts w:ascii="仿宋" w:hAnsi="仿宋" w:eastAsia="仿宋"/>
          <w:b/>
          <w:sz w:val="28"/>
          <w:szCs w:val="28"/>
        </w:rPr>
      </w:pPr>
      <w:r>
        <w:rPr>
          <w:rFonts w:hint="eastAsia" w:ascii="仿宋" w:hAnsi="仿宋" w:eastAsia="仿宋"/>
          <w:b/>
          <w:sz w:val="28"/>
          <w:szCs w:val="28"/>
        </w:rPr>
        <w:t>2、起草单位及协作单位</w:t>
      </w:r>
    </w:p>
    <w:p>
      <w:pPr>
        <w:ind w:firstLine="560" w:firstLineChars="200"/>
        <w:rPr>
          <w:rFonts w:ascii="仿宋" w:hAnsi="仿宋" w:eastAsia="仿宋"/>
          <w:sz w:val="28"/>
          <w:szCs w:val="28"/>
        </w:rPr>
      </w:pPr>
      <w:r>
        <w:rPr>
          <w:rFonts w:hint="eastAsia" w:ascii="仿宋" w:hAnsi="仿宋" w:eastAsia="仿宋"/>
          <w:sz w:val="28"/>
          <w:szCs w:val="28"/>
        </w:rPr>
        <w:t>起草单位：内蒙古大学</w:t>
      </w:r>
    </w:p>
    <w:p>
      <w:pPr>
        <w:ind w:firstLine="560" w:firstLineChars="200"/>
        <w:rPr>
          <w:rFonts w:ascii="仿宋" w:hAnsi="仿宋" w:eastAsia="仿宋"/>
          <w:sz w:val="28"/>
          <w:szCs w:val="28"/>
        </w:rPr>
      </w:pPr>
      <w:r>
        <w:rPr>
          <w:rFonts w:hint="eastAsia" w:ascii="仿宋" w:hAnsi="仿宋" w:eastAsia="仿宋"/>
          <w:sz w:val="28"/>
          <w:szCs w:val="28"/>
        </w:rPr>
        <w:t>协作单位：蒙草生态环境（集团）股份有限公司、内蒙古峰茂科技创新有限公司、锡林郭勒盟蒙东矿业有限责任公司。</w:t>
      </w:r>
    </w:p>
    <w:p>
      <w:pPr>
        <w:ind w:firstLine="843" w:firstLineChars="300"/>
        <w:rPr>
          <w:rFonts w:ascii="仿宋" w:hAnsi="仿宋" w:eastAsia="仿宋"/>
          <w:b/>
          <w:sz w:val="28"/>
          <w:szCs w:val="28"/>
        </w:rPr>
      </w:pPr>
      <w:r>
        <w:rPr>
          <w:rFonts w:hint="eastAsia" w:ascii="仿宋" w:hAnsi="仿宋" w:eastAsia="仿宋"/>
          <w:b/>
          <w:sz w:val="28"/>
          <w:szCs w:val="28"/>
        </w:rPr>
        <w:t>3、主要起草人</w:t>
      </w:r>
    </w:p>
    <w:p>
      <w:pPr>
        <w:ind w:firstLine="560" w:firstLineChars="200"/>
        <w:rPr>
          <w:rFonts w:ascii="仿宋" w:hAnsi="仿宋" w:eastAsia="仿宋"/>
          <w:sz w:val="28"/>
          <w:szCs w:val="28"/>
        </w:rPr>
      </w:pPr>
      <w:r>
        <w:rPr>
          <w:rFonts w:hint="eastAsia" w:ascii="仿宋" w:hAnsi="仿宋" w:eastAsia="仿宋"/>
          <w:sz w:val="28"/>
          <w:szCs w:val="28"/>
        </w:rPr>
        <w:t>本标准主要起草人为：任卫波、孙思远、陈喆、程云湘、祁乐、张跃华、苑峰、王亮。</w:t>
      </w:r>
    </w:p>
    <w:p>
      <w:pPr>
        <w:ind w:firstLine="562" w:firstLineChars="200"/>
        <w:jc w:val="center"/>
        <w:rPr>
          <w:rFonts w:ascii="仿宋" w:hAnsi="仿宋" w:eastAsia="仿宋"/>
          <w:b/>
          <w:bCs/>
          <w:sz w:val="28"/>
          <w:szCs w:val="28"/>
        </w:rPr>
      </w:pPr>
      <w:r>
        <w:rPr>
          <w:rFonts w:hint="eastAsia" w:ascii="仿宋" w:hAnsi="仿宋" w:eastAsia="仿宋"/>
          <w:b/>
          <w:bCs/>
          <w:sz w:val="28"/>
          <w:szCs w:val="28"/>
        </w:rPr>
        <w:t>表1标准参与编写人员及其所做的工作</w:t>
      </w:r>
    </w:p>
    <w:tbl>
      <w:tblPr>
        <w:tblStyle w:val="5"/>
        <w:tblW w:w="5000" w:type="pct"/>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33"/>
        <w:gridCol w:w="2032"/>
        <w:gridCol w:w="1376"/>
        <w:gridCol w:w="378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b/>
                <w:bCs/>
                <w:color w:val="000000" w:themeColor="text1"/>
                <w:kern w:val="0"/>
                <w:szCs w:val="28"/>
              </w:rPr>
            </w:pPr>
            <w:r>
              <w:rPr>
                <w:rFonts w:hint="eastAsia" w:ascii="仿宋" w:hAnsi="仿宋" w:eastAsia="仿宋" w:cs="Times New Roman"/>
                <w:b/>
                <w:bCs/>
                <w:color w:val="000000" w:themeColor="text1"/>
                <w:kern w:val="0"/>
                <w:szCs w:val="28"/>
              </w:rPr>
              <w:t>姓名</w:t>
            </w:r>
          </w:p>
        </w:tc>
        <w:tc>
          <w:tcPr>
            <w:tcW w:w="1192" w:type="pct"/>
            <w:vAlign w:val="center"/>
          </w:tcPr>
          <w:p>
            <w:pPr>
              <w:autoSpaceDE w:val="0"/>
              <w:autoSpaceDN w:val="0"/>
              <w:spacing w:after="0"/>
              <w:contextualSpacing/>
              <w:jc w:val="center"/>
              <w:rPr>
                <w:rFonts w:ascii="仿宋" w:hAnsi="仿宋" w:eastAsia="仿宋" w:cs="Times New Roman"/>
                <w:b/>
                <w:bCs/>
                <w:color w:val="000000" w:themeColor="text1"/>
                <w:kern w:val="0"/>
                <w:szCs w:val="28"/>
              </w:rPr>
            </w:pPr>
            <w:r>
              <w:rPr>
                <w:rFonts w:hint="eastAsia" w:ascii="仿宋" w:hAnsi="仿宋" w:eastAsia="仿宋" w:cs="Times New Roman"/>
                <w:b/>
                <w:bCs/>
                <w:color w:val="000000" w:themeColor="text1"/>
                <w:kern w:val="0"/>
                <w:szCs w:val="28"/>
              </w:rPr>
              <w:t>工作单位</w:t>
            </w:r>
          </w:p>
        </w:tc>
        <w:tc>
          <w:tcPr>
            <w:tcW w:w="807" w:type="pct"/>
            <w:vAlign w:val="center"/>
          </w:tcPr>
          <w:p>
            <w:pPr>
              <w:autoSpaceDE w:val="0"/>
              <w:autoSpaceDN w:val="0"/>
              <w:spacing w:after="0"/>
              <w:contextualSpacing/>
              <w:jc w:val="center"/>
              <w:rPr>
                <w:rFonts w:ascii="仿宋" w:hAnsi="仿宋" w:eastAsia="仿宋" w:cs="Times New Roman"/>
                <w:b/>
                <w:bCs/>
                <w:color w:val="000000" w:themeColor="text1"/>
                <w:kern w:val="0"/>
                <w:szCs w:val="28"/>
              </w:rPr>
            </w:pPr>
            <w:r>
              <w:rPr>
                <w:rFonts w:hint="eastAsia" w:ascii="仿宋" w:hAnsi="仿宋" w:eastAsia="仿宋" w:cs="Times New Roman"/>
                <w:b/>
                <w:bCs/>
                <w:color w:val="000000" w:themeColor="text1"/>
                <w:kern w:val="0"/>
                <w:szCs w:val="28"/>
              </w:rPr>
              <w:t>职称</w:t>
            </w:r>
          </w:p>
        </w:tc>
        <w:tc>
          <w:tcPr>
            <w:tcW w:w="2217" w:type="pct"/>
            <w:vAlign w:val="center"/>
          </w:tcPr>
          <w:p>
            <w:pPr>
              <w:autoSpaceDE w:val="0"/>
              <w:autoSpaceDN w:val="0"/>
              <w:spacing w:after="0"/>
              <w:contextualSpacing/>
              <w:jc w:val="center"/>
              <w:rPr>
                <w:rFonts w:ascii="仿宋" w:hAnsi="仿宋" w:eastAsia="仿宋" w:cs="Times New Roman"/>
                <w:b/>
                <w:bCs/>
                <w:color w:val="000000" w:themeColor="text1"/>
                <w:kern w:val="0"/>
                <w:szCs w:val="28"/>
              </w:rPr>
            </w:pPr>
            <w:r>
              <w:rPr>
                <w:rFonts w:hint="eastAsia" w:ascii="仿宋" w:hAnsi="仿宋" w:eastAsia="仿宋" w:cs="Times New Roman"/>
                <w:b/>
                <w:bCs/>
                <w:color w:val="000000" w:themeColor="text1"/>
                <w:kern w:val="0"/>
                <w:szCs w:val="28"/>
              </w:rPr>
              <w:t>主要工作内容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任卫波</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研究员</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项目主持人，负责标准全面工作</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孙思远</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硕士研究生</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主要参加人，负责标准编写和修订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陈喆</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硕士研究生</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主要参加人，参与标准的指标验证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程云湘</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副教授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主要参加人，相关标准查询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祁乐</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内蒙古大学</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讲师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主要参加人，试验指导</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张跃华</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蒙草生态环境（集团）股份有限公司</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中级畜牧师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主要参加人，文本修改、标准查新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苑峰</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内蒙古峰茂科技创新有限公司</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中级畜牧师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主要参加人，专家意见征求、整理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80" w:hRule="exact"/>
          <w:jc w:val="center"/>
        </w:trPr>
        <w:tc>
          <w:tcPr>
            <w:tcW w:w="78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王亮</w:t>
            </w:r>
          </w:p>
        </w:tc>
        <w:tc>
          <w:tcPr>
            <w:tcW w:w="1192"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锡林郭勒盟蒙东矿业有限责任公司</w:t>
            </w:r>
          </w:p>
        </w:tc>
        <w:tc>
          <w:tcPr>
            <w:tcW w:w="80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中级畜牧师</w:t>
            </w:r>
          </w:p>
        </w:tc>
        <w:tc>
          <w:tcPr>
            <w:tcW w:w="2217" w:type="pct"/>
            <w:vAlign w:val="center"/>
          </w:tcPr>
          <w:p>
            <w:pPr>
              <w:autoSpaceDE w:val="0"/>
              <w:autoSpaceDN w:val="0"/>
              <w:spacing w:after="0"/>
              <w:contextualSpacing/>
              <w:jc w:val="center"/>
              <w:rPr>
                <w:rFonts w:ascii="仿宋" w:hAnsi="仿宋" w:eastAsia="仿宋" w:cs="Times New Roman"/>
                <w:color w:val="000000" w:themeColor="text1"/>
                <w:kern w:val="0"/>
                <w:szCs w:val="28"/>
              </w:rPr>
            </w:pPr>
            <w:r>
              <w:rPr>
                <w:rFonts w:hint="eastAsia" w:ascii="仿宋" w:hAnsi="仿宋" w:eastAsia="仿宋" w:cs="Times New Roman"/>
                <w:color w:val="000000" w:themeColor="text1"/>
                <w:kern w:val="0"/>
                <w:szCs w:val="28"/>
              </w:rPr>
              <w:t>主要参加人，专家意见征求、整理</w:t>
            </w:r>
          </w:p>
        </w:tc>
      </w:tr>
    </w:tbl>
    <w:p>
      <w:pPr>
        <w:rPr>
          <w:rFonts w:ascii="仿宋" w:hAnsi="仿宋" w:eastAsia="仿宋"/>
          <w:sz w:val="28"/>
          <w:szCs w:val="28"/>
        </w:rPr>
      </w:pPr>
    </w:p>
    <w:p>
      <w:pPr>
        <w:rPr>
          <w:rFonts w:ascii="仿宋" w:hAnsi="仿宋" w:eastAsia="仿宋"/>
          <w:b/>
          <w:sz w:val="28"/>
          <w:szCs w:val="28"/>
        </w:rPr>
      </w:pPr>
      <w:r>
        <w:rPr>
          <w:rFonts w:hint="eastAsia" w:ascii="仿宋" w:hAnsi="仿宋" w:eastAsia="仿宋"/>
          <w:b/>
          <w:sz w:val="28"/>
          <w:szCs w:val="28"/>
        </w:rPr>
        <w:t>二、制定标准的必要性和意义</w:t>
      </w:r>
    </w:p>
    <w:p>
      <w:pPr>
        <w:ind w:firstLine="560" w:firstLineChars="200"/>
        <w:rPr>
          <w:rFonts w:ascii="仿宋" w:hAnsi="仿宋" w:eastAsia="仿宋"/>
          <w:sz w:val="28"/>
          <w:szCs w:val="28"/>
        </w:rPr>
      </w:pPr>
      <w:r>
        <w:rPr>
          <w:rFonts w:hint="eastAsia" w:ascii="仿宋" w:hAnsi="仿宋" w:eastAsia="仿宋"/>
          <w:sz w:val="28"/>
          <w:szCs w:val="28"/>
        </w:rPr>
        <w:t>露天开采是一种开采能力大、建设速度快、劳动效率高、生产成本低的煤炭开采方式，已成为美国、印度、印尼、澳大利亚、俄罗斯等世界主要采煤大国的主要采煤方式，2018年各产煤国露天煤矿产量占比均超过50%，部分国家达90%以上。内蒙古地区煤炭资源储量丰厚，居全国第一位，且适于露天开采的煤炭资源多，截至2021年3月底，内蒙古全区露天煤矿有159处，合计产能4.39亿吨/年。露天煤矿在开采出大量资源为国民经济做出贡献的同时，也对生态环境产生了负面的影响，主要包括破坏和占用大量土地、植被丧失、水体大规模破坏、生物多样性丧失、空气污染等生态环境问题。习近平总书记强调：“生态环境保护和经济发展不是矛盾对立的关系，而是辩证统一的关系。”“推动经济高质量发展，决不能再走先污染后治理的老路。”因此提出了“边开采边修复”的矿区治理理念。</w:t>
      </w:r>
    </w:p>
    <w:p>
      <w:pPr>
        <w:ind w:firstLine="560" w:firstLineChars="200"/>
        <w:rPr>
          <w:rFonts w:ascii="仿宋" w:hAnsi="仿宋" w:eastAsia="仿宋"/>
          <w:sz w:val="28"/>
          <w:szCs w:val="28"/>
        </w:rPr>
      </w:pPr>
      <w:r>
        <w:rPr>
          <w:rFonts w:hint="eastAsia" w:ascii="仿宋" w:hAnsi="仿宋" w:eastAsia="仿宋"/>
          <w:sz w:val="28"/>
          <w:szCs w:val="28"/>
        </w:rPr>
        <w:t>排土场是煤矿露天开采过程中废弃物的主要堆放地，无土壤结构，无地表植被，占用的土地约占整个露天煤矿用地的50%以上，是矿区生态修复的重点区域。当前国内外十分重视露天煤矿的排土场生态修复，形成了包括地貌重塑、土壤重构、植被修复等在内的系列生态修复技术，修复成效显著。然而，由于缺乏统一的修复效果评价标准，不同地区、不同矿区在修复技术、模式选择上随意性较强，实际修复参差不齐，这一问题已成为当前制约我区绿色矿山建设的关键瓶颈。虽然国内外也开展了一些修复后生态修复效果方面的评价研究，但已有的研究结果大部分以多指标的定性评价为主，缺乏综合性的量化评价结果，对矿区生态修复工作的实际指导意义有限。因此，急需编制适合我区生态环境特点的草原区露天煤矿排土场修复生态系统质量评估技术规程，通过建立标准化的生态系统质量指数，对矿山排土场修复后的生态质量进行定量评估，为排土场生态修复科学评价与精准管理提供技术支持和保障。预期结果对于推动我区草原矿区绿色矿山标准化建设，实现经济高质量发展具有重要意义。</w:t>
      </w:r>
    </w:p>
    <w:p>
      <w:pPr>
        <w:ind w:firstLine="562" w:firstLineChars="200"/>
        <w:rPr>
          <w:rFonts w:ascii="仿宋" w:hAnsi="仿宋" w:eastAsia="仿宋"/>
          <w:b/>
          <w:sz w:val="28"/>
          <w:szCs w:val="28"/>
        </w:rPr>
      </w:pPr>
      <w:r>
        <w:rPr>
          <w:rFonts w:hint="eastAsia" w:ascii="仿宋" w:hAnsi="仿宋" w:eastAsia="仿宋"/>
          <w:b/>
          <w:sz w:val="28"/>
          <w:szCs w:val="28"/>
        </w:rPr>
        <w:t>三、主要起草过程</w:t>
      </w:r>
    </w:p>
    <w:p>
      <w:pPr>
        <w:ind w:firstLine="562" w:firstLineChars="200"/>
        <w:rPr>
          <w:rFonts w:ascii="仿宋" w:hAnsi="仿宋" w:eastAsia="仿宋" w:cs="Arial"/>
          <w:color w:val="000000"/>
          <w:sz w:val="24"/>
          <w:szCs w:val="28"/>
        </w:rPr>
      </w:pPr>
      <w:r>
        <w:rPr>
          <w:rFonts w:hint="eastAsia" w:ascii="仿宋" w:hAnsi="仿宋" w:eastAsia="仿宋"/>
          <w:b/>
          <w:sz w:val="28"/>
          <w:szCs w:val="28"/>
        </w:rPr>
        <w:t>1、前期准备</w:t>
      </w:r>
    </w:p>
    <w:p>
      <w:pPr>
        <w:ind w:firstLine="560" w:firstLineChars="200"/>
        <w:rPr>
          <w:rFonts w:ascii="Times New Roman" w:hAnsi="Times New Roman" w:eastAsia="仿宋" w:cs="Times New Roman"/>
          <w:color w:val="000000"/>
          <w:sz w:val="24"/>
          <w:szCs w:val="28"/>
        </w:rPr>
      </w:pPr>
      <w:r>
        <w:rPr>
          <w:rFonts w:hint="eastAsia" w:ascii="仿宋" w:hAnsi="仿宋" w:eastAsia="仿宋"/>
          <w:sz w:val="28"/>
          <w:szCs w:val="28"/>
        </w:rPr>
        <w:t>为了开展该标准制定的前期验证与分析工作，项目组于2</w:t>
      </w:r>
      <w:r>
        <w:rPr>
          <w:rFonts w:ascii="仿宋" w:hAnsi="仿宋" w:eastAsia="仿宋"/>
          <w:sz w:val="28"/>
          <w:szCs w:val="28"/>
        </w:rPr>
        <w:t>020</w:t>
      </w:r>
      <w:r>
        <w:rPr>
          <w:rFonts w:hint="eastAsia" w:ascii="仿宋" w:hAnsi="仿宋" w:eastAsia="仿宋"/>
          <w:sz w:val="28"/>
          <w:szCs w:val="28"/>
        </w:rPr>
        <w:t>年对内蒙古锡林浩特市胜利西二号露天煤矿排土场生态修复状况进行了实地调研，并于2</w:t>
      </w:r>
      <w:r>
        <w:rPr>
          <w:rFonts w:ascii="仿宋" w:hAnsi="仿宋" w:eastAsia="仿宋"/>
          <w:sz w:val="28"/>
          <w:szCs w:val="28"/>
        </w:rPr>
        <w:t>021</w:t>
      </w:r>
      <w:r>
        <w:rPr>
          <w:rFonts w:hint="eastAsia" w:ascii="仿宋" w:hAnsi="仿宋" w:eastAsia="仿宋"/>
          <w:sz w:val="28"/>
          <w:szCs w:val="28"/>
        </w:rPr>
        <w:t>年-</w:t>
      </w:r>
      <w:r>
        <w:rPr>
          <w:rFonts w:ascii="仿宋" w:hAnsi="仿宋" w:eastAsia="仿宋"/>
          <w:sz w:val="28"/>
          <w:szCs w:val="28"/>
        </w:rPr>
        <w:t>202</w:t>
      </w:r>
      <w:r>
        <w:rPr>
          <w:rFonts w:hint="eastAsia" w:ascii="仿宋" w:hAnsi="仿宋" w:eastAsia="仿宋"/>
          <w:sz w:val="28"/>
          <w:szCs w:val="28"/>
        </w:rPr>
        <w:t>2年连续两年对排土场修复生态系统</w:t>
      </w:r>
      <w:r>
        <w:rPr>
          <w:rFonts w:ascii="Times New Roman" w:hAnsi="Times New Roman" w:eastAsia="仿宋" w:cs="Times New Roman"/>
          <w:sz w:val="28"/>
          <w:szCs w:val="28"/>
        </w:rPr>
        <w:t>开展了土壤、植被、微生物等相关采样与数据分析工作。该矿位于锡林浩特市西 12 km 处，地理坐标 N43°91′~ 43°93′，E115°90′~115°92′。该地区属于中温带半干旱大陆性气候，年平均气温 2.8℃，年平均降水量 275.9 mm。植被类型以典型草原为主，土壤类型主要为栗钙土。项目组分别在该矿区2019年、2016年、2011年、2006年修复的排土场平台区域设置样地，参照样地选择附近未受干扰的天然草地。该地区草原植被以大针茅、羊草和糙隐子草为主要优势种。每块样地上选取8个1m × 1m植物样方，记录样方内盖度、高度、物种类型与数目，用剪刀齐地面剪下绿色植物部分，分物种分别装进信封袋，做好标记。土壤样品的采集是在样地上选取的8个植被样方中随机选取了4个样方，每个样方内取不少于3个表层土样，采样深度0~20cm，分0~10cm、10~20cm两层进行取样。我们对样地内植被、土壤及土壤微生物进行了研究，进行了相关指标的测定与数据分析，该部分的前期研究为本技术规程提供了基础。</w:t>
      </w:r>
    </w:p>
    <w:p>
      <w:pPr>
        <w:ind w:firstLine="560" w:firstLineChars="200"/>
        <w:rPr>
          <w:rFonts w:ascii="Times New Roman" w:hAnsi="Times New Roman" w:eastAsia="仿宋" w:cs="Times New Roman"/>
          <w:color w:val="000000"/>
          <w:sz w:val="24"/>
          <w:szCs w:val="28"/>
        </w:rPr>
      </w:pPr>
      <w:r>
        <w:rPr>
          <w:rFonts w:ascii="Times New Roman" w:hAnsi="Times New Roman" w:eastAsia="仿宋" w:cs="Times New Roman"/>
          <w:sz w:val="28"/>
          <w:szCs w:val="28"/>
        </w:rPr>
        <w:t>同时，项目团队成员正在承担自治区科技重大专项项目“内蒙古典型矿区生态修复技术集成与示范”，先后参与制定草原生态修复工程实施效果监测技术规程（DB15/T 2381-2021）、草原区露天煤矿排土场植被恢复技术规范（DB15/T 1252-2017）等多项相关的技术标准，并在我区呼伦贝尔、锡林郭勒、鄂尔多斯等地区组织实施了矿区生态修复工程，成效显著，在矿区生态修复技术、地方标准制定方面具有丰富的经验和技术积累；</w:t>
      </w:r>
      <w:r>
        <w:rPr>
          <w:rFonts w:ascii="Times New Roman" w:hAnsi="Times New Roman" w:eastAsia="仿宋" w:cs="Times New Roman"/>
          <w:b/>
          <w:bCs/>
          <w:sz w:val="28"/>
          <w:szCs w:val="28"/>
        </w:rPr>
        <w:t>项目组成员在锡林浩特、呼伦贝尔等地选择多个煤矿，开展了背景调查、植物、土壤、微生物取样与分析工作，</w:t>
      </w:r>
      <w:r>
        <w:rPr>
          <w:rFonts w:ascii="Times New Roman" w:hAnsi="Times New Roman" w:eastAsia="仿宋" w:cs="Times New Roman"/>
          <w:sz w:val="28"/>
          <w:szCs w:val="28"/>
        </w:rPr>
        <w:t>积累了一批有价值的数据和实验结果，为该标准高质量完成提供有力的前期基础保障。</w:t>
      </w:r>
    </w:p>
    <w:p>
      <w:pPr>
        <w:ind w:firstLine="843" w:firstLineChars="300"/>
        <w:rPr>
          <w:rFonts w:ascii="仿宋" w:hAnsi="仿宋" w:eastAsia="仿宋"/>
          <w:b/>
          <w:sz w:val="28"/>
          <w:szCs w:val="28"/>
        </w:rPr>
      </w:pPr>
      <w:r>
        <w:rPr>
          <w:rFonts w:hint="eastAsia" w:ascii="仿宋" w:hAnsi="仿宋" w:eastAsia="仿宋"/>
          <w:b/>
          <w:sz w:val="28"/>
          <w:szCs w:val="28"/>
        </w:rPr>
        <w:t xml:space="preserve">2、组成标准起草组，制定工作方案 </w:t>
      </w:r>
      <w:r>
        <w:rPr>
          <w:rFonts w:ascii="仿宋" w:hAnsi="仿宋" w:eastAsia="仿宋"/>
          <w:b/>
          <w:sz w:val="28"/>
          <w:szCs w:val="28"/>
        </w:rPr>
        <w:t xml:space="preserve"> </w:t>
      </w:r>
      <w:r>
        <w:rPr>
          <w:rFonts w:ascii="Times New Roman" w:hAnsi="Times New Roman" w:eastAsia="仿宋" w:cs="Times New Roman"/>
          <w:sz w:val="28"/>
          <w:szCs w:val="28"/>
        </w:rPr>
        <w:t xml:space="preserve"> 2022</w:t>
      </w:r>
      <w:r>
        <w:rPr>
          <w:rFonts w:hint="eastAsia" w:ascii="Times New Roman" w:hAnsi="Times New Roman" w:eastAsia="仿宋" w:cs="Times New Roman"/>
          <w:sz w:val="28"/>
          <w:szCs w:val="28"/>
        </w:rPr>
        <w:t>年7月</w:t>
      </w:r>
      <w:r>
        <w:rPr>
          <w:rFonts w:hint="eastAsia" w:ascii="仿宋" w:hAnsi="仿宋" w:eastAsia="仿宋"/>
          <w:bCs/>
          <w:sz w:val="28"/>
          <w:szCs w:val="28"/>
        </w:rPr>
        <w:t>该标准立项后，成立了标准编写组，召开工作会议，落实标准工作方案，就标准的编写原则、内容、技术要点及任务分工、进度安排进行了商讨，并部署了相关工作。</w:t>
      </w:r>
    </w:p>
    <w:p>
      <w:pPr>
        <w:ind w:firstLine="562" w:firstLineChars="200"/>
        <w:rPr>
          <w:rFonts w:ascii="仿宋" w:hAnsi="仿宋" w:eastAsia="仿宋"/>
          <w:bCs/>
          <w:sz w:val="28"/>
          <w:szCs w:val="28"/>
        </w:rPr>
      </w:pPr>
      <w:r>
        <w:rPr>
          <w:rFonts w:hint="eastAsia" w:ascii="仿宋" w:hAnsi="仿宋" w:eastAsia="仿宋"/>
          <w:b/>
          <w:sz w:val="28"/>
          <w:szCs w:val="28"/>
        </w:rPr>
        <w:t xml:space="preserve">3、完善标准内容，形成标准征求意见稿 </w:t>
      </w:r>
      <w:r>
        <w:rPr>
          <w:rFonts w:ascii="仿宋" w:hAnsi="仿宋" w:eastAsia="仿宋"/>
          <w:b/>
          <w:sz w:val="28"/>
          <w:szCs w:val="28"/>
        </w:rPr>
        <w:t xml:space="preserve">  </w:t>
      </w:r>
      <w:r>
        <w:rPr>
          <w:rFonts w:hint="eastAsia" w:ascii="仿宋" w:hAnsi="仿宋" w:eastAsia="仿宋"/>
          <w:bCs/>
          <w:sz w:val="28"/>
          <w:szCs w:val="28"/>
        </w:rPr>
        <w:t>8月-</w:t>
      </w:r>
      <w:r>
        <w:rPr>
          <w:rFonts w:ascii="仿宋" w:hAnsi="仿宋" w:eastAsia="仿宋"/>
          <w:bCs/>
          <w:sz w:val="28"/>
          <w:szCs w:val="28"/>
        </w:rPr>
        <w:t>10</w:t>
      </w:r>
      <w:r>
        <w:rPr>
          <w:rFonts w:hint="eastAsia" w:ascii="仿宋" w:hAnsi="仿宋" w:eastAsia="仿宋"/>
          <w:bCs/>
          <w:sz w:val="28"/>
          <w:szCs w:val="28"/>
        </w:rPr>
        <w:t>月，编写组查阅国内外相关资料，结合实地调研和试验分析数据，完成标准草稿；1</w:t>
      </w:r>
      <w:r>
        <w:rPr>
          <w:rFonts w:ascii="仿宋" w:hAnsi="仿宋" w:eastAsia="仿宋"/>
          <w:bCs/>
          <w:sz w:val="28"/>
          <w:szCs w:val="28"/>
        </w:rPr>
        <w:t>1</w:t>
      </w:r>
      <w:r>
        <w:rPr>
          <w:rFonts w:hint="eastAsia" w:ascii="仿宋" w:hAnsi="仿宋" w:eastAsia="仿宋"/>
          <w:bCs/>
          <w:sz w:val="28"/>
          <w:szCs w:val="28"/>
        </w:rPr>
        <w:t>月组织第二次会议，对标准草稿进行了讨论，经再次修改完善后，形成标准征求意见稿。</w:t>
      </w:r>
    </w:p>
    <w:p>
      <w:pPr>
        <w:rPr>
          <w:rFonts w:ascii="仿宋" w:hAnsi="仿宋" w:eastAsia="仿宋"/>
          <w:b/>
          <w:sz w:val="28"/>
          <w:szCs w:val="28"/>
        </w:rPr>
      </w:pPr>
      <w:r>
        <w:rPr>
          <w:rFonts w:hint="eastAsia" w:ascii="仿宋" w:hAnsi="仿宋" w:eastAsia="仿宋"/>
          <w:b/>
          <w:sz w:val="28"/>
          <w:szCs w:val="28"/>
        </w:rPr>
        <w:t xml:space="preserve"> </w:t>
      </w:r>
      <w:r>
        <w:rPr>
          <w:rFonts w:ascii="仿宋" w:hAnsi="仿宋" w:eastAsia="仿宋"/>
          <w:b/>
          <w:sz w:val="28"/>
          <w:szCs w:val="28"/>
        </w:rPr>
        <w:t xml:space="preserve">   </w:t>
      </w:r>
    </w:p>
    <w:p>
      <w:pPr>
        <w:rPr>
          <w:rFonts w:ascii="仿宋" w:hAnsi="仿宋" w:eastAsia="仿宋"/>
          <w:b/>
          <w:sz w:val="28"/>
          <w:szCs w:val="28"/>
        </w:rPr>
      </w:pPr>
      <w:r>
        <w:rPr>
          <w:rFonts w:hint="eastAsia" w:ascii="仿宋" w:hAnsi="仿宋" w:eastAsia="仿宋"/>
          <w:b/>
          <w:sz w:val="28"/>
          <w:szCs w:val="28"/>
        </w:rPr>
        <w:t>四、制定标准的原则和依据，与现行法律、法规、标准的关系</w:t>
      </w:r>
    </w:p>
    <w:p>
      <w:pPr>
        <w:ind w:firstLine="562" w:firstLineChars="200"/>
        <w:jc w:val="left"/>
        <w:rPr>
          <w:rFonts w:ascii="Times New Roman" w:hAnsi="Times New Roman" w:eastAsia="仿宋" w:cs="Times New Roman"/>
          <w:b/>
          <w:sz w:val="28"/>
          <w:szCs w:val="28"/>
        </w:rPr>
      </w:pPr>
      <w:r>
        <w:rPr>
          <w:rFonts w:ascii="Times New Roman" w:hAnsi="Times New Roman" w:eastAsia="仿宋" w:cs="Times New Roman"/>
          <w:b/>
          <w:color w:val="000000"/>
          <w:sz w:val="28"/>
          <w:szCs w:val="28"/>
        </w:rPr>
        <w:t>1、编制</w:t>
      </w:r>
      <w:r>
        <w:rPr>
          <w:rFonts w:ascii="Times New Roman" w:hAnsi="Times New Roman" w:eastAsia="仿宋" w:cs="Times New Roman"/>
          <w:b/>
          <w:sz w:val="28"/>
          <w:szCs w:val="28"/>
        </w:rPr>
        <w:t>原则</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标准编制遵循“科学性、实用性、可操作性、经济性”等原则。参考大量已有标准，结合该项目实际情况，编制适用于草原区露天煤矿排土场恢复生态系统质量评估的一个实用性强，可操作性强的技术方法。</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2、编制依据</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本标准编制依据《HJ 1168 全国生态状况调查评估技术规范——草地生态系统野外观测》、《NY/T 1233 草原资源与生态监测技术规程》、《NY/T 1121 土壤检测》、《TD/T 1036 土地复垦质量控制标准》等相关行业标准，及《DB15/T 1252 草原区露天煤矿排土场植被恢复技术规范》、《DB15/T 2378 草原区露天矿山废弃地生态修复技术规范》、《DB15/T 2381 草原生态修复工程实施效果监测技术规程》等地方标准，参考其中内容对相关质量指标及评估方法进行选取。本标准按照GB/T 1.1—2020《标准化工作导则  第1部分：标准化文件的结构和起草规则》的规定起草。</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3、与现行法律、法规、标准的关系</w:t>
      </w:r>
    </w:p>
    <w:p>
      <w:pPr>
        <w:ind w:firstLine="560" w:firstLineChars="200"/>
        <w:rPr>
          <w:rFonts w:ascii="Times New Roman" w:hAnsi="Times New Roman" w:eastAsia="仿宋" w:cs="Times New Roman"/>
          <w:color w:val="FF0000"/>
          <w:sz w:val="28"/>
          <w:szCs w:val="28"/>
        </w:rPr>
      </w:pPr>
      <w:r>
        <w:rPr>
          <w:rFonts w:ascii="Times New Roman" w:hAnsi="Times New Roman" w:eastAsia="仿宋" w:cs="Times New Roman"/>
          <w:sz w:val="28"/>
          <w:szCs w:val="28"/>
        </w:rPr>
        <w:t>本标准在编制过程中，没有出现与现行有关法律、法规和国家、行业、地方标准相违背的情况。</w:t>
      </w:r>
    </w:p>
    <w:p>
      <w:pPr>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4、与现行相关标准的联系</w:t>
      </w:r>
    </w:p>
    <w:p>
      <w:pPr>
        <w:ind w:firstLine="560" w:firstLineChars="200"/>
        <w:rPr>
          <w:rFonts w:ascii="仿宋" w:hAnsi="仿宋" w:eastAsia="仿宋"/>
          <w:color w:val="FF0000"/>
          <w:sz w:val="28"/>
          <w:szCs w:val="28"/>
        </w:rPr>
      </w:pPr>
      <w:r>
        <w:rPr>
          <w:rFonts w:ascii="Times New Roman" w:hAnsi="Times New Roman" w:eastAsia="仿宋" w:cs="Times New Roman"/>
          <w:sz w:val="28"/>
          <w:szCs w:val="28"/>
        </w:rPr>
        <w:t>在国家能源局2021年发布的“露天煤矿土地复垦质量监测技术规程”（NB/T 10532）中，规定了露天煤矿土地复垦质量检测的一般要求、监测指标和监测方法等，只对生态系统土壤部分进行了质量检测。在生态环境部2021年发布的“全国生态状况调查评估技术规范——生态系统质量评估”（HJ 1172）中，规定了区域自然生态系统质量评估技术流程、指标与方法和生态系统质量分级等，利用几个植被指标的遥感数据进行了生态系统的质量评估。其他地方标准中，北京市市场监督管理局2021年发布的“生态环境质量评价技术规范”（DB11/T 1877）在重点生态工程中对矿山生态修复工程提出了生态环境质量评价指标体系与评价方法，为本标准的制定提供了一定的参考价值。但目前尚没有适合草原矿区的生态系统质量综合评价标准和方法，有待制定。</w:t>
      </w:r>
    </w:p>
    <w:p>
      <w:pPr>
        <w:ind w:firstLine="562" w:firstLineChars="200"/>
        <w:rPr>
          <w:rFonts w:ascii="仿宋" w:hAnsi="仿宋" w:eastAsia="仿宋"/>
          <w:b/>
          <w:sz w:val="28"/>
          <w:szCs w:val="28"/>
        </w:rPr>
      </w:pPr>
      <w:r>
        <w:rPr>
          <w:rFonts w:hint="eastAsia" w:ascii="仿宋" w:hAnsi="仿宋" w:eastAsia="仿宋"/>
          <w:b/>
          <w:sz w:val="28"/>
          <w:szCs w:val="28"/>
        </w:rPr>
        <w:t>五、主要条款的说明，主要技术指标、参数、试验验证的论述</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1、主要条款说明</w:t>
      </w:r>
    </w:p>
    <w:p>
      <w:pPr>
        <w:pStyle w:val="13"/>
        <w:numPr>
          <w:ilvl w:val="2"/>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1.草原区露天煤矿排土场生态修复质量评价植被指标</w:t>
      </w:r>
    </w:p>
    <w:p>
      <w:pPr>
        <w:pStyle w:val="15"/>
        <w:numPr>
          <w:ilvl w:val="3"/>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1.1植被样方设置</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在排土场生态修复区域和参照生态系统区域内，依据典型性原则，选择能够代表整个样地植被及土壤等特征的地段设置样地，在每个样地内随机设置 5 个以上 1m × 1m 的样方进行植物群落调查。</w:t>
      </w:r>
    </w:p>
    <w:p>
      <w:pPr>
        <w:pStyle w:val="15"/>
        <w:numPr>
          <w:ilvl w:val="3"/>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1.2植被指标测定方法</w:t>
      </w:r>
    </w:p>
    <w:p>
      <w:pPr>
        <w:pStyle w:val="16"/>
        <w:numPr>
          <w:ilvl w:val="4"/>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1.2.1地上生物量</w:t>
      </w:r>
    </w:p>
    <w:p>
      <w:pPr>
        <w:pStyle w:val="12"/>
        <w:ind w:firstLine="560"/>
        <w:rPr>
          <w:rFonts w:ascii="仿宋" w:hAnsi="仿宋" w:eastAsia="仿宋" w:cstheme="minorBidi"/>
          <w:kern w:val="2"/>
          <w:sz w:val="28"/>
          <w:szCs w:val="28"/>
        </w:rPr>
      </w:pPr>
      <w:r>
        <w:rPr>
          <w:rFonts w:hint="eastAsia" w:ascii="仿宋" w:hAnsi="仿宋" w:eastAsia="仿宋" w:cstheme="minorBidi"/>
          <w:kern w:val="2"/>
          <w:sz w:val="28"/>
          <w:szCs w:val="28"/>
        </w:rPr>
        <w:t>地上生物量测定依据 HJ 1168 相关要求执行。</w:t>
      </w:r>
    </w:p>
    <w:p>
      <w:pPr>
        <w:pStyle w:val="16"/>
        <w:numPr>
          <w:ilvl w:val="4"/>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1.2.2高度</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包括植物叶层和生殖枝的自然高度。具体依据 NY/T 1233 相关要求执行。</w:t>
      </w:r>
    </w:p>
    <w:p>
      <w:pPr>
        <w:pStyle w:val="16"/>
        <w:numPr>
          <w:ilvl w:val="4"/>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1.2.3盖度</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指样方内各种植物投影覆盖地表面积的百分数。具体依据 NY/T 1233 相关要求执行。</w:t>
      </w:r>
    </w:p>
    <w:p>
      <w:pPr>
        <w:pStyle w:val="16"/>
        <w:numPr>
          <w:ilvl w:val="4"/>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1.2.4密度</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指单位面积上的植物个体数，测定样方内各物种的个体数量。</w:t>
      </w:r>
    </w:p>
    <w:p>
      <w:pPr>
        <w:pStyle w:val="16"/>
        <w:numPr>
          <w:ilvl w:val="4"/>
          <w:numId w:val="0"/>
        </w:numPr>
        <w:spacing w:before="156" w:after="156"/>
        <w:ind w:firstLine="562" w:firstLineChars="200"/>
        <w:rPr>
          <w:rFonts w:ascii="仿宋" w:hAnsi="仿宋" w:eastAsia="仿宋" w:cstheme="minorBidi"/>
          <w:b/>
          <w:bCs/>
          <w:kern w:val="2"/>
          <w:sz w:val="28"/>
          <w:szCs w:val="28"/>
        </w:rPr>
      </w:pPr>
      <w:r>
        <w:rPr>
          <w:rFonts w:hint="eastAsia" w:ascii="仿宋" w:hAnsi="仿宋" w:eastAsia="仿宋" w:cstheme="minorBidi"/>
          <w:b/>
          <w:bCs/>
          <w:kern w:val="2"/>
          <w:sz w:val="28"/>
          <w:szCs w:val="28"/>
        </w:rPr>
        <w:t>1.2.5频度</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指某种植物在样方内出现的次数。具体依据 NY/T 1233 相关要求执行。</w:t>
      </w:r>
    </w:p>
    <w:p>
      <w:pPr>
        <w:pStyle w:val="16"/>
        <w:numPr>
          <w:ilvl w:val="4"/>
          <w:numId w:val="0"/>
        </w:numPr>
        <w:spacing w:before="156" w:after="156"/>
        <w:ind w:firstLine="562" w:firstLineChars="200"/>
        <w:rPr>
          <w:rFonts w:ascii="仿宋" w:hAnsi="仿宋" w:eastAsia="仿宋" w:cstheme="minorBidi"/>
          <w:b/>
          <w:bCs/>
          <w:kern w:val="2"/>
          <w:sz w:val="28"/>
          <w:szCs w:val="28"/>
        </w:rPr>
      </w:pPr>
      <w:bookmarkStart w:id="0" w:name="_GoBack"/>
      <w:bookmarkEnd w:id="0"/>
      <w:r>
        <w:rPr>
          <w:rFonts w:hint="eastAsia" w:ascii="仿宋" w:hAnsi="仿宋" w:eastAsia="仿宋" w:cstheme="minorBidi"/>
          <w:b/>
          <w:bCs/>
          <w:kern w:val="2"/>
          <w:sz w:val="28"/>
          <w:szCs w:val="28"/>
        </w:rPr>
        <w:t>1.2.6物种数量</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测定样方内物种的数量。</w:t>
      </w:r>
    </w:p>
    <w:p>
      <w:pPr>
        <w:pStyle w:val="13"/>
        <w:numPr>
          <w:ilvl w:val="2"/>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2.草原区露天煤矿排土场生态修复质量评价土壤指标</w:t>
      </w:r>
    </w:p>
    <w:p>
      <w:pPr>
        <w:pStyle w:val="15"/>
        <w:numPr>
          <w:ilvl w:val="3"/>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2.1土壤样品的采集</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在评价区与生态参照区依据 HJ 1168 设置土壤样方。土壤样品的采集、处理和贮存按照 NY/T 1121.1 规定的方法进行。</w:t>
      </w:r>
    </w:p>
    <w:p>
      <w:pPr>
        <w:pStyle w:val="15"/>
        <w:numPr>
          <w:ilvl w:val="3"/>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2.2土壤指标测定方法</w:t>
      </w:r>
    </w:p>
    <w:p>
      <w:pPr>
        <w:pStyle w:val="16"/>
        <w:numPr>
          <w:ilvl w:val="4"/>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2.2.1土壤容重</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具体依据 NY/T 1121.4 相关要求执行。</w:t>
      </w:r>
    </w:p>
    <w:p>
      <w:pPr>
        <w:pStyle w:val="16"/>
        <w:numPr>
          <w:ilvl w:val="4"/>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2.2.2有效土层厚度</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具体依据 NB/T 10532 相关要求执行。</w:t>
      </w:r>
    </w:p>
    <w:p>
      <w:pPr>
        <w:pStyle w:val="16"/>
        <w:numPr>
          <w:ilvl w:val="4"/>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2.2.3土壤pH</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具体依据 NY/T 1121.2 相关要求执行。</w:t>
      </w:r>
    </w:p>
    <w:p>
      <w:pPr>
        <w:pStyle w:val="16"/>
        <w:numPr>
          <w:ilvl w:val="4"/>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2.2.4土壤有机质</w:t>
      </w:r>
    </w:p>
    <w:p>
      <w:pPr>
        <w:pStyle w:val="9"/>
        <w:ind w:firstLine="560"/>
        <w:rPr>
          <w:rFonts w:ascii="仿宋" w:hAnsi="仿宋" w:eastAsia="仿宋" w:cstheme="minorBidi"/>
          <w:kern w:val="2"/>
          <w:sz w:val="28"/>
          <w:szCs w:val="28"/>
        </w:rPr>
      </w:pPr>
      <w:r>
        <w:rPr>
          <w:rFonts w:hint="eastAsia" w:ascii="仿宋" w:hAnsi="仿宋" w:eastAsia="仿宋" w:cstheme="minorBidi"/>
          <w:kern w:val="2"/>
          <w:sz w:val="28"/>
          <w:szCs w:val="28"/>
        </w:rPr>
        <w:t>具体依据 NY/T 1121.6 相关要求执行。</w:t>
      </w:r>
    </w:p>
    <w:p>
      <w:pPr>
        <w:pStyle w:val="13"/>
        <w:numPr>
          <w:ilvl w:val="2"/>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3.草原区露天煤矿排土场恢复生态系统质量评估方法</w:t>
      </w:r>
    </w:p>
    <w:p>
      <w:pPr>
        <w:pStyle w:val="15"/>
        <w:numPr>
          <w:ilvl w:val="3"/>
          <w:numId w:val="0"/>
        </w:numPr>
        <w:spacing w:before="156" w:after="156"/>
        <w:rPr>
          <w:rFonts w:ascii="仿宋" w:hAnsi="仿宋" w:eastAsia="仿宋" w:cstheme="minorBidi"/>
          <w:b/>
          <w:bCs/>
          <w:kern w:val="2"/>
          <w:sz w:val="28"/>
          <w:szCs w:val="28"/>
        </w:rPr>
      </w:pPr>
      <w:r>
        <w:rPr>
          <w:rFonts w:hint="eastAsia" w:ascii="仿宋" w:hAnsi="仿宋" w:eastAsia="仿宋" w:cstheme="minorBidi"/>
          <w:b/>
          <w:bCs/>
          <w:kern w:val="2"/>
          <w:sz w:val="28"/>
          <w:szCs w:val="28"/>
        </w:rPr>
        <w:t>3.1植被质量评估方法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以选取的参照生态系统植被指标作为最大参照值，依次计算排土场评估区域的植被指标值与其最大参照值的比值，得到该指标的相对参数，相对参数越接近1代表该评估区域该指标参数越接近参照值。具体计算方法按公式（1）：</w:t>
      </w:r>
    </w:p>
    <w:p>
      <w:pPr>
        <w:pStyle w:val="9"/>
        <w:ind w:firstLine="560"/>
        <w:jc w:val="right"/>
        <w:rPr>
          <w:rFonts w:ascii="Times New Roman" w:hAnsi="Times New Roman" w:eastAsia="仿宋"/>
          <w:kern w:val="2"/>
          <w:sz w:val="28"/>
          <w:szCs w:val="28"/>
        </w:rPr>
      </w:pPr>
      <w:r>
        <w:rPr>
          <w:rFonts w:ascii="Times New Roman" w:hAnsi="Times New Roman" w:eastAsia="仿宋"/>
          <w:kern w:val="2"/>
          <w:sz w:val="28"/>
          <w:szCs w:val="28"/>
        </w:rPr>
        <w:object>
          <v:shape id="_x0000_i1025" o:spt="75" type="#_x0000_t75" style="height:34.15pt;width:52.15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r>
        <w:rPr>
          <w:rFonts w:ascii="Times New Roman" w:hAnsi="Times New Roman" w:eastAsia="仿宋"/>
          <w:kern w:val="2"/>
          <w:sz w:val="28"/>
          <w:szCs w:val="28"/>
        </w:rPr>
        <w:t xml:space="preserve">                              （1）</w:t>
      </w:r>
    </w:p>
    <w:p>
      <w:pPr>
        <w:rPr>
          <w:rFonts w:ascii="Times New Roman" w:hAnsi="Times New Roman" w:eastAsia="仿宋" w:cs="Times New Roman"/>
          <w:sz w:val="28"/>
          <w:szCs w:val="28"/>
        </w:rPr>
      </w:pPr>
      <w:r>
        <w:rPr>
          <w:rFonts w:ascii="Times New Roman" w:hAnsi="Times New Roman" w:eastAsia="仿宋" w:cs="Times New Roman"/>
          <w:sz w:val="28"/>
          <w:szCs w:val="28"/>
        </w:rPr>
        <w:t>式中：Ri —— 为第i类植被指标的相对参数；</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Fi —— 为第i类植被指标在评估区的参数值；</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Fmax i —— 为第i类植被指标在参照区的参数值。</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依照此方法，对地上生物量、高度、盖度、密度、频度、物种数量指标计算相对参数。</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将指标相对参数值转换为统一的无量纲的指标，用1 ~ 0表示优劣，归一化具体方法按公式（2）：</w:t>
      </w:r>
    </w:p>
    <w:p>
      <w:pPr>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object>
          <v:shape id="_x0000_i1026" o:spt="75" type="#_x0000_t75" style="height:34.15pt;width:115.15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6">
            <o:LockedField>false</o:LockedField>
          </o:OLEObject>
        </w:object>
      </w:r>
      <w:r>
        <w:rPr>
          <w:rFonts w:ascii="Times New Roman" w:hAnsi="Times New Roman" w:eastAsia="仿宋" w:cs="Times New Roman"/>
          <w:sz w:val="28"/>
          <w:szCs w:val="28"/>
        </w:rPr>
        <w:t xml:space="preserve">                        （2）</w:t>
      </w:r>
    </w:p>
    <w:p>
      <w:pPr>
        <w:rPr>
          <w:rFonts w:ascii="Times New Roman" w:hAnsi="Times New Roman" w:eastAsia="仿宋" w:cs="Times New Roman"/>
          <w:sz w:val="28"/>
          <w:szCs w:val="28"/>
        </w:rPr>
      </w:pPr>
      <w:r>
        <w:rPr>
          <w:rFonts w:ascii="Times New Roman" w:hAnsi="Times New Roman" w:eastAsia="仿宋" w:cs="Times New Roman"/>
          <w:sz w:val="28"/>
          <w:szCs w:val="28"/>
        </w:rPr>
        <w:t>式中：Pi —— 为归一化处理后指数；</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Ri —— 为原指数。</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计算修复生态系统的植被质量，以反应生态系统植被的整体情况，具体计算方法按公式（3）：</w:t>
      </w:r>
    </w:p>
    <w:p>
      <w:pPr>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object>
          <v:shape id="_x0000_i1027" o:spt="75" type="#_x0000_t75" style="height:34.5pt;width:70.15pt;" o:ole="t" filled="f" o:preferrelative="t" stroked="f" coordsize="21600,21600">
            <v:path/>
            <v:fill on="f" focussize="0,0"/>
            <v:stroke on="f" joinstyle="miter"/>
            <v:imagedata r:id="rId9" o:title=""/>
            <o:lock v:ext="edit" aspectratio="t"/>
            <w10:wrap type="none"/>
            <w10:anchorlock/>
          </v:shape>
          <o:OLEObject Type="Embed" ProgID="Equation.KSEE3" ShapeID="_x0000_i1027" DrawAspect="Content" ObjectID="_1468075727" r:id="rId8">
            <o:LockedField>false</o:LockedField>
          </o:OLEObject>
        </w:object>
      </w:r>
      <w:r>
        <w:rPr>
          <w:rFonts w:ascii="Times New Roman" w:hAnsi="Times New Roman" w:eastAsia="仿宋" w:cs="Times New Roman"/>
          <w:sz w:val="28"/>
          <w:szCs w:val="28"/>
        </w:rPr>
        <w:t xml:space="preserve">                           （3）</w:t>
      </w:r>
    </w:p>
    <w:p>
      <w:pPr>
        <w:rPr>
          <w:rFonts w:ascii="Times New Roman" w:hAnsi="Times New Roman" w:eastAsia="仿宋" w:cs="Times New Roman"/>
          <w:sz w:val="28"/>
          <w:szCs w:val="28"/>
        </w:rPr>
      </w:pPr>
      <w:r>
        <w:rPr>
          <w:rFonts w:ascii="Times New Roman" w:hAnsi="Times New Roman" w:eastAsia="仿宋" w:cs="Times New Roman"/>
          <w:sz w:val="28"/>
          <w:szCs w:val="28"/>
        </w:rPr>
        <w:t>式中：PQI ——为评估区生态系统植物质量指数；</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Pi —— 为第i类植被指标归一化后数值；</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n —— 为选取的植被指标数量（= 6）。</w:t>
      </w:r>
    </w:p>
    <w:p>
      <w:pPr>
        <w:pStyle w:val="15"/>
        <w:numPr>
          <w:ilvl w:val="3"/>
          <w:numId w:val="0"/>
        </w:numPr>
        <w:spacing w:before="156" w:after="156"/>
        <w:rPr>
          <w:rFonts w:ascii="Times New Roman" w:eastAsia="仿宋"/>
          <w:b/>
          <w:bCs/>
          <w:kern w:val="2"/>
          <w:sz w:val="28"/>
          <w:szCs w:val="28"/>
        </w:rPr>
      </w:pPr>
      <w:r>
        <w:rPr>
          <w:rFonts w:ascii="Times New Roman" w:eastAsia="仿宋"/>
          <w:b/>
          <w:bCs/>
          <w:kern w:val="2"/>
          <w:sz w:val="28"/>
          <w:szCs w:val="28"/>
        </w:rPr>
        <w:t>3.2土壤质量评估方法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以参照生态系统土壤指标作为最大参照值，依次计算排土场评估区域生态系统的土壤指标与其最大参照值的比值，得到该指标的相对参数，相对参数越接近1代表该评估区域该指标参数越接近参照值。具体计算方法按公式（4）：</w:t>
      </w:r>
    </w:p>
    <w:p>
      <w:pPr>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object>
          <v:shape id="_x0000_i1028" o:spt="75" type="#_x0000_t75" style="height:37.15pt;width:55.15pt;" o:ole="t" filled="f" o:preferrelative="t" stroked="f" coordsize="21600,21600">
            <v:path/>
            <v:fill on="f" focussize="0,0"/>
            <v:stroke on="f" joinstyle="miter"/>
            <v:imagedata r:id="rId11" o:title=""/>
            <o:lock v:ext="edit" aspectratio="t"/>
            <w10:wrap type="none"/>
            <w10:anchorlock/>
          </v:shape>
          <o:OLEObject Type="Embed" ProgID="Equation.KSEE3" ShapeID="_x0000_i1028" DrawAspect="Content" ObjectID="_1468075728" r:id="rId10">
            <o:LockedField>false</o:LockedField>
          </o:OLEObject>
        </w:object>
      </w:r>
      <w:r>
        <w:rPr>
          <w:rFonts w:ascii="Times New Roman" w:hAnsi="Times New Roman" w:eastAsia="仿宋" w:cs="Times New Roman"/>
          <w:sz w:val="28"/>
          <w:szCs w:val="28"/>
        </w:rPr>
        <w:t xml:space="preserve">                               （4）</w:t>
      </w:r>
    </w:p>
    <w:p>
      <w:pPr>
        <w:rPr>
          <w:rFonts w:ascii="Times New Roman" w:hAnsi="Times New Roman" w:eastAsia="仿宋" w:cs="Times New Roman"/>
          <w:sz w:val="28"/>
          <w:szCs w:val="28"/>
        </w:rPr>
      </w:pPr>
      <w:r>
        <w:rPr>
          <w:rFonts w:ascii="Times New Roman" w:hAnsi="Times New Roman" w:eastAsia="仿宋" w:cs="Times New Roman"/>
          <w:sz w:val="28"/>
          <w:szCs w:val="28"/>
        </w:rPr>
        <w:t>式中：Rj —— 为第j类土壤指标的相对参数；</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Fj —— 为第j类土壤指标在评估区的参数值，当Fj低于TD/T 1036控制标准时，Rj = 0；</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Fmax j —— 为第j类土壤指标在参照区的参数值。</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依照此方法，对土壤容重、有效土层厚度、土壤pH值、有机质含量指标计算相对参数。</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将指标相对参数值转换为统一的无量纲的指标，用1 ~ 0表示优劣，归一化具体方法按公式（5）：</w:t>
      </w:r>
    </w:p>
    <w:p>
      <w:pPr>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object>
          <v:shape id="_x0000_i1029" o:spt="75" type="#_x0000_t75" style="height:36pt;width:94.15pt;" o:ole="t" filled="f" o:preferrelative="t" stroked="f" coordsize="21600,21600">
            <v:path/>
            <v:fill on="f" focussize="0,0"/>
            <v:stroke on="f" joinstyle="miter"/>
            <v:imagedata r:id="rId13" o:title=""/>
            <o:lock v:ext="edit" aspectratio="t"/>
            <w10:wrap type="none"/>
            <w10:anchorlock/>
          </v:shape>
          <o:OLEObject Type="Embed" ProgID="Equation.KSEE3" ShapeID="_x0000_i1029" DrawAspect="Content" ObjectID="_1468075729" r:id="rId12">
            <o:LockedField>false</o:LockedField>
          </o:OLEObject>
        </w:object>
      </w:r>
      <w:r>
        <w:rPr>
          <w:rFonts w:ascii="Times New Roman" w:hAnsi="Times New Roman" w:eastAsia="仿宋" w:cs="Times New Roman"/>
          <w:sz w:val="28"/>
          <w:szCs w:val="28"/>
        </w:rPr>
        <w:t xml:space="preserve">                              （5）</w:t>
      </w:r>
    </w:p>
    <w:p>
      <w:pPr>
        <w:rPr>
          <w:rFonts w:ascii="Times New Roman" w:hAnsi="Times New Roman" w:eastAsia="仿宋" w:cs="Times New Roman"/>
          <w:sz w:val="28"/>
          <w:szCs w:val="28"/>
        </w:rPr>
      </w:pPr>
      <w:r>
        <w:rPr>
          <w:rFonts w:ascii="Times New Roman" w:hAnsi="Times New Roman" w:eastAsia="仿宋" w:cs="Times New Roman"/>
          <w:sz w:val="28"/>
          <w:szCs w:val="28"/>
        </w:rPr>
        <w:t>式中：Sj —— 为归一化处理后指数；</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Rj —— 为原指数；</w:t>
      </w:r>
    </w:p>
    <w:p>
      <w:pPr>
        <w:ind w:firstLine="840" w:firstLineChars="300"/>
        <w:rPr>
          <w:rFonts w:ascii="Times New Roman" w:hAnsi="Times New Roman" w:eastAsia="仿宋" w:cs="Times New Roman"/>
          <w:sz w:val="28"/>
          <w:szCs w:val="28"/>
        </w:rPr>
      </w:pPr>
      <w:r>
        <w:rPr>
          <w:rFonts w:ascii="Times New Roman" w:hAnsi="Times New Roman" w:eastAsia="仿宋" w:cs="Times New Roman"/>
          <w:sz w:val="28"/>
          <w:szCs w:val="28"/>
        </w:rPr>
        <w:object>
          <v:shape id="_x0000_i1030" o:spt="75" type="#_x0000_t75" style="height:21pt;width:16.15pt;" o:ole="t" filled="f" o:preferrelative="t" stroked="f" coordsize="21600,21600">
            <v:path/>
            <v:fill on="f" focussize="0,0"/>
            <v:stroke on="f" joinstyle="miter"/>
            <v:imagedata r:id="rId15" o:title=""/>
            <o:lock v:ext="edit" aspectratio="t"/>
            <w10:wrap type="none"/>
            <w10:anchorlock/>
          </v:shape>
          <o:OLEObject Type="Embed" ProgID="Equation.KSEE3" ShapeID="_x0000_i1030" DrawAspect="Content" ObjectID="_1468075730" r:id="rId14">
            <o:LockedField>false</o:LockedField>
          </o:OLEObject>
        </w:object>
      </w:r>
      <w:r>
        <w:rPr>
          <w:rFonts w:ascii="Times New Roman" w:hAnsi="Times New Roman" w:eastAsia="仿宋" w:cs="Times New Roman"/>
          <w:sz w:val="28"/>
          <w:szCs w:val="28"/>
        </w:rPr>
        <w:t xml:space="preserve"> —— 为每个土壤指标的平均值；</w:t>
      </w:r>
    </w:p>
    <w:p>
      <w:pPr>
        <w:ind w:firstLine="840" w:firstLineChars="300"/>
        <w:rPr>
          <w:rFonts w:ascii="Times New Roman" w:hAnsi="Times New Roman" w:eastAsia="仿宋" w:cs="Times New Roman"/>
          <w:sz w:val="28"/>
          <w:szCs w:val="28"/>
        </w:rPr>
      </w:pPr>
      <w:r>
        <w:rPr>
          <w:rFonts w:ascii="Times New Roman" w:hAnsi="Times New Roman" w:eastAsia="仿宋" w:cs="Times New Roman"/>
          <w:sz w:val="28"/>
          <w:szCs w:val="28"/>
        </w:rPr>
        <w:t>b —— 为斜率，当指标参数值大小与土壤质量呈正相关时，b取- 2.5；当其参数值大小与土壤质量呈负相关时，斜率b取2.5。</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计算修复生态系统的土壤质量指数，以反映生态系统土壤质量状况，具体计算方法按公式（6）：</w:t>
      </w:r>
    </w:p>
    <w:p>
      <w:pPr>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object>
          <v:shape id="_x0000_i1031" o:spt="75" type="#_x0000_t75" style="height:34.15pt;width:69pt;" o:ole="t" filled="f" o:preferrelative="t" stroked="f" coordsize="21600,21600">
            <v:path/>
            <v:fill on="f" focussize="0,0"/>
            <v:stroke on="f" joinstyle="miter"/>
            <v:imagedata r:id="rId17" o:title=""/>
            <o:lock v:ext="edit" aspectratio="t"/>
            <w10:wrap type="none"/>
            <w10:anchorlock/>
          </v:shape>
          <o:OLEObject Type="Embed" ProgID="Equation.KSEE3" ShapeID="_x0000_i1031" DrawAspect="Content" ObjectID="_1468075731" r:id="rId16">
            <o:LockedField>false</o:LockedField>
          </o:OLEObject>
        </w:object>
      </w:r>
      <w:r>
        <w:rPr>
          <w:rFonts w:ascii="Times New Roman" w:hAnsi="Times New Roman" w:eastAsia="仿宋" w:cs="Times New Roman"/>
          <w:sz w:val="28"/>
          <w:szCs w:val="28"/>
        </w:rPr>
        <w:t xml:space="preserve">                             （6）</w:t>
      </w:r>
    </w:p>
    <w:p>
      <w:pPr>
        <w:rPr>
          <w:rFonts w:ascii="Times New Roman" w:hAnsi="Times New Roman" w:eastAsia="仿宋" w:cs="Times New Roman"/>
          <w:sz w:val="28"/>
          <w:szCs w:val="28"/>
        </w:rPr>
      </w:pPr>
      <w:r>
        <w:rPr>
          <w:rFonts w:ascii="Times New Roman" w:hAnsi="Times New Roman" w:eastAsia="仿宋" w:cs="Times New Roman"/>
          <w:sz w:val="28"/>
          <w:szCs w:val="28"/>
        </w:rPr>
        <w:t>式中：SQI —— 为评估区生态系统土壤质量指数；</w:t>
      </w:r>
    </w:p>
    <w:p>
      <w:pPr>
        <w:ind w:firstLine="840" w:firstLineChars="300"/>
        <w:rPr>
          <w:rFonts w:ascii="Times New Roman" w:hAnsi="Times New Roman" w:eastAsia="仿宋" w:cs="Times New Roman"/>
          <w:sz w:val="28"/>
          <w:szCs w:val="28"/>
        </w:rPr>
      </w:pPr>
      <w:r>
        <w:rPr>
          <w:rFonts w:ascii="Times New Roman" w:hAnsi="Times New Roman" w:eastAsia="仿宋" w:cs="Times New Roman"/>
          <w:sz w:val="28"/>
          <w:szCs w:val="28"/>
        </w:rPr>
        <w:t>Sj —— 为第j类土壤指标归一化后数值；</w:t>
      </w:r>
    </w:p>
    <w:p>
      <w:pPr>
        <w:ind w:firstLine="840" w:firstLineChars="300"/>
        <w:rPr>
          <w:rFonts w:ascii="Times New Roman" w:hAnsi="Times New Roman" w:eastAsia="仿宋" w:cs="Times New Roman"/>
          <w:sz w:val="28"/>
          <w:szCs w:val="28"/>
        </w:rPr>
      </w:pPr>
      <w:r>
        <w:rPr>
          <w:rFonts w:ascii="Times New Roman" w:hAnsi="Times New Roman" w:eastAsia="仿宋" w:cs="Times New Roman"/>
          <w:sz w:val="28"/>
          <w:szCs w:val="28"/>
        </w:rPr>
        <w:t>n —— 为选取的土壤指标数量（= 4）。</w:t>
      </w:r>
    </w:p>
    <w:p>
      <w:pPr>
        <w:pStyle w:val="15"/>
        <w:numPr>
          <w:ilvl w:val="3"/>
          <w:numId w:val="0"/>
        </w:numPr>
        <w:spacing w:before="156" w:after="156"/>
        <w:rPr>
          <w:rFonts w:ascii="Times New Roman" w:eastAsia="仿宋"/>
          <w:b/>
          <w:bCs/>
          <w:kern w:val="2"/>
          <w:sz w:val="28"/>
          <w:szCs w:val="28"/>
        </w:rPr>
      </w:pPr>
      <w:r>
        <w:rPr>
          <w:rFonts w:ascii="Times New Roman" w:eastAsia="仿宋"/>
          <w:b/>
          <w:bCs/>
          <w:kern w:val="2"/>
          <w:sz w:val="28"/>
          <w:szCs w:val="28"/>
        </w:rPr>
        <w:t>3.3恢复生态系统综合质量评估方法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草原区露天煤矿排土场修复生态系统质量反映生态系统植被与土壤的整体况状，生态系统质量指数由植被质量指数与土壤质量指数组成，计算方法按公式（7）：</w:t>
      </w:r>
    </w:p>
    <w:p>
      <w:pPr>
        <w:ind w:firstLine="560" w:firstLineChars="200"/>
        <w:jc w:val="right"/>
        <w:rPr>
          <w:rFonts w:ascii="Times New Roman" w:hAnsi="Times New Roman" w:eastAsia="仿宋" w:cs="Times New Roman"/>
          <w:sz w:val="28"/>
          <w:szCs w:val="28"/>
        </w:rPr>
      </w:pPr>
      <w:r>
        <w:rPr>
          <w:rFonts w:ascii="Times New Roman" w:hAnsi="Times New Roman" w:eastAsia="仿宋" w:cs="Times New Roman"/>
          <w:sz w:val="28"/>
          <w:szCs w:val="28"/>
        </w:rPr>
        <w:object>
          <v:shape id="_x0000_i1032" o:spt="75" type="#_x0000_t75" style="height:31.15pt;width:117.75pt;" o:ole="t" filled="f" o:preferrelative="t" stroked="f" coordsize="21600,21600">
            <v:path/>
            <v:fill on="f" focussize="0,0"/>
            <v:stroke on="f" joinstyle="miter"/>
            <v:imagedata r:id="rId19" o:title=""/>
            <o:lock v:ext="edit" aspectratio="t"/>
            <w10:wrap type="none"/>
            <w10:anchorlock/>
          </v:shape>
          <o:OLEObject Type="Embed" ProgID="Equation.KSEE3" ShapeID="_x0000_i1032" DrawAspect="Content" ObjectID="_1468075732" r:id="rId18">
            <o:LockedField>false</o:LockedField>
          </o:OLEObject>
        </w:object>
      </w:r>
      <w:r>
        <w:rPr>
          <w:rFonts w:ascii="Times New Roman" w:hAnsi="Times New Roman" w:eastAsia="仿宋" w:cs="Times New Roman"/>
          <w:sz w:val="28"/>
          <w:szCs w:val="28"/>
        </w:rPr>
        <w:t xml:space="preserve">                         （7）</w:t>
      </w:r>
    </w:p>
    <w:p>
      <w:pPr>
        <w:rPr>
          <w:rFonts w:ascii="Times New Roman" w:hAnsi="Times New Roman" w:eastAsia="仿宋" w:cs="Times New Roman"/>
          <w:sz w:val="28"/>
          <w:szCs w:val="28"/>
        </w:rPr>
      </w:pPr>
      <w:r>
        <w:rPr>
          <w:rFonts w:ascii="Times New Roman" w:hAnsi="Times New Roman" w:eastAsia="仿宋" w:cs="Times New Roman"/>
          <w:sz w:val="28"/>
          <w:szCs w:val="28"/>
        </w:rPr>
        <w:t>式中：EQI —— 为草原区露天煤矿排土场修复生态系统质量指数。</w:t>
      </w:r>
    </w:p>
    <w:p>
      <w:pPr>
        <w:pStyle w:val="13"/>
        <w:numPr>
          <w:ilvl w:val="2"/>
          <w:numId w:val="0"/>
        </w:numPr>
        <w:spacing w:before="156" w:after="156"/>
        <w:rPr>
          <w:rFonts w:ascii="Times New Roman" w:eastAsia="仿宋"/>
          <w:b/>
          <w:bCs/>
          <w:kern w:val="2"/>
          <w:sz w:val="28"/>
          <w:szCs w:val="28"/>
        </w:rPr>
      </w:pPr>
      <w:r>
        <w:rPr>
          <w:rFonts w:ascii="Times New Roman" w:eastAsia="仿宋"/>
          <w:b/>
          <w:bCs/>
          <w:kern w:val="2"/>
          <w:sz w:val="28"/>
          <w:szCs w:val="28"/>
        </w:rPr>
        <w:t>4. 草原区露天煤矿排土场恢复生态系统质量分级</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根据修复生态系统质量评估结果，将生态系统分为5级，即优、良、中、低、差，具体可参照HJ 192实施，见表1。</w:t>
      </w:r>
    </w:p>
    <w:p>
      <w:pPr>
        <w:ind w:firstLine="420" w:firstLineChars="200"/>
        <w:jc w:val="center"/>
        <w:rPr>
          <w:rFonts w:ascii="Times New Roman" w:hAnsi="Times New Roman" w:eastAsia="仿宋" w:cs="Times New Roman"/>
          <w:sz w:val="24"/>
          <w:szCs w:val="24"/>
        </w:rPr>
      </w:pPr>
      <w:r>
        <w:rPr>
          <w:rFonts w:ascii="Times New Roman" w:hAnsi="Times New Roman" w:eastAsia="黑体" w:cs="Times New Roman"/>
        </w:rPr>
        <w:t>表1 草原区露天煤矿排土场修复生态系统质量分级</w:t>
      </w:r>
    </w:p>
    <w:tbl>
      <w:tblPr>
        <w:tblStyle w:val="5"/>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9"/>
        <w:gridCol w:w="1275"/>
        <w:gridCol w:w="1468"/>
        <w:gridCol w:w="1468"/>
        <w:gridCol w:w="1468"/>
        <w:gridCol w:w="1404"/>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689" w:type="dxa"/>
            <w:tcBorders>
              <w:bottom w:val="single" w:color="auto" w:sz="4" w:space="0"/>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级别</w:t>
            </w:r>
          </w:p>
        </w:tc>
        <w:tc>
          <w:tcPr>
            <w:tcW w:w="1370" w:type="dxa"/>
            <w:tcBorders>
              <w:bottom w:val="single" w:color="auto" w:sz="4" w:space="0"/>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优</w:t>
            </w:r>
          </w:p>
        </w:tc>
        <w:tc>
          <w:tcPr>
            <w:tcW w:w="1529" w:type="dxa"/>
            <w:tcBorders>
              <w:bottom w:val="single" w:color="auto" w:sz="4" w:space="0"/>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良</w:t>
            </w:r>
          </w:p>
        </w:tc>
        <w:tc>
          <w:tcPr>
            <w:tcW w:w="1529" w:type="dxa"/>
            <w:tcBorders>
              <w:bottom w:val="single" w:color="auto" w:sz="4" w:space="0"/>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中</w:t>
            </w:r>
          </w:p>
        </w:tc>
        <w:tc>
          <w:tcPr>
            <w:tcW w:w="1529" w:type="dxa"/>
            <w:tcBorders>
              <w:bottom w:val="single" w:color="auto" w:sz="4" w:space="0"/>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低</w:t>
            </w:r>
          </w:p>
        </w:tc>
        <w:tc>
          <w:tcPr>
            <w:tcW w:w="1530" w:type="dxa"/>
            <w:tcBorders>
              <w:bottom w:val="single" w:color="auto" w:sz="4" w:space="0"/>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差</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1689" w:type="dxa"/>
            <w:tcBorders>
              <w:top w:val="single" w:color="auto" w:sz="4" w:space="0"/>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生态系统质量</w:t>
            </w:r>
          </w:p>
          <w:p>
            <w:pPr>
              <w:spacing w:after="80"/>
              <w:jc w:val="center"/>
              <w:rPr>
                <w:rFonts w:ascii="Times New Roman" w:hAnsi="Times New Roman" w:cs="Times New Roman"/>
                <w:kern w:val="0"/>
                <w:szCs w:val="20"/>
              </w:rPr>
            </w:pPr>
            <w:r>
              <w:rPr>
                <w:rFonts w:ascii="Times New Roman" w:hAnsi="Times New Roman" w:cs="Times New Roman"/>
                <w:kern w:val="0"/>
                <w:szCs w:val="20"/>
              </w:rPr>
              <w:t>指数</w:t>
            </w:r>
          </w:p>
        </w:tc>
        <w:tc>
          <w:tcPr>
            <w:tcW w:w="1370" w:type="dxa"/>
            <w:tcBorders>
              <w:top w:val="single" w:color="auto" w:sz="4" w:space="0"/>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EQI≥75</w:t>
            </w:r>
          </w:p>
        </w:tc>
        <w:tc>
          <w:tcPr>
            <w:tcW w:w="1529" w:type="dxa"/>
            <w:tcBorders>
              <w:top w:val="single" w:color="auto" w:sz="4" w:space="0"/>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55≤EQI&lt;75</w:t>
            </w:r>
          </w:p>
        </w:tc>
        <w:tc>
          <w:tcPr>
            <w:tcW w:w="1529" w:type="dxa"/>
            <w:tcBorders>
              <w:top w:val="single" w:color="auto" w:sz="4" w:space="0"/>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35≤EQI&lt;55</w:t>
            </w:r>
          </w:p>
        </w:tc>
        <w:tc>
          <w:tcPr>
            <w:tcW w:w="1529" w:type="dxa"/>
            <w:tcBorders>
              <w:top w:val="single" w:color="auto" w:sz="4" w:space="0"/>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20≤EQI&lt;35</w:t>
            </w:r>
          </w:p>
        </w:tc>
        <w:tc>
          <w:tcPr>
            <w:tcW w:w="1530" w:type="dxa"/>
            <w:tcBorders>
              <w:top w:val="single" w:color="auto" w:sz="4" w:space="0"/>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EQI&lt;20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689" w:type="dxa"/>
            <w:tcBorders>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分级描述</w:t>
            </w:r>
          </w:p>
        </w:tc>
        <w:tc>
          <w:tcPr>
            <w:tcW w:w="1370" w:type="dxa"/>
            <w:tcBorders>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生态系统质量为优</w:t>
            </w:r>
          </w:p>
        </w:tc>
        <w:tc>
          <w:tcPr>
            <w:tcW w:w="1529" w:type="dxa"/>
            <w:tcBorders>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生态系统质量良好</w:t>
            </w:r>
          </w:p>
        </w:tc>
        <w:tc>
          <w:tcPr>
            <w:tcW w:w="1529" w:type="dxa"/>
            <w:tcBorders>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生态系统质量中等</w:t>
            </w:r>
          </w:p>
        </w:tc>
        <w:tc>
          <w:tcPr>
            <w:tcW w:w="1529" w:type="dxa"/>
            <w:tcBorders>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生态系统质量较低</w:t>
            </w:r>
          </w:p>
        </w:tc>
        <w:tc>
          <w:tcPr>
            <w:tcW w:w="1530" w:type="dxa"/>
            <w:tcBorders>
              <w:tl2br w:val="nil"/>
              <w:tr2bl w:val="nil"/>
            </w:tcBorders>
            <w:vAlign w:val="center"/>
          </w:tcPr>
          <w:p>
            <w:pPr>
              <w:spacing w:after="80"/>
              <w:jc w:val="center"/>
              <w:rPr>
                <w:rFonts w:ascii="Times New Roman" w:hAnsi="Times New Roman" w:cs="Times New Roman"/>
                <w:kern w:val="0"/>
                <w:szCs w:val="20"/>
              </w:rPr>
            </w:pPr>
            <w:r>
              <w:rPr>
                <w:rFonts w:ascii="Times New Roman" w:hAnsi="Times New Roman" w:cs="Times New Roman"/>
                <w:kern w:val="0"/>
                <w:szCs w:val="20"/>
              </w:rPr>
              <w:t>生态系统质量较差</w:t>
            </w:r>
          </w:p>
        </w:tc>
      </w:tr>
    </w:tbl>
    <w:p>
      <w:pPr>
        <w:spacing w:line="440" w:lineRule="exact"/>
        <w:ind w:firstLine="560" w:firstLineChars="200"/>
        <w:rPr>
          <w:rFonts w:ascii="仿宋" w:hAnsi="仿宋" w:eastAsia="仿宋"/>
          <w:color w:val="FF0000"/>
          <w:sz w:val="28"/>
          <w:szCs w:val="28"/>
        </w:rPr>
      </w:pPr>
    </w:p>
    <w:p>
      <w:pPr>
        <w:spacing w:line="440" w:lineRule="exact"/>
        <w:rPr>
          <w:rFonts w:hAnsi="宋体"/>
          <w:b/>
          <w:sz w:val="24"/>
          <w:szCs w:val="24"/>
        </w:rPr>
      </w:pPr>
      <w:r>
        <w:rPr>
          <w:rFonts w:hint="eastAsia" w:hAnsi="宋体"/>
          <w:b/>
          <w:sz w:val="24"/>
          <w:szCs w:val="24"/>
        </w:rPr>
        <w:t>2、主要技术指标、参数、试验论证的论述</w:t>
      </w:r>
    </w:p>
    <w:p>
      <w:pPr>
        <w:spacing w:line="480" w:lineRule="exact"/>
        <w:rPr>
          <w:rFonts w:ascii="仿宋" w:hAnsi="仿宋" w:eastAsia="仿宋"/>
          <w:b/>
          <w:bCs/>
          <w:sz w:val="28"/>
          <w:szCs w:val="28"/>
        </w:rPr>
      </w:pPr>
      <w:r>
        <w:rPr>
          <w:rFonts w:hint="eastAsia" w:ascii="仿宋" w:hAnsi="仿宋" w:eastAsia="仿宋"/>
          <w:b/>
          <w:bCs/>
          <w:sz w:val="28"/>
          <w:szCs w:val="28"/>
        </w:rPr>
        <w:t>1.不同恢复年限对排土场修复生态系统植物群落的影响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随着恢复年限的增加，排土场修复生态系统群落高度、盖度、生物量逐年递增（见图 1），但群落高度和盖度在修复 15 年后有下降趋势，可能是由于草木樨等豆科植物种类和个体数下降，羊草等个体高度和盖度相对较低的禾本科在群落中占据了主导地位，物种多样性随恢复时间的下降也能从侧面反映出这一现象。群落盖度在恢复 10 年后优于参照生态系统区域，生物量在修复 5 年时接近对照水平。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采用植被群落数据以及该标准草案中提到的方法计算得到植物质量指数（见表 2）。</w:t>
      </w:r>
    </w:p>
    <w:p>
      <w:pPr>
        <w:spacing w:line="440" w:lineRule="exact"/>
        <w:ind w:firstLine="480" w:firstLineChars="200"/>
        <w:rPr>
          <w:rFonts w:ascii="仿宋" w:hAnsi="仿宋" w:eastAsia="仿宋" w:cs="Arial"/>
          <w:color w:val="000000"/>
          <w:sz w:val="24"/>
          <w:szCs w:val="28"/>
        </w:rPr>
      </w:pPr>
    </w:p>
    <w:p>
      <w:pPr>
        <w:jc w:val="center"/>
        <w:rPr>
          <w:rFonts w:ascii="仿宋" w:hAnsi="仿宋" w:eastAsia="仿宋" w:cs="Arial"/>
          <w:color w:val="000000"/>
          <w:sz w:val="24"/>
          <w:szCs w:val="28"/>
        </w:rPr>
      </w:pPr>
      <w:r>
        <w:rPr>
          <w:rFonts w:hint="eastAsia" w:ascii="仿宋" w:hAnsi="仿宋" w:eastAsia="仿宋" w:cs="Arial"/>
          <w:color w:val="000000"/>
          <w:sz w:val="24"/>
          <w:szCs w:val="28"/>
        </w:rPr>
        <w:drawing>
          <wp:inline distT="0" distB="0" distL="114300" distR="114300">
            <wp:extent cx="4212590" cy="3334385"/>
            <wp:effectExtent l="0" t="0" r="3810" b="571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20"/>
                    <a:stretch>
                      <a:fillRect/>
                    </a:stretch>
                  </pic:blipFill>
                  <pic:spPr>
                    <a:xfrm>
                      <a:off x="0" y="0"/>
                      <a:ext cx="4212590" cy="3334385"/>
                    </a:xfrm>
                    <a:prstGeom prst="rect">
                      <a:avLst/>
                    </a:prstGeom>
                  </pic:spPr>
                </pic:pic>
              </a:graphicData>
            </a:graphic>
          </wp:inline>
        </w:drawing>
      </w:r>
    </w:p>
    <w:p>
      <w:pPr>
        <w:jc w:val="center"/>
        <w:rPr>
          <w:rFonts w:ascii="仿宋" w:hAnsi="仿宋" w:eastAsia="仿宋" w:cs="Arial"/>
          <w:b/>
          <w:bCs/>
          <w:color w:val="000000"/>
          <w:sz w:val="22"/>
          <w:szCs w:val="24"/>
        </w:rPr>
      </w:pPr>
      <w:r>
        <w:rPr>
          <w:rFonts w:hint="eastAsia" w:ascii="仿宋" w:hAnsi="仿宋" w:eastAsia="仿宋" w:cs="Arial"/>
          <w:b/>
          <w:bCs/>
          <w:color w:val="000000"/>
          <w:sz w:val="22"/>
          <w:szCs w:val="24"/>
        </w:rPr>
        <w:t>图 1 排土场不同修复年限生态系统的群落高度</w:t>
      </w:r>
      <w:r>
        <w:rPr>
          <w:rFonts w:hint="eastAsia" w:ascii="Times New Roman" w:hAnsi="Times New Roman" w:eastAsia="仿宋" w:cs="Times New Roman"/>
          <w:b/>
          <w:bCs/>
          <w:color w:val="000000"/>
          <w:sz w:val="22"/>
          <w:szCs w:val="24"/>
        </w:rPr>
        <w:t>（A）</w:t>
      </w:r>
      <w:r>
        <w:rPr>
          <w:rFonts w:hint="eastAsia" w:ascii="仿宋" w:hAnsi="仿宋" w:eastAsia="仿宋" w:cs="Arial"/>
          <w:b/>
          <w:bCs/>
          <w:color w:val="000000"/>
          <w:sz w:val="22"/>
          <w:szCs w:val="24"/>
        </w:rPr>
        <w:t>、盖度</w:t>
      </w:r>
      <w:r>
        <w:rPr>
          <w:rFonts w:hint="eastAsia" w:ascii="Times New Roman" w:hAnsi="Times New Roman" w:eastAsia="仿宋" w:cs="Times New Roman"/>
          <w:b/>
          <w:bCs/>
          <w:color w:val="000000"/>
          <w:sz w:val="22"/>
          <w:szCs w:val="24"/>
        </w:rPr>
        <w:t>（B）</w:t>
      </w:r>
      <w:r>
        <w:rPr>
          <w:rFonts w:hint="eastAsia" w:ascii="仿宋" w:hAnsi="仿宋" w:eastAsia="仿宋" w:cs="Arial"/>
          <w:b/>
          <w:bCs/>
          <w:color w:val="000000"/>
          <w:sz w:val="22"/>
          <w:szCs w:val="24"/>
        </w:rPr>
        <w:t>、</w:t>
      </w:r>
    </w:p>
    <w:p>
      <w:pPr>
        <w:jc w:val="center"/>
        <w:rPr>
          <w:rFonts w:ascii="仿宋" w:hAnsi="仿宋" w:eastAsia="仿宋" w:cs="Arial"/>
          <w:b/>
          <w:bCs/>
          <w:color w:val="000000"/>
          <w:sz w:val="22"/>
          <w:szCs w:val="24"/>
        </w:rPr>
      </w:pPr>
      <w:r>
        <w:rPr>
          <w:rFonts w:hint="eastAsia" w:ascii="仿宋" w:hAnsi="仿宋" w:eastAsia="仿宋" w:cs="Arial"/>
          <w:b/>
          <w:bCs/>
          <w:color w:val="000000"/>
          <w:sz w:val="22"/>
          <w:szCs w:val="24"/>
        </w:rPr>
        <w:t>生物量</w:t>
      </w:r>
      <w:r>
        <w:rPr>
          <w:rFonts w:hint="eastAsia" w:ascii="Times New Roman" w:hAnsi="Times New Roman" w:eastAsia="仿宋" w:cs="Times New Roman"/>
          <w:b/>
          <w:bCs/>
          <w:color w:val="000000"/>
          <w:sz w:val="22"/>
          <w:szCs w:val="24"/>
        </w:rPr>
        <w:t>（C）</w:t>
      </w:r>
      <w:r>
        <w:rPr>
          <w:rFonts w:hint="eastAsia" w:ascii="仿宋" w:hAnsi="仿宋" w:eastAsia="仿宋" w:cs="Arial"/>
          <w:b/>
          <w:bCs/>
          <w:color w:val="000000"/>
          <w:sz w:val="22"/>
          <w:szCs w:val="24"/>
        </w:rPr>
        <w:t>、物种多样性</w:t>
      </w:r>
      <w:r>
        <w:rPr>
          <w:rFonts w:hint="eastAsia" w:ascii="Times New Roman" w:hAnsi="Times New Roman" w:eastAsia="仿宋" w:cs="Times New Roman"/>
          <w:b/>
          <w:bCs/>
          <w:color w:val="000000"/>
          <w:sz w:val="22"/>
          <w:szCs w:val="24"/>
        </w:rPr>
        <w:t>（D）</w:t>
      </w:r>
    </w:p>
    <w:p>
      <w:pPr>
        <w:rPr>
          <w:rFonts w:ascii="仿宋" w:hAnsi="仿宋" w:eastAsia="仿宋" w:cs="Arial"/>
          <w:color w:val="000000"/>
          <w:sz w:val="24"/>
          <w:szCs w:val="28"/>
        </w:rPr>
      </w:pPr>
    </w:p>
    <w:p>
      <w:pPr>
        <w:spacing w:line="360" w:lineRule="exact"/>
        <w:jc w:val="center"/>
        <w:rPr>
          <w:rFonts w:ascii="仿宋_GB2312" w:hAnsi="仿宋" w:eastAsia="仿宋_GB2312" w:cs="仿宋"/>
          <w:b/>
          <w:bCs/>
          <w:spacing w:val="6"/>
          <w:sz w:val="22"/>
        </w:rPr>
      </w:pPr>
      <w:r>
        <w:rPr>
          <w:rFonts w:hint="eastAsia" w:ascii="仿宋" w:hAnsi="仿宋" w:eastAsia="仿宋" w:cs="Arial"/>
          <w:b/>
          <w:bCs/>
          <w:color w:val="000000"/>
          <w:sz w:val="22"/>
          <w:szCs w:val="24"/>
        </w:rPr>
        <w:t xml:space="preserve">表 </w:t>
      </w:r>
      <w:r>
        <w:rPr>
          <w:rFonts w:hint="eastAsia" w:ascii="Times New Roman" w:hAnsi="Times New Roman" w:eastAsia="仿宋" w:cs="Times New Roman"/>
          <w:b/>
          <w:bCs/>
          <w:color w:val="000000"/>
          <w:sz w:val="22"/>
          <w:szCs w:val="24"/>
        </w:rPr>
        <w:t>2</w:t>
      </w:r>
      <w:r>
        <w:rPr>
          <w:rFonts w:hint="eastAsia" w:ascii="仿宋" w:hAnsi="仿宋" w:eastAsia="仿宋" w:cs="Arial"/>
          <w:b/>
          <w:bCs/>
          <w:color w:val="000000"/>
          <w:sz w:val="22"/>
          <w:szCs w:val="24"/>
        </w:rPr>
        <w:t xml:space="preserve"> 不同修复年份排土场的植物质量指数</w:t>
      </w:r>
    </w:p>
    <w:tbl>
      <w:tblPr>
        <w:tblStyle w:val="5"/>
        <w:tblW w:w="6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1320"/>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320" w:type="dxa"/>
            <w:tcBorders>
              <w:top w:val="single" w:color="auto" w:sz="8" w:space="0"/>
              <w:left w:val="nil"/>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修复年份</w:t>
            </w:r>
          </w:p>
        </w:tc>
        <w:tc>
          <w:tcPr>
            <w:tcW w:w="1320"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2019</w:t>
            </w:r>
          </w:p>
        </w:tc>
        <w:tc>
          <w:tcPr>
            <w:tcW w:w="1320"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2016</w:t>
            </w:r>
          </w:p>
        </w:tc>
        <w:tc>
          <w:tcPr>
            <w:tcW w:w="1320"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2011</w:t>
            </w:r>
          </w:p>
        </w:tc>
        <w:tc>
          <w:tcPr>
            <w:tcW w:w="1320" w:type="dxa"/>
            <w:tcBorders>
              <w:top w:val="single" w:color="auto" w:sz="8" w:space="0"/>
              <w:left w:val="nil"/>
              <w:right w:val="nil"/>
            </w:tcBorders>
            <w:vAlign w:val="center"/>
          </w:tcPr>
          <w:p>
            <w:pPr>
              <w:spacing w:after="80" w:line="360" w:lineRule="exact"/>
              <w:jc w:val="center"/>
              <w:rPr>
                <w:rFonts w:ascii="Times New Roman" w:hAnsi="Times New Roman" w:eastAsia="仿宋_GB2312" w:cs="Times New Roman"/>
                <w:sz w:val="24"/>
              </w:rPr>
            </w:pPr>
            <w:r>
              <w:rPr>
                <w:rFonts w:hint="eastAsia" w:ascii="Times New Roman" w:cs="Times New Roman"/>
                <w:sz w:val="24"/>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20" w:type="dxa"/>
            <w:tcBorders>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植物质量指数</w:t>
            </w:r>
          </w:p>
        </w:tc>
        <w:tc>
          <w:tcPr>
            <w:tcW w:w="1320" w:type="dxa"/>
            <w:tcBorders>
              <w:left w:val="nil"/>
              <w:bottom w:val="single" w:color="auto" w:sz="8" w:space="0"/>
              <w:right w:val="nil"/>
            </w:tcBorders>
            <w:vAlign w:val="center"/>
          </w:tcPr>
          <w:p>
            <w:pPr>
              <w:spacing w:after="80" w:line="360" w:lineRule="exact"/>
              <w:jc w:val="center"/>
              <w:rPr>
                <w:rFonts w:ascii="Times New Roman" w:hAnsi="Times New Roman" w:cs="Times New Roman"/>
                <w:sz w:val="24"/>
              </w:rPr>
            </w:pPr>
            <w:r>
              <w:rPr>
                <w:rFonts w:hint="eastAsia" w:ascii="Times New Roman" w:hAnsi="Times New Roman" w:eastAsia="宋体" w:cs="Times New Roman"/>
                <w:color w:val="000000"/>
                <w:kern w:val="0"/>
                <w:sz w:val="24"/>
                <w:szCs w:val="24"/>
                <w:lang w:bidi="ar"/>
              </w:rPr>
              <w:t>28.12</w:t>
            </w:r>
          </w:p>
        </w:tc>
        <w:tc>
          <w:tcPr>
            <w:tcW w:w="1320" w:type="dxa"/>
            <w:tcBorders>
              <w:left w:val="nil"/>
              <w:bottom w:val="single" w:color="auto" w:sz="8" w:space="0"/>
              <w:right w:val="nil"/>
            </w:tcBorders>
            <w:vAlign w:val="center"/>
          </w:tcPr>
          <w:p>
            <w:pPr>
              <w:spacing w:after="80" w:line="360" w:lineRule="exact"/>
              <w:jc w:val="center"/>
              <w:rPr>
                <w:rFonts w:ascii="Times New Roman" w:hAnsi="Times New Roman" w:cs="Times New Roman"/>
                <w:sz w:val="24"/>
              </w:rPr>
            </w:pPr>
            <w:r>
              <w:rPr>
                <w:rFonts w:hint="eastAsia" w:ascii="Times New Roman" w:hAnsi="Times New Roman" w:eastAsia="宋体" w:cs="Times New Roman"/>
                <w:color w:val="000000"/>
                <w:kern w:val="0"/>
                <w:sz w:val="24"/>
                <w:szCs w:val="24"/>
                <w:lang w:bidi="ar"/>
              </w:rPr>
              <w:t>45.86</w:t>
            </w:r>
          </w:p>
        </w:tc>
        <w:tc>
          <w:tcPr>
            <w:tcW w:w="1320" w:type="dxa"/>
            <w:tcBorders>
              <w:left w:val="nil"/>
              <w:bottom w:val="single" w:color="auto" w:sz="8" w:space="0"/>
              <w:right w:val="nil"/>
            </w:tcBorders>
            <w:vAlign w:val="center"/>
          </w:tcPr>
          <w:p>
            <w:pPr>
              <w:spacing w:after="80" w:line="360" w:lineRule="exact"/>
              <w:jc w:val="center"/>
              <w:rPr>
                <w:rFonts w:ascii="Times New Roman" w:hAnsi="Times New Roman" w:cs="Times New Roman"/>
                <w:sz w:val="24"/>
              </w:rPr>
            </w:pPr>
            <w:r>
              <w:rPr>
                <w:rFonts w:hint="eastAsia" w:ascii="Times New Roman" w:hAnsi="Times New Roman" w:cs="Times New Roman"/>
                <w:sz w:val="24"/>
              </w:rPr>
              <w:t>80.92</w:t>
            </w:r>
          </w:p>
        </w:tc>
        <w:tc>
          <w:tcPr>
            <w:tcW w:w="1320" w:type="dxa"/>
            <w:tcBorders>
              <w:left w:val="nil"/>
              <w:bottom w:val="single" w:color="auto" w:sz="8" w:space="0"/>
              <w:right w:val="nil"/>
            </w:tcBorders>
            <w:vAlign w:val="center"/>
          </w:tcPr>
          <w:p>
            <w:pPr>
              <w:spacing w:after="80" w:line="360" w:lineRule="exact"/>
              <w:jc w:val="center"/>
              <w:rPr>
                <w:rFonts w:ascii="Times New Roman" w:hAnsi="Times New Roman" w:eastAsia="宋体" w:cs="Times New Roman"/>
                <w:color w:val="000000"/>
                <w:kern w:val="0"/>
                <w:sz w:val="24"/>
                <w:szCs w:val="24"/>
                <w:lang w:bidi="ar"/>
              </w:rPr>
            </w:pPr>
            <w:r>
              <w:rPr>
                <w:rFonts w:hint="eastAsia" w:ascii="Times New Roman" w:eastAsia="宋体" w:cs="Times New Roman"/>
                <w:color w:val="000000"/>
                <w:kern w:val="0"/>
                <w:sz w:val="24"/>
                <w:szCs w:val="24"/>
                <w:lang w:bidi="ar"/>
              </w:rPr>
              <w:t>41.51</w:t>
            </w:r>
          </w:p>
        </w:tc>
      </w:tr>
    </w:tbl>
    <w:p>
      <w:pPr>
        <w:spacing w:line="440" w:lineRule="exact"/>
        <w:rPr>
          <w:rFonts w:ascii="仿宋" w:hAnsi="仿宋" w:eastAsia="仿宋" w:cs="Arial"/>
          <w:color w:val="000000"/>
          <w:sz w:val="24"/>
          <w:szCs w:val="28"/>
        </w:rPr>
      </w:pP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2.不同恢复年限对排土场修复生态系统土壤的影响</w:t>
      </w:r>
    </w:p>
    <w:p>
      <w:pPr>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0 -10 cm 土层土壤 pH 、有机质、全氮、有效磷含量随恢复年限的变化见图 2。</w:t>
      </w:r>
    </w:p>
    <w:p>
      <w:pPr>
        <w:spacing w:line="480" w:lineRule="exact"/>
        <w:ind w:firstLine="560" w:firstLineChars="200"/>
        <w:rPr>
          <w:rFonts w:ascii="仿宋" w:hAnsi="仿宋" w:eastAsia="仿宋"/>
          <w:sz w:val="28"/>
          <w:szCs w:val="28"/>
        </w:rPr>
      </w:pPr>
      <w:r>
        <w:rPr>
          <w:rFonts w:ascii="Times New Roman" w:hAnsi="Times New Roman" w:eastAsia="仿宋" w:cs="Times New Roman"/>
          <w:sz w:val="28"/>
          <w:szCs w:val="28"/>
        </w:rPr>
        <w:t>土壤 pH 随恢复年限的增加而降低，土壤有机质和有效磷含量随复垦年限的增加而增加，土壤全氮在修复 10 年时降低而后上升。土壤碱性的降低、土壤养分的增多均有利于植被的生长，为修复后生态系统的可持续发展奠定了基础。</w:t>
      </w:r>
    </w:p>
    <w:p>
      <w:pPr>
        <w:jc w:val="center"/>
        <w:rPr>
          <w:rFonts w:ascii="仿宋" w:hAnsi="仿宋" w:eastAsia="仿宋" w:cs="Arial"/>
          <w:color w:val="000000"/>
          <w:sz w:val="24"/>
          <w:szCs w:val="28"/>
        </w:rPr>
      </w:pPr>
      <w:r>
        <w:rPr>
          <w:rFonts w:hint="eastAsia" w:ascii="仿宋" w:hAnsi="仿宋" w:eastAsia="仿宋" w:cs="Arial"/>
          <w:color w:val="000000"/>
          <w:sz w:val="24"/>
          <w:szCs w:val="28"/>
        </w:rPr>
        <w:drawing>
          <wp:inline distT="0" distB="0" distL="114300" distR="114300">
            <wp:extent cx="4210685" cy="3390900"/>
            <wp:effectExtent l="0" t="0" r="5715"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21"/>
                    <a:stretch>
                      <a:fillRect/>
                    </a:stretch>
                  </pic:blipFill>
                  <pic:spPr>
                    <a:xfrm>
                      <a:off x="0" y="0"/>
                      <a:ext cx="4210685" cy="3390900"/>
                    </a:xfrm>
                    <a:prstGeom prst="rect">
                      <a:avLst/>
                    </a:prstGeom>
                  </pic:spPr>
                </pic:pic>
              </a:graphicData>
            </a:graphic>
          </wp:inline>
        </w:drawing>
      </w:r>
    </w:p>
    <w:p>
      <w:pPr>
        <w:jc w:val="center"/>
        <w:rPr>
          <w:rFonts w:ascii="仿宋" w:hAnsi="仿宋" w:eastAsia="仿宋" w:cs="仿宋"/>
          <w:b/>
          <w:bCs/>
          <w:color w:val="000000"/>
          <w:sz w:val="22"/>
          <w:szCs w:val="24"/>
        </w:rPr>
      </w:pPr>
      <w:r>
        <w:rPr>
          <w:rFonts w:hint="eastAsia" w:ascii="仿宋" w:hAnsi="仿宋" w:eastAsia="仿宋" w:cs="仿宋"/>
          <w:b/>
          <w:bCs/>
          <w:color w:val="000000"/>
          <w:sz w:val="22"/>
          <w:szCs w:val="24"/>
        </w:rPr>
        <w:t>图 2</w:t>
      </w:r>
      <w:r>
        <w:rPr>
          <w:rFonts w:hint="eastAsia" w:ascii="Times New Roman" w:hAnsi="Times New Roman" w:eastAsia="仿宋" w:cs="Times New Roman"/>
          <w:b/>
          <w:bCs/>
          <w:color w:val="000000"/>
          <w:sz w:val="22"/>
          <w:szCs w:val="24"/>
        </w:rPr>
        <w:t xml:space="preserve"> </w:t>
      </w:r>
      <w:r>
        <w:rPr>
          <w:rFonts w:hint="eastAsia" w:ascii="仿宋" w:hAnsi="仿宋" w:eastAsia="仿宋" w:cs="仿宋"/>
          <w:b/>
          <w:bCs/>
          <w:color w:val="000000"/>
          <w:sz w:val="22"/>
          <w:szCs w:val="24"/>
        </w:rPr>
        <w:t>排土场不同修复年限生态系统</w:t>
      </w:r>
      <w:r>
        <w:rPr>
          <w:rFonts w:hint="eastAsia" w:ascii="Times New Roman" w:hAnsi="Times New Roman" w:eastAsia="仿宋" w:cs="Times New Roman"/>
          <w:b/>
          <w:bCs/>
          <w:color w:val="000000"/>
          <w:sz w:val="22"/>
          <w:szCs w:val="24"/>
        </w:rPr>
        <w:t>0~10cm</w:t>
      </w:r>
      <w:r>
        <w:rPr>
          <w:rFonts w:hint="eastAsia" w:ascii="仿宋" w:hAnsi="仿宋" w:eastAsia="仿宋" w:cs="仿宋"/>
          <w:b/>
          <w:bCs/>
          <w:color w:val="000000"/>
          <w:sz w:val="22"/>
          <w:szCs w:val="24"/>
        </w:rPr>
        <w:t>土层的土壤</w:t>
      </w:r>
      <w:r>
        <w:rPr>
          <w:rFonts w:hint="eastAsia" w:ascii="Times New Roman" w:hAnsi="Times New Roman" w:eastAsia="仿宋" w:cs="Times New Roman"/>
          <w:b/>
          <w:bCs/>
          <w:color w:val="000000"/>
          <w:sz w:val="22"/>
          <w:szCs w:val="24"/>
        </w:rPr>
        <w:t>pH（A）</w:t>
      </w:r>
      <w:r>
        <w:rPr>
          <w:rFonts w:hint="eastAsia" w:ascii="仿宋" w:hAnsi="仿宋" w:eastAsia="仿宋" w:cs="仿宋"/>
          <w:b/>
          <w:bCs/>
          <w:color w:val="000000"/>
          <w:sz w:val="22"/>
          <w:szCs w:val="24"/>
        </w:rPr>
        <w:t>、有机质含量</w:t>
      </w:r>
      <w:r>
        <w:rPr>
          <w:rFonts w:hint="eastAsia" w:ascii="Times New Roman" w:hAnsi="Times New Roman" w:eastAsia="仿宋" w:cs="Times New Roman"/>
          <w:b/>
          <w:bCs/>
          <w:color w:val="000000"/>
          <w:sz w:val="22"/>
          <w:szCs w:val="24"/>
        </w:rPr>
        <w:t>（B）</w:t>
      </w:r>
      <w:r>
        <w:rPr>
          <w:rFonts w:hint="eastAsia" w:ascii="仿宋" w:hAnsi="仿宋" w:eastAsia="仿宋" w:cs="仿宋"/>
          <w:b/>
          <w:bCs/>
          <w:color w:val="000000"/>
          <w:sz w:val="22"/>
          <w:szCs w:val="24"/>
        </w:rPr>
        <w:t>、全氮含量</w:t>
      </w:r>
      <w:r>
        <w:rPr>
          <w:rFonts w:hint="eastAsia" w:ascii="Times New Roman" w:hAnsi="Times New Roman" w:eastAsia="仿宋" w:cs="Times New Roman"/>
          <w:b/>
          <w:bCs/>
          <w:color w:val="000000"/>
          <w:sz w:val="22"/>
          <w:szCs w:val="24"/>
        </w:rPr>
        <w:t>（C）</w:t>
      </w:r>
      <w:r>
        <w:rPr>
          <w:rFonts w:hint="eastAsia" w:ascii="仿宋" w:hAnsi="仿宋" w:eastAsia="仿宋" w:cs="仿宋"/>
          <w:b/>
          <w:bCs/>
          <w:color w:val="000000"/>
          <w:sz w:val="22"/>
          <w:szCs w:val="24"/>
        </w:rPr>
        <w:t>、有效磷含量</w:t>
      </w:r>
      <w:r>
        <w:rPr>
          <w:rFonts w:hint="eastAsia" w:ascii="Times New Roman" w:hAnsi="Times New Roman" w:eastAsia="仿宋" w:cs="Times New Roman"/>
          <w:b/>
          <w:bCs/>
          <w:color w:val="000000"/>
          <w:sz w:val="22"/>
          <w:szCs w:val="24"/>
        </w:rPr>
        <w:t>（D）</w:t>
      </w:r>
    </w:p>
    <w:p>
      <w:pPr>
        <w:rPr>
          <w:rFonts w:ascii="仿宋" w:hAnsi="仿宋" w:eastAsia="仿宋" w:cs="Arial"/>
          <w:color w:val="000000"/>
          <w:sz w:val="24"/>
          <w:szCs w:val="28"/>
        </w:rPr>
      </w:pPr>
    </w:p>
    <w:p>
      <w:pPr>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10- 20 cm 土层土壤 pH 、有机质、全氮、有效磷含量随恢复年限的变化见图 3。</w:t>
      </w:r>
    </w:p>
    <w:p>
      <w:pPr>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土壤 pH、全氮、有效磷含量在 10 - 20 cm 土层变化趋势与 0 - 10 cm 土层相同，土壤有机质在10 -20 cm 土层变化趋势与0- 10 cm 土层相反，在生态修复2年、5年、10年时随恢复年限的增加而降低，在修复15年上升。土壤中有机质的降低可能是由于随着修复年限的增加，植被生长的消耗，而0 - 10 cm土层含量增加可能是由于地表凋落物分解对有机质的补充作用。</w:t>
      </w:r>
    </w:p>
    <w:p>
      <w:pPr>
        <w:spacing w:line="480" w:lineRule="exact"/>
        <w:ind w:firstLine="560" w:firstLineChars="200"/>
        <w:rPr>
          <w:rFonts w:ascii="Times New Roman" w:hAnsi="Times New Roman" w:eastAsia="仿宋" w:cs="Times New Roman"/>
          <w:color w:val="000000"/>
          <w:sz w:val="24"/>
          <w:szCs w:val="28"/>
        </w:rPr>
      </w:pPr>
      <w:r>
        <w:rPr>
          <w:rFonts w:ascii="Times New Roman" w:hAnsi="Times New Roman" w:eastAsia="仿宋" w:cs="Times New Roman"/>
          <w:sz w:val="28"/>
          <w:szCs w:val="28"/>
        </w:rPr>
        <w:t>采用土壤数据以及该标准草案中提到的方法计算得到土壤质量指数，见表 3。</w:t>
      </w:r>
    </w:p>
    <w:p>
      <w:pPr>
        <w:jc w:val="center"/>
        <w:rPr>
          <w:rFonts w:ascii="仿宋" w:hAnsi="仿宋" w:eastAsia="仿宋" w:cs="Arial"/>
          <w:color w:val="000000"/>
          <w:sz w:val="24"/>
          <w:szCs w:val="28"/>
        </w:rPr>
      </w:pPr>
      <w:r>
        <w:rPr>
          <w:rFonts w:hint="eastAsia" w:ascii="仿宋" w:hAnsi="仿宋" w:eastAsia="仿宋" w:cs="Arial"/>
          <w:color w:val="000000"/>
          <w:sz w:val="24"/>
          <w:szCs w:val="28"/>
        </w:rPr>
        <w:drawing>
          <wp:inline distT="0" distB="0" distL="114300" distR="114300">
            <wp:extent cx="4210050" cy="3354705"/>
            <wp:effectExtent l="0" t="0" r="6350" b="10795"/>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22"/>
                    <a:stretch>
                      <a:fillRect/>
                    </a:stretch>
                  </pic:blipFill>
                  <pic:spPr>
                    <a:xfrm>
                      <a:off x="0" y="0"/>
                      <a:ext cx="4210050" cy="3354705"/>
                    </a:xfrm>
                    <a:prstGeom prst="rect">
                      <a:avLst/>
                    </a:prstGeom>
                  </pic:spPr>
                </pic:pic>
              </a:graphicData>
            </a:graphic>
          </wp:inline>
        </w:drawing>
      </w:r>
    </w:p>
    <w:p>
      <w:pPr>
        <w:jc w:val="center"/>
        <w:rPr>
          <w:rFonts w:ascii="仿宋" w:hAnsi="仿宋" w:eastAsia="仿宋" w:cs="Arial"/>
          <w:b/>
          <w:bCs/>
          <w:color w:val="000000"/>
          <w:sz w:val="22"/>
          <w:szCs w:val="24"/>
        </w:rPr>
      </w:pPr>
      <w:r>
        <w:rPr>
          <w:rFonts w:hint="eastAsia" w:ascii="仿宋" w:hAnsi="仿宋" w:eastAsia="仿宋" w:cs="Arial"/>
          <w:b/>
          <w:bCs/>
          <w:color w:val="000000"/>
          <w:sz w:val="22"/>
          <w:szCs w:val="24"/>
        </w:rPr>
        <w:t>图 3 排土场不同修复年限生态系统</w:t>
      </w:r>
      <w:r>
        <w:rPr>
          <w:rFonts w:hint="eastAsia" w:ascii="Times New Roman" w:hAnsi="Times New Roman" w:eastAsia="仿宋" w:cs="Times New Roman"/>
          <w:b/>
          <w:bCs/>
          <w:color w:val="000000"/>
          <w:sz w:val="22"/>
          <w:szCs w:val="24"/>
        </w:rPr>
        <w:t>10~20cm</w:t>
      </w:r>
      <w:r>
        <w:rPr>
          <w:rFonts w:hint="eastAsia" w:ascii="仿宋" w:hAnsi="仿宋" w:eastAsia="仿宋" w:cs="Arial"/>
          <w:b/>
          <w:bCs/>
          <w:color w:val="000000"/>
          <w:sz w:val="22"/>
          <w:szCs w:val="24"/>
        </w:rPr>
        <w:t>土层的土壤</w:t>
      </w:r>
      <w:r>
        <w:rPr>
          <w:rFonts w:hint="eastAsia" w:ascii="Times New Roman" w:hAnsi="Times New Roman" w:eastAsia="仿宋" w:cs="Times New Roman"/>
          <w:b/>
          <w:bCs/>
          <w:color w:val="000000"/>
          <w:sz w:val="22"/>
          <w:szCs w:val="24"/>
        </w:rPr>
        <w:t>pH（A）</w:t>
      </w:r>
      <w:r>
        <w:rPr>
          <w:rFonts w:hint="eastAsia" w:ascii="仿宋" w:hAnsi="仿宋" w:eastAsia="仿宋" w:cs="Arial"/>
          <w:b/>
          <w:bCs/>
          <w:color w:val="000000"/>
          <w:sz w:val="22"/>
          <w:szCs w:val="24"/>
        </w:rPr>
        <w:t>、有机质含量</w:t>
      </w:r>
      <w:r>
        <w:rPr>
          <w:rFonts w:hint="eastAsia" w:ascii="Times New Roman" w:hAnsi="Times New Roman" w:eastAsia="仿宋" w:cs="Times New Roman"/>
          <w:b/>
          <w:bCs/>
          <w:color w:val="000000"/>
          <w:sz w:val="22"/>
          <w:szCs w:val="24"/>
        </w:rPr>
        <w:t>（B）</w:t>
      </w:r>
      <w:r>
        <w:rPr>
          <w:rFonts w:hint="eastAsia" w:ascii="仿宋" w:hAnsi="仿宋" w:eastAsia="仿宋" w:cs="Arial"/>
          <w:b/>
          <w:bCs/>
          <w:color w:val="000000"/>
          <w:sz w:val="22"/>
          <w:szCs w:val="24"/>
        </w:rPr>
        <w:t>、全氮含量</w:t>
      </w:r>
      <w:r>
        <w:rPr>
          <w:rFonts w:hint="eastAsia" w:ascii="Times New Roman" w:hAnsi="Times New Roman" w:eastAsia="仿宋" w:cs="Times New Roman"/>
          <w:b/>
          <w:bCs/>
          <w:color w:val="000000"/>
          <w:sz w:val="22"/>
          <w:szCs w:val="24"/>
        </w:rPr>
        <w:t>（C）</w:t>
      </w:r>
      <w:r>
        <w:rPr>
          <w:rFonts w:hint="eastAsia" w:ascii="仿宋" w:hAnsi="仿宋" w:eastAsia="仿宋" w:cs="Arial"/>
          <w:b/>
          <w:bCs/>
          <w:color w:val="000000"/>
          <w:sz w:val="22"/>
          <w:szCs w:val="24"/>
        </w:rPr>
        <w:t>、有效磷含量</w:t>
      </w:r>
      <w:r>
        <w:rPr>
          <w:rFonts w:hint="eastAsia" w:ascii="Times New Roman" w:hAnsi="Times New Roman" w:eastAsia="仿宋" w:cs="Times New Roman"/>
          <w:b/>
          <w:bCs/>
          <w:color w:val="000000"/>
          <w:sz w:val="22"/>
          <w:szCs w:val="24"/>
        </w:rPr>
        <w:t>（D）</w:t>
      </w:r>
    </w:p>
    <w:p>
      <w:pPr>
        <w:rPr>
          <w:rFonts w:ascii="仿宋" w:hAnsi="仿宋" w:eastAsia="仿宋" w:cs="Arial"/>
          <w:color w:val="000000"/>
          <w:sz w:val="24"/>
          <w:szCs w:val="28"/>
        </w:rPr>
      </w:pPr>
    </w:p>
    <w:p>
      <w:pPr>
        <w:jc w:val="center"/>
        <w:rPr>
          <w:rFonts w:ascii="仿宋" w:hAnsi="仿宋" w:eastAsia="仿宋" w:cs="Arial"/>
          <w:b/>
          <w:bCs/>
          <w:color w:val="000000"/>
          <w:sz w:val="22"/>
          <w:szCs w:val="24"/>
        </w:rPr>
      </w:pPr>
      <w:r>
        <w:rPr>
          <w:rFonts w:hint="eastAsia" w:ascii="仿宋" w:hAnsi="仿宋" w:eastAsia="仿宋" w:cs="Arial"/>
          <w:b/>
          <w:bCs/>
          <w:color w:val="000000"/>
          <w:sz w:val="22"/>
          <w:szCs w:val="24"/>
        </w:rPr>
        <w:t xml:space="preserve">表 </w:t>
      </w:r>
      <w:r>
        <w:rPr>
          <w:rFonts w:ascii="Times New Roman" w:hAnsi="Times New Roman" w:eastAsia="仿宋" w:cs="Times New Roman"/>
          <w:b/>
          <w:bCs/>
          <w:color w:val="000000"/>
          <w:sz w:val="22"/>
          <w:szCs w:val="24"/>
        </w:rPr>
        <w:t>3</w:t>
      </w:r>
      <w:r>
        <w:rPr>
          <w:rFonts w:hint="eastAsia" w:ascii="仿宋" w:hAnsi="仿宋" w:eastAsia="仿宋" w:cs="Arial"/>
          <w:b/>
          <w:bCs/>
          <w:color w:val="000000"/>
          <w:sz w:val="22"/>
          <w:szCs w:val="24"/>
        </w:rPr>
        <w:t xml:space="preserve"> 不同修复年份排土场的土壤质量指数</w:t>
      </w:r>
    </w:p>
    <w:tbl>
      <w:tblPr>
        <w:tblStyle w:val="5"/>
        <w:tblW w:w="6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96"/>
        <w:gridCol w:w="1296"/>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96" w:type="dxa"/>
            <w:tcBorders>
              <w:top w:val="single" w:color="auto" w:sz="8" w:space="0"/>
              <w:left w:val="nil"/>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修复年份</w:t>
            </w:r>
          </w:p>
        </w:tc>
        <w:tc>
          <w:tcPr>
            <w:tcW w:w="1296"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2019</w:t>
            </w:r>
          </w:p>
        </w:tc>
        <w:tc>
          <w:tcPr>
            <w:tcW w:w="1296"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2016</w:t>
            </w:r>
          </w:p>
        </w:tc>
        <w:tc>
          <w:tcPr>
            <w:tcW w:w="1296"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2011</w:t>
            </w:r>
          </w:p>
        </w:tc>
        <w:tc>
          <w:tcPr>
            <w:tcW w:w="1296" w:type="dxa"/>
            <w:tcBorders>
              <w:top w:val="single" w:color="auto" w:sz="8" w:space="0"/>
              <w:left w:val="nil"/>
              <w:right w:val="nil"/>
            </w:tcBorders>
            <w:vAlign w:val="center"/>
          </w:tcPr>
          <w:p>
            <w:pPr>
              <w:spacing w:after="80" w:line="360" w:lineRule="exact"/>
              <w:jc w:val="center"/>
              <w:rPr>
                <w:rFonts w:ascii="Times New Roman" w:hAnsi="Times New Roman" w:eastAsia="仿宋_GB2312" w:cs="Times New Roman"/>
                <w:sz w:val="24"/>
              </w:rPr>
            </w:pPr>
            <w:r>
              <w:rPr>
                <w:rFonts w:hint="eastAsia" w:ascii="Times New Roman" w:cs="Times New Roman"/>
                <w:sz w:val="24"/>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96" w:type="dxa"/>
            <w:tcBorders>
              <w:top w:val="nil"/>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土壤质量指数</w:t>
            </w:r>
          </w:p>
        </w:tc>
        <w:tc>
          <w:tcPr>
            <w:tcW w:w="1296" w:type="dxa"/>
            <w:tcBorders>
              <w:top w:val="nil"/>
              <w:left w:val="nil"/>
              <w:bottom w:val="single" w:color="auto" w:sz="8" w:space="0"/>
              <w:right w:val="nil"/>
            </w:tcBorders>
            <w:vAlign w:val="center"/>
          </w:tcPr>
          <w:p>
            <w:pPr>
              <w:spacing w:after="80" w:line="360" w:lineRule="exact"/>
              <w:jc w:val="center"/>
              <w:rPr>
                <w:rFonts w:ascii="Times New Roman" w:hAnsi="Times New Roman" w:eastAsia="仿宋" w:cs="Times New Roman"/>
                <w:sz w:val="24"/>
              </w:rPr>
            </w:pPr>
            <w:r>
              <w:rPr>
                <w:rFonts w:ascii="Times New Roman" w:hAnsi="Times New Roman" w:eastAsia="仿宋" w:cs="Times New Roman"/>
                <w:sz w:val="24"/>
              </w:rPr>
              <w:t>34.89</w:t>
            </w:r>
          </w:p>
        </w:tc>
        <w:tc>
          <w:tcPr>
            <w:tcW w:w="1296" w:type="dxa"/>
            <w:tcBorders>
              <w:top w:val="nil"/>
              <w:left w:val="nil"/>
              <w:bottom w:val="single" w:color="auto" w:sz="8" w:space="0"/>
              <w:right w:val="nil"/>
            </w:tcBorders>
            <w:vAlign w:val="center"/>
          </w:tcPr>
          <w:p>
            <w:pPr>
              <w:spacing w:after="80" w:line="360" w:lineRule="exact"/>
              <w:jc w:val="center"/>
              <w:rPr>
                <w:rFonts w:ascii="Times New Roman" w:hAnsi="Times New Roman" w:eastAsia="仿宋" w:cs="Times New Roman"/>
                <w:sz w:val="24"/>
              </w:rPr>
            </w:pPr>
            <w:r>
              <w:rPr>
                <w:rFonts w:ascii="Times New Roman" w:hAnsi="Times New Roman" w:eastAsia="仿宋" w:cs="Times New Roman"/>
                <w:sz w:val="24"/>
              </w:rPr>
              <w:t>48.64</w:t>
            </w:r>
          </w:p>
        </w:tc>
        <w:tc>
          <w:tcPr>
            <w:tcW w:w="1296" w:type="dxa"/>
            <w:tcBorders>
              <w:top w:val="nil"/>
              <w:left w:val="nil"/>
              <w:bottom w:val="single" w:color="auto" w:sz="8" w:space="0"/>
              <w:right w:val="nil"/>
            </w:tcBorders>
            <w:vAlign w:val="center"/>
          </w:tcPr>
          <w:p>
            <w:pPr>
              <w:spacing w:after="80" w:line="360" w:lineRule="exact"/>
              <w:jc w:val="center"/>
              <w:rPr>
                <w:rFonts w:ascii="Times New Roman" w:hAnsi="Times New Roman" w:eastAsia="仿宋" w:cs="Times New Roman"/>
                <w:sz w:val="24"/>
              </w:rPr>
            </w:pPr>
            <w:r>
              <w:rPr>
                <w:rFonts w:ascii="Times New Roman" w:hAnsi="Times New Roman" w:eastAsia="仿宋" w:cs="Times New Roman"/>
                <w:sz w:val="24"/>
              </w:rPr>
              <w:t>50.09</w:t>
            </w:r>
          </w:p>
        </w:tc>
        <w:tc>
          <w:tcPr>
            <w:tcW w:w="1296" w:type="dxa"/>
            <w:tcBorders>
              <w:top w:val="nil"/>
              <w:left w:val="nil"/>
              <w:bottom w:val="single" w:color="auto" w:sz="8" w:space="0"/>
              <w:right w:val="nil"/>
            </w:tcBorders>
            <w:vAlign w:val="center"/>
          </w:tcPr>
          <w:p>
            <w:pPr>
              <w:spacing w:after="80" w:line="360" w:lineRule="exact"/>
              <w:jc w:val="center"/>
              <w:rPr>
                <w:rFonts w:ascii="Times New Roman" w:hAnsi="Times New Roman" w:eastAsia="仿宋" w:cs="Times New Roman"/>
                <w:sz w:val="24"/>
              </w:rPr>
            </w:pPr>
            <w:r>
              <w:rPr>
                <w:rFonts w:ascii="Times New Roman" w:hAnsi="Times New Roman" w:eastAsia="仿宋" w:cs="Times New Roman"/>
                <w:sz w:val="24"/>
              </w:rPr>
              <w:t>61.35</w:t>
            </w:r>
          </w:p>
        </w:tc>
      </w:tr>
    </w:tbl>
    <w:p>
      <w:pPr>
        <w:rPr>
          <w:rFonts w:ascii="仿宋" w:hAnsi="仿宋" w:eastAsia="仿宋" w:cs="Arial"/>
          <w:color w:val="000000"/>
          <w:sz w:val="24"/>
          <w:szCs w:val="28"/>
        </w:rPr>
      </w:pPr>
    </w:p>
    <w:p>
      <w:pPr>
        <w:spacing w:line="480" w:lineRule="exact"/>
        <w:rPr>
          <w:rFonts w:ascii="仿宋" w:hAnsi="仿宋" w:eastAsia="仿宋"/>
          <w:b/>
          <w:bCs/>
          <w:sz w:val="28"/>
          <w:szCs w:val="28"/>
        </w:rPr>
      </w:pPr>
      <w:r>
        <w:rPr>
          <w:rFonts w:hint="eastAsia" w:ascii="仿宋" w:hAnsi="仿宋" w:eastAsia="仿宋"/>
          <w:b/>
          <w:bCs/>
          <w:sz w:val="28"/>
          <w:szCs w:val="28"/>
        </w:rPr>
        <w:t>3.锡林浩特市胜利西二号露天煤矿排土场修复生态系统质量评估</w:t>
      </w:r>
    </w:p>
    <w:p>
      <w:pPr>
        <w:spacing w:line="48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在前期实验的基础上，我们采用该标准草案中提到的方法对胜利西二矿排土场修复生态系统质量进行了综合评价，分别计算出2019、2016、2011、2006年复垦的排土场生态系统质量指数。修复生态系统质量评估结果见表4。</w:t>
      </w:r>
    </w:p>
    <w:p>
      <w:pPr>
        <w:spacing w:line="480" w:lineRule="exact"/>
        <w:ind w:firstLine="560" w:firstLineChars="200"/>
        <w:rPr>
          <w:rFonts w:ascii="仿宋" w:hAnsi="仿宋" w:eastAsia="仿宋"/>
          <w:sz w:val="28"/>
          <w:szCs w:val="28"/>
        </w:rPr>
      </w:pPr>
      <w:r>
        <w:rPr>
          <w:rFonts w:ascii="Times New Roman" w:hAnsi="Times New Roman" w:eastAsia="仿宋" w:cs="Times New Roman"/>
          <w:sz w:val="28"/>
          <w:szCs w:val="28"/>
        </w:rPr>
        <w:t>随修复年限的增加，生态系统质量指数增加，生态系统质量变好，修复15年的生态系统质量有所下降，可能需要人工进行维护以保证生态系统后续的自然恢复。</w:t>
      </w:r>
    </w:p>
    <w:p>
      <w:pPr>
        <w:spacing w:line="440" w:lineRule="exact"/>
        <w:ind w:firstLine="480" w:firstLineChars="200"/>
        <w:rPr>
          <w:rFonts w:ascii="仿宋" w:hAnsi="仿宋" w:eastAsia="仿宋" w:cs="Arial"/>
          <w:color w:val="000000"/>
          <w:sz w:val="24"/>
          <w:szCs w:val="28"/>
        </w:rPr>
      </w:pPr>
    </w:p>
    <w:p>
      <w:pPr>
        <w:spacing w:line="440" w:lineRule="exact"/>
        <w:ind w:firstLine="442" w:firstLineChars="200"/>
        <w:jc w:val="center"/>
        <w:rPr>
          <w:rFonts w:ascii="仿宋" w:hAnsi="仿宋" w:eastAsia="仿宋" w:cs="Arial"/>
          <w:b/>
          <w:bCs/>
          <w:color w:val="000000"/>
          <w:sz w:val="22"/>
          <w:szCs w:val="24"/>
        </w:rPr>
      </w:pPr>
      <w:r>
        <w:rPr>
          <w:rFonts w:hint="eastAsia" w:ascii="仿宋" w:hAnsi="仿宋" w:eastAsia="仿宋" w:cs="Arial"/>
          <w:b/>
          <w:bCs/>
          <w:color w:val="000000"/>
          <w:sz w:val="22"/>
          <w:szCs w:val="24"/>
        </w:rPr>
        <w:t>表</w:t>
      </w:r>
      <w:r>
        <w:rPr>
          <w:rFonts w:ascii="Times New Roman" w:hAnsi="Times New Roman" w:eastAsia="仿宋" w:cs="Times New Roman"/>
          <w:b/>
          <w:bCs/>
          <w:color w:val="000000"/>
          <w:sz w:val="22"/>
          <w:szCs w:val="24"/>
        </w:rPr>
        <w:t>4</w:t>
      </w:r>
      <w:r>
        <w:rPr>
          <w:rFonts w:hint="eastAsia" w:ascii="仿宋" w:hAnsi="仿宋" w:eastAsia="仿宋" w:cs="Arial"/>
          <w:b/>
          <w:bCs/>
          <w:color w:val="000000"/>
          <w:sz w:val="22"/>
          <w:szCs w:val="24"/>
        </w:rPr>
        <w:t xml:space="preserve"> 西二矿排土场修复生态系统质量</w:t>
      </w:r>
    </w:p>
    <w:tbl>
      <w:tblPr>
        <w:tblStyle w:val="5"/>
        <w:tblW w:w="6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24" w:type="dxa"/>
            <w:tcBorders>
              <w:top w:val="single" w:color="auto" w:sz="8" w:space="0"/>
              <w:left w:val="nil"/>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修复年份</w:t>
            </w:r>
          </w:p>
        </w:tc>
        <w:tc>
          <w:tcPr>
            <w:tcW w:w="1324"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2019</w:t>
            </w:r>
          </w:p>
        </w:tc>
        <w:tc>
          <w:tcPr>
            <w:tcW w:w="1324"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2016</w:t>
            </w:r>
          </w:p>
        </w:tc>
        <w:tc>
          <w:tcPr>
            <w:tcW w:w="1324" w:type="dxa"/>
            <w:tcBorders>
              <w:top w:val="single" w:color="auto" w:sz="8" w:space="0"/>
              <w:left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cs="Times New Roman"/>
                <w:sz w:val="24"/>
              </w:rPr>
              <w:t>2011</w:t>
            </w:r>
          </w:p>
        </w:tc>
        <w:tc>
          <w:tcPr>
            <w:tcW w:w="1324" w:type="dxa"/>
            <w:tcBorders>
              <w:top w:val="single" w:color="auto" w:sz="8" w:space="0"/>
              <w:left w:val="nil"/>
              <w:right w:val="nil"/>
            </w:tcBorders>
            <w:vAlign w:val="center"/>
          </w:tcPr>
          <w:p>
            <w:pPr>
              <w:spacing w:after="80" w:line="360" w:lineRule="exact"/>
              <w:jc w:val="center"/>
              <w:rPr>
                <w:rFonts w:ascii="Times New Roman" w:hAnsi="Times New Roman" w:eastAsia="仿宋_GB2312" w:cs="Times New Roman"/>
                <w:sz w:val="24"/>
              </w:rPr>
            </w:pPr>
            <w:r>
              <w:rPr>
                <w:rFonts w:hint="eastAsia" w:ascii="Times New Roman" w:cs="Times New Roman"/>
                <w:sz w:val="24"/>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24" w:type="dxa"/>
            <w:tcBorders>
              <w:left w:val="nil"/>
              <w:bottom w:val="nil"/>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生态系统</w:t>
            </w:r>
          </w:p>
          <w:p>
            <w:pPr>
              <w:spacing w:after="80" w:line="360" w:lineRule="exact"/>
              <w:jc w:val="center"/>
              <w:rPr>
                <w:rFonts w:ascii="仿宋" w:hAnsi="仿宋" w:eastAsia="仿宋" w:cs="仿宋"/>
                <w:sz w:val="24"/>
              </w:rPr>
            </w:pPr>
            <w:r>
              <w:rPr>
                <w:rFonts w:hint="eastAsia" w:ascii="仿宋" w:hAnsi="仿宋" w:eastAsia="仿宋" w:cs="仿宋"/>
                <w:sz w:val="24"/>
              </w:rPr>
              <w:t>质量指数</w:t>
            </w:r>
          </w:p>
        </w:tc>
        <w:tc>
          <w:tcPr>
            <w:tcW w:w="1324" w:type="dxa"/>
            <w:tcBorders>
              <w:left w:val="nil"/>
              <w:bottom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eastAsia="宋体" w:cs="Times New Roman"/>
                <w:color w:val="000000"/>
                <w:kern w:val="0"/>
                <w:sz w:val="24"/>
                <w:szCs w:val="24"/>
                <w:lang w:bidi="ar"/>
              </w:rPr>
              <w:t>31.51</w:t>
            </w:r>
          </w:p>
        </w:tc>
        <w:tc>
          <w:tcPr>
            <w:tcW w:w="1324" w:type="dxa"/>
            <w:tcBorders>
              <w:left w:val="nil"/>
              <w:bottom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eastAsia="宋体" w:cs="Times New Roman"/>
                <w:color w:val="000000"/>
                <w:kern w:val="0"/>
                <w:sz w:val="24"/>
                <w:szCs w:val="24"/>
                <w:lang w:bidi="ar"/>
              </w:rPr>
              <w:t>47.25</w:t>
            </w:r>
          </w:p>
        </w:tc>
        <w:tc>
          <w:tcPr>
            <w:tcW w:w="1324" w:type="dxa"/>
            <w:tcBorders>
              <w:left w:val="nil"/>
              <w:bottom w:val="nil"/>
              <w:right w:val="nil"/>
            </w:tcBorders>
            <w:vAlign w:val="center"/>
          </w:tcPr>
          <w:p>
            <w:pPr>
              <w:spacing w:after="80" w:line="360" w:lineRule="exact"/>
              <w:jc w:val="center"/>
              <w:rPr>
                <w:rFonts w:ascii="Times New Roman" w:hAnsi="Times New Roman" w:cs="Times New Roman"/>
                <w:sz w:val="24"/>
              </w:rPr>
            </w:pPr>
            <w:r>
              <w:rPr>
                <w:rFonts w:ascii="Times New Roman" w:hAnsi="Times New Roman" w:eastAsia="宋体" w:cs="Times New Roman"/>
                <w:color w:val="000000"/>
                <w:kern w:val="0"/>
                <w:sz w:val="24"/>
                <w:szCs w:val="24"/>
                <w:lang w:bidi="ar"/>
              </w:rPr>
              <w:t>65.51</w:t>
            </w:r>
          </w:p>
        </w:tc>
        <w:tc>
          <w:tcPr>
            <w:tcW w:w="1324" w:type="dxa"/>
            <w:tcBorders>
              <w:left w:val="nil"/>
              <w:bottom w:val="nil"/>
              <w:right w:val="nil"/>
            </w:tcBorders>
            <w:vAlign w:val="center"/>
          </w:tcPr>
          <w:p>
            <w:pPr>
              <w:spacing w:after="80" w:line="360" w:lineRule="exact"/>
              <w:jc w:val="center"/>
              <w:rPr>
                <w:rFonts w:ascii="Times New Roman" w:hAnsi="Times New Roman" w:eastAsia="宋体" w:cs="Times New Roman"/>
                <w:color w:val="000000"/>
                <w:kern w:val="0"/>
                <w:sz w:val="24"/>
                <w:szCs w:val="24"/>
                <w:lang w:bidi="ar"/>
              </w:rPr>
            </w:pPr>
            <w:r>
              <w:rPr>
                <w:rFonts w:hint="eastAsia" w:ascii="Times New Roman" w:eastAsia="宋体" w:cs="Times New Roman"/>
                <w:color w:val="000000"/>
                <w:kern w:val="0"/>
                <w:sz w:val="24"/>
                <w:szCs w:val="24"/>
                <w:lang w:bidi="ar"/>
              </w:rPr>
              <w:t>51.43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24" w:type="dxa"/>
            <w:tcBorders>
              <w:top w:val="nil"/>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生态系统</w:t>
            </w:r>
          </w:p>
          <w:p>
            <w:pPr>
              <w:spacing w:after="80" w:line="360" w:lineRule="exact"/>
              <w:jc w:val="center"/>
              <w:rPr>
                <w:rFonts w:ascii="仿宋" w:hAnsi="仿宋" w:eastAsia="仿宋" w:cs="仿宋"/>
                <w:sz w:val="24"/>
              </w:rPr>
            </w:pPr>
            <w:r>
              <w:rPr>
                <w:rFonts w:hint="eastAsia" w:ascii="仿宋" w:hAnsi="仿宋" w:eastAsia="仿宋" w:cs="仿宋"/>
                <w:sz w:val="24"/>
              </w:rPr>
              <w:t>质量评级</w:t>
            </w:r>
          </w:p>
        </w:tc>
        <w:tc>
          <w:tcPr>
            <w:tcW w:w="1324" w:type="dxa"/>
            <w:tcBorders>
              <w:top w:val="nil"/>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低</w:t>
            </w:r>
          </w:p>
        </w:tc>
        <w:tc>
          <w:tcPr>
            <w:tcW w:w="1324" w:type="dxa"/>
            <w:tcBorders>
              <w:top w:val="nil"/>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中</w:t>
            </w:r>
          </w:p>
        </w:tc>
        <w:tc>
          <w:tcPr>
            <w:tcW w:w="1324" w:type="dxa"/>
            <w:tcBorders>
              <w:top w:val="nil"/>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良</w:t>
            </w:r>
          </w:p>
        </w:tc>
        <w:tc>
          <w:tcPr>
            <w:tcW w:w="1324" w:type="dxa"/>
            <w:tcBorders>
              <w:top w:val="nil"/>
              <w:left w:val="nil"/>
              <w:bottom w:val="single" w:color="auto" w:sz="8" w:space="0"/>
              <w:right w:val="nil"/>
            </w:tcBorders>
            <w:vAlign w:val="center"/>
          </w:tcPr>
          <w:p>
            <w:pPr>
              <w:spacing w:after="80" w:line="360" w:lineRule="exact"/>
              <w:jc w:val="center"/>
              <w:rPr>
                <w:rFonts w:ascii="仿宋" w:hAnsi="仿宋" w:eastAsia="仿宋" w:cs="仿宋"/>
                <w:sz w:val="24"/>
              </w:rPr>
            </w:pPr>
            <w:r>
              <w:rPr>
                <w:rFonts w:hint="eastAsia" w:ascii="仿宋" w:hAnsi="仿宋" w:eastAsia="仿宋" w:cs="仿宋"/>
                <w:sz w:val="24"/>
              </w:rPr>
              <w:t>中</w:t>
            </w:r>
          </w:p>
        </w:tc>
      </w:tr>
    </w:tbl>
    <w:p>
      <w:pPr>
        <w:spacing w:line="440" w:lineRule="exact"/>
        <w:ind w:firstLine="480" w:firstLineChars="200"/>
        <w:rPr>
          <w:rFonts w:ascii="仿宋" w:hAnsi="仿宋" w:eastAsia="仿宋" w:cs="Arial"/>
          <w:color w:val="000000"/>
          <w:sz w:val="24"/>
          <w:szCs w:val="28"/>
        </w:rPr>
      </w:pPr>
    </w:p>
    <w:p>
      <w:pPr>
        <w:spacing w:line="480" w:lineRule="exact"/>
        <w:ind w:firstLine="560" w:firstLineChars="200"/>
        <w:rPr>
          <w:rFonts w:ascii="仿宋" w:hAnsi="仿宋" w:eastAsia="仿宋"/>
          <w:sz w:val="28"/>
          <w:szCs w:val="28"/>
        </w:rPr>
      </w:pPr>
      <w:r>
        <w:rPr>
          <w:rFonts w:hint="eastAsia" w:ascii="仿宋" w:hAnsi="仿宋" w:eastAsia="仿宋"/>
          <w:sz w:val="28"/>
          <w:szCs w:val="28"/>
        </w:rPr>
        <w:t>通过对本方法进行的实际应用，显示出的质量评估结果能较好反应实际生态系统情况，说明该标准草案具有实际可操作性。前期研究结果为本技术规程的制定奠定了基础。</w:t>
      </w:r>
    </w:p>
    <w:p>
      <w:pPr>
        <w:rPr>
          <w:rFonts w:ascii="仿宋" w:hAnsi="仿宋" w:eastAsia="仿宋"/>
          <w:b/>
          <w:sz w:val="28"/>
          <w:szCs w:val="28"/>
        </w:rPr>
      </w:pPr>
      <w:r>
        <w:rPr>
          <w:rFonts w:hint="eastAsia" w:ascii="仿宋" w:hAnsi="仿宋" w:eastAsia="仿宋"/>
          <w:b/>
          <w:sz w:val="28"/>
          <w:szCs w:val="28"/>
        </w:rPr>
        <w:t>六、重大意见分歧的处理依据和结果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本文件在编写过程中没有重大意见分歧。</w:t>
      </w:r>
    </w:p>
    <w:p>
      <w:pPr>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采用国际标准或国外先进标准的，说明采标程度，以及国内外同类标准水平的对比情况</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本文件未采用国际标准或国外先进标准。</w:t>
      </w:r>
    </w:p>
    <w:p>
      <w:pPr>
        <w:rPr>
          <w:rFonts w:ascii="仿宋" w:hAnsi="仿宋" w:eastAsia="仿宋"/>
          <w:b/>
          <w:sz w:val="28"/>
          <w:szCs w:val="28"/>
        </w:rPr>
      </w:pPr>
      <w:r>
        <w:rPr>
          <w:rFonts w:hint="eastAsia" w:ascii="仿宋" w:hAnsi="仿宋" w:eastAsia="仿宋"/>
          <w:b/>
          <w:sz w:val="28"/>
          <w:szCs w:val="28"/>
        </w:rPr>
        <w:t>八、其他应说明的事项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无 。</w:t>
      </w:r>
    </w:p>
    <w:p>
      <w:pPr>
        <w:rPr>
          <w:rFonts w:ascii="仿宋" w:hAnsi="仿宋" w:eastAsia="仿宋"/>
          <w:b/>
          <w:sz w:val="28"/>
          <w:szCs w:val="28"/>
        </w:rPr>
      </w:pPr>
      <w:r>
        <w:rPr>
          <w:rFonts w:hint="eastAsia" w:ascii="仿宋" w:hAnsi="仿宋" w:eastAsia="仿宋"/>
          <w:b/>
          <w:sz w:val="28"/>
          <w:szCs w:val="28"/>
        </w:rPr>
        <w:t>九、征求意见说明</w:t>
      </w:r>
    </w:p>
    <w:p>
      <w:pPr>
        <w:widowControl/>
        <w:jc w:val="left"/>
        <w:rPr>
          <w:rFonts w:asciiTheme="minorEastAsia" w:hAnsiTheme="minorEastAsia"/>
          <w:bCs/>
          <w:sz w:val="28"/>
          <w:szCs w:val="28"/>
        </w:rPr>
      </w:pPr>
      <w:r>
        <w:rPr>
          <w:rFonts w:asciiTheme="minorEastAsia" w:hAnsiTheme="minorEastAsia"/>
          <w:bCs/>
          <w:sz w:val="28"/>
          <w:szCs w:val="28"/>
        </w:rPr>
        <w:br w:type="page"/>
      </w:r>
    </w:p>
    <w:p>
      <w:pPr>
        <w:jc w:val="center"/>
        <w:rPr>
          <w:rFonts w:asciiTheme="minorEastAsia" w:hAnsiTheme="minorEastAsia"/>
          <w:bCs/>
          <w:sz w:val="28"/>
          <w:szCs w:val="28"/>
        </w:rPr>
      </w:pPr>
      <w:r>
        <w:rPr>
          <w:rFonts w:hint="eastAsia" w:asciiTheme="minorEastAsia" w:hAnsiTheme="minorEastAsia"/>
          <w:bCs/>
          <w:sz w:val="28"/>
          <w:szCs w:val="28"/>
        </w:rPr>
        <w:t>《立项标准名称》征求意见汇总表</w:t>
      </w:r>
    </w:p>
    <w:p>
      <w:pPr>
        <w:jc w:val="left"/>
        <w:rPr>
          <w:rFonts w:ascii="宋体" w:hAnsi="宋体" w:eastAsia="宋体"/>
          <w:sz w:val="24"/>
          <w:szCs w:val="24"/>
        </w:rPr>
      </w:pPr>
      <w:r>
        <w:rPr>
          <w:rFonts w:hint="eastAsia" w:ascii="宋体" w:hAnsi="宋体" w:eastAsia="宋体"/>
          <w:sz w:val="24"/>
          <w:szCs w:val="24"/>
        </w:rPr>
        <w:t>起草单位：</w:t>
      </w:r>
      <w:r>
        <w:rPr>
          <w:rFonts w:ascii="宋体" w:hAnsi="宋体" w:eastAsia="宋体"/>
          <w:sz w:val="24"/>
          <w:szCs w:val="24"/>
        </w:rPr>
        <w:t xml:space="preserve"> </w:t>
      </w:r>
      <w:r>
        <w:rPr>
          <w:rFonts w:hint="eastAsia" w:ascii="宋体" w:hAnsi="宋体" w:eastAsia="宋体"/>
          <w:sz w:val="24"/>
          <w:szCs w:val="24"/>
        </w:rPr>
        <w:t>内蒙古大学</w:t>
      </w:r>
    </w:p>
    <w:p>
      <w:pPr>
        <w:spacing w:line="360" w:lineRule="exact"/>
        <w:jc w:val="left"/>
        <w:rPr>
          <w:rFonts w:ascii="宋体" w:hAnsi="宋体" w:eastAsia="宋体"/>
          <w:sz w:val="24"/>
          <w:szCs w:val="24"/>
        </w:rPr>
      </w:pPr>
      <w:r>
        <w:rPr>
          <w:rFonts w:hint="eastAsia" w:ascii="宋体" w:hAnsi="宋体" w:eastAsia="宋体"/>
          <w:sz w:val="24"/>
          <w:szCs w:val="24"/>
        </w:rPr>
        <w:t>联 系 人：</w:t>
      </w:r>
      <w:r>
        <w:rPr>
          <w:rFonts w:ascii="宋体" w:hAnsi="宋体" w:eastAsia="宋体"/>
          <w:sz w:val="24"/>
          <w:szCs w:val="24"/>
        </w:rPr>
        <w:t xml:space="preserve"> </w:t>
      </w:r>
      <w:r>
        <w:rPr>
          <w:rFonts w:hint="eastAsia" w:ascii="宋体" w:hAnsi="宋体" w:eastAsia="宋体"/>
          <w:sz w:val="24"/>
          <w:szCs w:val="24"/>
        </w:rPr>
        <w:t>任卫波</w:t>
      </w:r>
    </w:p>
    <w:p>
      <w:pPr>
        <w:spacing w:line="360" w:lineRule="exact"/>
        <w:jc w:val="left"/>
        <w:rPr>
          <w:rFonts w:ascii="宋体" w:hAnsi="宋体" w:eastAsia="宋体"/>
          <w:sz w:val="24"/>
          <w:szCs w:val="24"/>
        </w:rPr>
      </w:pPr>
      <w:r>
        <w:rPr>
          <w:rFonts w:hint="eastAsia" w:ascii="宋体" w:hAnsi="宋体" w:eastAsia="宋体"/>
          <w:sz w:val="24"/>
          <w:szCs w:val="24"/>
        </w:rPr>
        <w:t>联系电话： 15024914690</w:t>
      </w:r>
    </w:p>
    <w:tbl>
      <w:tblPr>
        <w:tblStyle w:val="4"/>
        <w:tblW w:w="902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17"/>
        <w:gridCol w:w="1843"/>
        <w:gridCol w:w="1843"/>
        <w:gridCol w:w="127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96" w:type="dxa"/>
            <w:vAlign w:val="center"/>
          </w:tcPr>
          <w:p>
            <w:pPr>
              <w:spacing w:line="400" w:lineRule="exact"/>
              <w:jc w:val="center"/>
              <w:rPr>
                <w:rFonts w:ascii="仿宋" w:hAnsi="仿宋" w:eastAsia="仿宋"/>
                <w:b/>
                <w:bCs/>
                <w:sz w:val="24"/>
              </w:rPr>
            </w:pPr>
            <w:r>
              <w:rPr>
                <w:rFonts w:hint="eastAsia" w:ascii="仿宋" w:hAnsi="仿宋" w:eastAsia="仿宋"/>
                <w:b/>
                <w:bCs/>
                <w:sz w:val="24"/>
              </w:rPr>
              <w:t>序号</w:t>
            </w:r>
          </w:p>
        </w:tc>
        <w:tc>
          <w:tcPr>
            <w:tcW w:w="1417" w:type="dxa"/>
            <w:vAlign w:val="center"/>
          </w:tcPr>
          <w:p>
            <w:pPr>
              <w:spacing w:line="400" w:lineRule="exact"/>
              <w:jc w:val="center"/>
              <w:rPr>
                <w:rFonts w:ascii="仿宋" w:hAnsi="仿宋" w:eastAsia="仿宋"/>
                <w:b/>
                <w:bCs/>
                <w:sz w:val="24"/>
              </w:rPr>
            </w:pPr>
            <w:r>
              <w:rPr>
                <w:rFonts w:hint="eastAsia" w:ascii="仿宋" w:hAnsi="仿宋" w:eastAsia="仿宋"/>
                <w:b/>
                <w:bCs/>
                <w:sz w:val="24"/>
              </w:rPr>
              <w:t>章节编号</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意见</w:t>
            </w:r>
          </w:p>
        </w:tc>
        <w:tc>
          <w:tcPr>
            <w:tcW w:w="1843" w:type="dxa"/>
            <w:vAlign w:val="center"/>
          </w:tcPr>
          <w:p>
            <w:pPr>
              <w:spacing w:line="400" w:lineRule="exact"/>
              <w:jc w:val="center"/>
              <w:rPr>
                <w:rFonts w:ascii="仿宋" w:hAnsi="仿宋" w:eastAsia="仿宋"/>
                <w:b/>
                <w:bCs/>
                <w:sz w:val="24"/>
              </w:rPr>
            </w:pPr>
            <w:r>
              <w:rPr>
                <w:rFonts w:hint="eastAsia" w:ascii="仿宋" w:hAnsi="仿宋" w:eastAsia="仿宋"/>
                <w:b/>
                <w:bCs/>
                <w:sz w:val="24"/>
              </w:rPr>
              <w:t>提出单位/专家</w:t>
            </w:r>
          </w:p>
        </w:tc>
        <w:tc>
          <w:tcPr>
            <w:tcW w:w="1275" w:type="dxa"/>
            <w:vAlign w:val="center"/>
          </w:tcPr>
          <w:p>
            <w:pPr>
              <w:spacing w:line="400" w:lineRule="exact"/>
              <w:jc w:val="center"/>
              <w:rPr>
                <w:rFonts w:ascii="仿宋" w:hAnsi="仿宋" w:eastAsia="仿宋"/>
                <w:b/>
                <w:bCs/>
                <w:sz w:val="24"/>
              </w:rPr>
            </w:pPr>
            <w:r>
              <w:rPr>
                <w:rFonts w:hint="eastAsia" w:ascii="仿宋" w:hAnsi="仿宋" w:eastAsia="仿宋"/>
                <w:b/>
                <w:bCs/>
                <w:sz w:val="24"/>
              </w:rPr>
              <w:t>是否采纳</w:t>
            </w:r>
          </w:p>
        </w:tc>
        <w:tc>
          <w:tcPr>
            <w:tcW w:w="1754" w:type="dxa"/>
            <w:vAlign w:val="center"/>
          </w:tcPr>
          <w:p>
            <w:pPr>
              <w:spacing w:line="400" w:lineRule="exact"/>
              <w:jc w:val="center"/>
              <w:rPr>
                <w:rFonts w:ascii="仿宋" w:hAnsi="仿宋" w:eastAsia="仿宋"/>
                <w:b/>
                <w:bCs/>
                <w:sz w:val="24"/>
              </w:rPr>
            </w:pPr>
            <w:r>
              <w:rPr>
                <w:rFonts w:hint="eastAsia" w:ascii="仿宋" w:hAnsi="仿宋" w:eastAsia="仿宋"/>
                <w:b/>
                <w:bCs/>
                <w:sz w:val="24"/>
              </w:rPr>
              <w:t>不采纳</w:t>
            </w:r>
          </w:p>
          <w:p>
            <w:pPr>
              <w:spacing w:line="400" w:lineRule="exact"/>
              <w:jc w:val="center"/>
              <w:rPr>
                <w:rFonts w:ascii="仿宋" w:hAnsi="仿宋" w:eastAsia="仿宋"/>
                <w:b/>
                <w:bCs/>
                <w:sz w:val="24"/>
              </w:rPr>
            </w:pPr>
            <w:r>
              <w:rPr>
                <w:rFonts w:hint="eastAsia" w:ascii="仿宋" w:hAnsi="仿宋" w:eastAsia="仿宋"/>
                <w:b/>
                <w:bCs/>
                <w:sz w:val="24"/>
              </w:rPr>
              <w:t>（说明原因）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1</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1417"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仿宋" w:hAnsi="仿宋" w:eastAsia="仿宋"/>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96"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1417" w:type="dxa"/>
            <w:vAlign w:val="center"/>
          </w:tcPr>
          <w:p>
            <w:pPr>
              <w:spacing w:line="400" w:lineRule="exac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843" w:type="dxa"/>
            <w:vAlign w:val="center"/>
          </w:tcPr>
          <w:p>
            <w:pPr>
              <w:spacing w:line="400" w:lineRule="exact"/>
              <w:jc w:val="left"/>
              <w:rPr>
                <w:rFonts w:ascii="仿宋" w:hAnsi="仿宋" w:eastAsia="仿宋"/>
                <w:sz w:val="28"/>
                <w:szCs w:val="28"/>
              </w:rPr>
            </w:pPr>
          </w:p>
        </w:tc>
        <w:tc>
          <w:tcPr>
            <w:tcW w:w="1275" w:type="dxa"/>
            <w:vAlign w:val="center"/>
          </w:tcPr>
          <w:p>
            <w:pPr>
              <w:spacing w:line="400" w:lineRule="exact"/>
              <w:jc w:val="left"/>
              <w:rPr>
                <w:rFonts w:ascii="Arial" w:hAnsi="Arial" w:eastAsia="仿宋" w:cs="Arial"/>
                <w:sz w:val="24"/>
              </w:rPr>
            </w:pPr>
          </w:p>
        </w:tc>
        <w:tc>
          <w:tcPr>
            <w:tcW w:w="1754" w:type="dxa"/>
            <w:vAlign w:val="center"/>
          </w:tcPr>
          <w:p>
            <w:pPr>
              <w:spacing w:line="400" w:lineRule="exact"/>
              <w:jc w:val="left"/>
              <w:rPr>
                <w:rFonts w:ascii="仿宋" w:hAnsi="仿宋" w:eastAsia="仿宋"/>
                <w:sz w:val="24"/>
              </w:rPr>
            </w:pPr>
          </w:p>
        </w:tc>
      </w:tr>
    </w:tbl>
    <w:p>
      <w:pPr>
        <w:rPr>
          <w:rFonts w:ascii="仿宋" w:hAnsi="仿宋" w:eastAsia="仿宋"/>
          <w:sz w:val="28"/>
          <w:szCs w:val="28"/>
        </w:rPr>
      </w:pPr>
    </w:p>
    <w:p>
      <w:pPr>
        <w:wordWrap w:val="0"/>
        <w:spacing w:line="360" w:lineRule="auto"/>
        <w:rPr>
          <w:rFonts w:ascii="Times New Roman" w:hAnsi="仿宋" w:eastAsia="仿宋"/>
          <w:b/>
          <w:sz w:val="28"/>
          <w:szCs w:val="28"/>
        </w:rPr>
      </w:pPr>
    </w:p>
    <w:p>
      <w:pPr>
        <w:wordWrap w:val="0"/>
        <w:spacing w:line="360" w:lineRule="auto"/>
        <w:rPr>
          <w:rFonts w:ascii="Times New Roman" w:hAnsi="仿宋" w:eastAsia="仿宋"/>
          <w:b/>
          <w:sz w:val="28"/>
          <w:szCs w:val="28"/>
        </w:rPr>
      </w:pPr>
    </w:p>
    <w:p>
      <w:pPr>
        <w:wordWrap w:val="0"/>
        <w:spacing w:line="360" w:lineRule="auto"/>
        <w:rPr>
          <w:rFonts w:ascii="Times New Roman" w:hAnsi="仿宋" w:eastAsia="仿宋"/>
          <w:b/>
          <w:sz w:val="28"/>
          <w:szCs w:val="28"/>
        </w:rPr>
      </w:pPr>
    </w:p>
    <w:p>
      <w:pPr>
        <w:wordWrap w:val="0"/>
        <w:spacing w:line="360" w:lineRule="auto"/>
        <w:rPr>
          <w:rFonts w:ascii="Times New Roman" w:hAnsi="仿宋" w:eastAsia="仿宋"/>
          <w:b/>
          <w:sz w:val="28"/>
          <w:szCs w:val="28"/>
        </w:rPr>
      </w:pPr>
    </w:p>
    <w:p>
      <w:pPr>
        <w:wordWrap w:val="0"/>
        <w:spacing w:line="360" w:lineRule="auto"/>
        <w:rPr>
          <w:rFonts w:hint="eastAsia" w:ascii="Times New Roman" w:hAnsi="仿宋" w:eastAsia="仿宋"/>
          <w:b/>
          <w:sz w:val="28"/>
          <w:szCs w:val="28"/>
        </w:rPr>
      </w:pPr>
    </w:p>
    <w:p>
      <w:pPr>
        <w:wordWrap w:val="0"/>
        <w:spacing w:line="360" w:lineRule="auto"/>
        <w:rPr>
          <w:rFonts w:ascii="Times New Roman" w:hAnsi="Times New Roman" w:eastAsia="仿宋"/>
          <w:b/>
          <w:sz w:val="28"/>
          <w:szCs w:val="28"/>
        </w:rPr>
      </w:pPr>
      <w:r>
        <w:rPr>
          <w:rFonts w:ascii="Times New Roman" w:hAnsi="仿宋" w:eastAsia="仿宋"/>
          <w:b/>
          <w:sz w:val="28"/>
          <w:szCs w:val="28"/>
        </w:rPr>
        <w:t>《</w:t>
      </w:r>
      <w:r>
        <w:rPr>
          <w:rFonts w:hint="eastAsia" w:ascii="Times New Roman" w:hAnsi="仿宋" w:eastAsia="仿宋"/>
          <w:b/>
          <w:sz w:val="28"/>
          <w:szCs w:val="28"/>
        </w:rPr>
        <w:t>草原区露天煤矿排土场恢复生态系统质量评估技术规程</w:t>
      </w:r>
      <w:r>
        <w:rPr>
          <w:rFonts w:ascii="Times New Roman" w:hAnsi="仿宋" w:eastAsia="仿宋"/>
          <w:b/>
          <w:sz w:val="28"/>
          <w:szCs w:val="28"/>
        </w:rPr>
        <w:t>》起草组</w:t>
      </w:r>
      <w:r>
        <w:rPr>
          <w:rFonts w:ascii="Times New Roman" w:hAnsi="Times New Roman" w:eastAsia="仿宋"/>
          <w:b/>
          <w:sz w:val="28"/>
          <w:szCs w:val="28"/>
        </w:rPr>
        <w:t xml:space="preserve">  </w:t>
      </w:r>
    </w:p>
    <w:p>
      <w:pPr>
        <w:rPr>
          <w:rFonts w:ascii="仿宋" w:hAnsi="仿宋" w:eastAsia="仿宋"/>
          <w:sz w:val="28"/>
          <w:szCs w:val="28"/>
        </w:rPr>
      </w:pPr>
      <w:r>
        <w:rPr>
          <w:rFonts w:ascii="Times New Roman" w:hAnsi="Times New Roman" w:eastAsia="仿宋"/>
          <w:b/>
          <w:sz w:val="28"/>
          <w:szCs w:val="28"/>
        </w:rPr>
        <w:t xml:space="preserve">                                        </w:t>
      </w:r>
      <w:r>
        <w:rPr>
          <w:rFonts w:hint="eastAsia" w:ascii="Times New Roman" w:hAnsi="Times New Roman" w:eastAsia="仿宋"/>
          <w:b/>
          <w:sz w:val="28"/>
          <w:szCs w:val="28"/>
        </w:rPr>
        <w:t>2022</w:t>
      </w:r>
      <w:r>
        <w:rPr>
          <w:rFonts w:ascii="Times New Roman" w:hAnsi="仿宋" w:eastAsia="仿宋"/>
          <w:b/>
          <w:sz w:val="28"/>
          <w:szCs w:val="28"/>
        </w:rPr>
        <w:t>年</w:t>
      </w:r>
      <w:r>
        <w:rPr>
          <w:rFonts w:hint="eastAsia" w:ascii="Times New Roman" w:hAnsi="仿宋" w:eastAsia="仿宋"/>
          <w:b/>
          <w:sz w:val="28"/>
          <w:szCs w:val="28"/>
        </w:rPr>
        <w:t>11</w:t>
      </w:r>
      <w:r>
        <w:rPr>
          <w:rFonts w:ascii="Times New Roman" w:hAnsi="仿宋" w:eastAsia="仿宋"/>
          <w:b/>
          <w:sz w:val="28"/>
          <w:szCs w:val="28"/>
        </w:rPr>
        <w:t>月</w:t>
      </w:r>
      <w:r>
        <w:rPr>
          <w:rFonts w:hint="eastAsia" w:ascii="Times New Roman" w:hAnsi="仿宋" w:eastAsia="仿宋"/>
          <w:b/>
          <w:sz w:val="28"/>
          <w:szCs w:val="28"/>
        </w:rPr>
        <w:t>02</w:t>
      </w:r>
      <w:r>
        <w:rPr>
          <w:rFonts w:ascii="Times New Roman" w:hAnsi="仿宋" w:eastAsia="仿宋"/>
          <w:b/>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4"/>
      <w:suff w:val="nothing"/>
      <w:lvlText w:val="%1%2　"/>
      <w:lvlJc w:val="left"/>
      <w:pPr>
        <w:ind w:left="0" w:firstLine="0"/>
      </w:pPr>
      <w:rPr>
        <w:rFonts w:hint="eastAsia" w:ascii="黑体" w:eastAsia="黑体"/>
        <w:b w:val="0"/>
        <w:i w:val="0"/>
        <w:sz w:val="21"/>
      </w:rPr>
    </w:lvl>
    <w:lvl w:ilvl="2" w:tentative="0">
      <w:start w:val="1"/>
      <w:numFmt w:val="decimal"/>
      <w:pStyle w:val="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15"/>
      <w:suff w:val="nothing"/>
      <w:lvlText w:val="%1%2.%3.%4　"/>
      <w:lvlJc w:val="left"/>
      <w:pPr>
        <w:ind w:left="0" w:firstLine="0"/>
      </w:pPr>
      <w:rPr>
        <w:rFonts w:hint="eastAsia" w:ascii="黑体" w:eastAsia="黑体"/>
        <w:b w:val="0"/>
        <w:i w:val="0"/>
        <w:sz w:val="21"/>
      </w:rPr>
    </w:lvl>
    <w:lvl w:ilvl="4" w:tentative="0">
      <w:start w:val="1"/>
      <w:numFmt w:val="decimal"/>
      <w:pStyle w:val="16"/>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iOWM2MzNlZjk4NTNhNjlmZThmZjcxNGE1Y2Q0ZmIifQ=="/>
  </w:docVars>
  <w:rsids>
    <w:rsidRoot w:val="000B67F0"/>
    <w:rsid w:val="0000005D"/>
    <w:rsid w:val="00001A87"/>
    <w:rsid w:val="000040D0"/>
    <w:rsid w:val="00005414"/>
    <w:rsid w:val="0000562B"/>
    <w:rsid w:val="00006B78"/>
    <w:rsid w:val="000071A6"/>
    <w:rsid w:val="0000721A"/>
    <w:rsid w:val="00012121"/>
    <w:rsid w:val="0001753B"/>
    <w:rsid w:val="000210DD"/>
    <w:rsid w:val="000223B0"/>
    <w:rsid w:val="0002293A"/>
    <w:rsid w:val="000308D8"/>
    <w:rsid w:val="00031544"/>
    <w:rsid w:val="00032DC9"/>
    <w:rsid w:val="00033218"/>
    <w:rsid w:val="0003323D"/>
    <w:rsid w:val="0003329D"/>
    <w:rsid w:val="000411CB"/>
    <w:rsid w:val="0004120B"/>
    <w:rsid w:val="00044938"/>
    <w:rsid w:val="00045AEF"/>
    <w:rsid w:val="00045CB9"/>
    <w:rsid w:val="000500FC"/>
    <w:rsid w:val="00050A84"/>
    <w:rsid w:val="00052FA7"/>
    <w:rsid w:val="00055D9D"/>
    <w:rsid w:val="00056D20"/>
    <w:rsid w:val="00057EA5"/>
    <w:rsid w:val="0006044B"/>
    <w:rsid w:val="00060623"/>
    <w:rsid w:val="00060BB1"/>
    <w:rsid w:val="0006174A"/>
    <w:rsid w:val="00063360"/>
    <w:rsid w:val="00072911"/>
    <w:rsid w:val="00072C4D"/>
    <w:rsid w:val="0007379E"/>
    <w:rsid w:val="00073AEB"/>
    <w:rsid w:val="000745DC"/>
    <w:rsid w:val="00076C3F"/>
    <w:rsid w:val="00077914"/>
    <w:rsid w:val="00080D5B"/>
    <w:rsid w:val="00083FEF"/>
    <w:rsid w:val="00086FE3"/>
    <w:rsid w:val="00092DB8"/>
    <w:rsid w:val="00095602"/>
    <w:rsid w:val="00096223"/>
    <w:rsid w:val="000A1E07"/>
    <w:rsid w:val="000A2AD4"/>
    <w:rsid w:val="000A5629"/>
    <w:rsid w:val="000A5C8C"/>
    <w:rsid w:val="000A6F89"/>
    <w:rsid w:val="000A7420"/>
    <w:rsid w:val="000B03C8"/>
    <w:rsid w:val="000B1C90"/>
    <w:rsid w:val="000B1FC0"/>
    <w:rsid w:val="000B2531"/>
    <w:rsid w:val="000B28C1"/>
    <w:rsid w:val="000B4A7F"/>
    <w:rsid w:val="000B52D6"/>
    <w:rsid w:val="000B65E3"/>
    <w:rsid w:val="000B67F0"/>
    <w:rsid w:val="000B72F3"/>
    <w:rsid w:val="000C0D9C"/>
    <w:rsid w:val="000C188C"/>
    <w:rsid w:val="000C576A"/>
    <w:rsid w:val="000C5C97"/>
    <w:rsid w:val="000C5E00"/>
    <w:rsid w:val="000C60FE"/>
    <w:rsid w:val="000C6DF6"/>
    <w:rsid w:val="000D0577"/>
    <w:rsid w:val="000D2987"/>
    <w:rsid w:val="000D3ADB"/>
    <w:rsid w:val="000D470C"/>
    <w:rsid w:val="000D471A"/>
    <w:rsid w:val="000D5EA8"/>
    <w:rsid w:val="000D6BC2"/>
    <w:rsid w:val="000D717B"/>
    <w:rsid w:val="000E0072"/>
    <w:rsid w:val="000E3902"/>
    <w:rsid w:val="000E5419"/>
    <w:rsid w:val="000E6BF8"/>
    <w:rsid w:val="000E77E7"/>
    <w:rsid w:val="000F0167"/>
    <w:rsid w:val="000F0E29"/>
    <w:rsid w:val="000F0EE0"/>
    <w:rsid w:val="000F28EC"/>
    <w:rsid w:val="000F322B"/>
    <w:rsid w:val="000F6698"/>
    <w:rsid w:val="00100B55"/>
    <w:rsid w:val="00104873"/>
    <w:rsid w:val="00106C55"/>
    <w:rsid w:val="00107F18"/>
    <w:rsid w:val="00110990"/>
    <w:rsid w:val="00110FDE"/>
    <w:rsid w:val="0011250C"/>
    <w:rsid w:val="00115553"/>
    <w:rsid w:val="00117E52"/>
    <w:rsid w:val="0012117B"/>
    <w:rsid w:val="0012294F"/>
    <w:rsid w:val="0013511E"/>
    <w:rsid w:val="00141D2E"/>
    <w:rsid w:val="00142C07"/>
    <w:rsid w:val="001430A5"/>
    <w:rsid w:val="00143B5D"/>
    <w:rsid w:val="001454A6"/>
    <w:rsid w:val="0014630A"/>
    <w:rsid w:val="00147642"/>
    <w:rsid w:val="00147EC0"/>
    <w:rsid w:val="00152E30"/>
    <w:rsid w:val="0015382B"/>
    <w:rsid w:val="00155715"/>
    <w:rsid w:val="001578E0"/>
    <w:rsid w:val="00163D50"/>
    <w:rsid w:val="00172151"/>
    <w:rsid w:val="00172266"/>
    <w:rsid w:val="00173D61"/>
    <w:rsid w:val="00176AEF"/>
    <w:rsid w:val="00177726"/>
    <w:rsid w:val="00177DFA"/>
    <w:rsid w:val="001816D0"/>
    <w:rsid w:val="0018194A"/>
    <w:rsid w:val="00182A15"/>
    <w:rsid w:val="001906BE"/>
    <w:rsid w:val="00193609"/>
    <w:rsid w:val="0019389E"/>
    <w:rsid w:val="001940C1"/>
    <w:rsid w:val="001955EF"/>
    <w:rsid w:val="001A04FB"/>
    <w:rsid w:val="001A1B42"/>
    <w:rsid w:val="001A3810"/>
    <w:rsid w:val="001A3C19"/>
    <w:rsid w:val="001A4D20"/>
    <w:rsid w:val="001B1E1E"/>
    <w:rsid w:val="001B33FD"/>
    <w:rsid w:val="001B3A96"/>
    <w:rsid w:val="001C2F48"/>
    <w:rsid w:val="001C627D"/>
    <w:rsid w:val="001D44CE"/>
    <w:rsid w:val="001D7E9D"/>
    <w:rsid w:val="001E44CB"/>
    <w:rsid w:val="001E4E59"/>
    <w:rsid w:val="001E4F13"/>
    <w:rsid w:val="001E5BB8"/>
    <w:rsid w:val="001E7264"/>
    <w:rsid w:val="001E748C"/>
    <w:rsid w:val="001E77A7"/>
    <w:rsid w:val="001F2820"/>
    <w:rsid w:val="001F2CBD"/>
    <w:rsid w:val="001F32F1"/>
    <w:rsid w:val="001F6CBD"/>
    <w:rsid w:val="00203D68"/>
    <w:rsid w:val="002047DA"/>
    <w:rsid w:val="0020499C"/>
    <w:rsid w:val="0020517C"/>
    <w:rsid w:val="00205AA6"/>
    <w:rsid w:val="00205C0C"/>
    <w:rsid w:val="00206E20"/>
    <w:rsid w:val="00212CE0"/>
    <w:rsid w:val="0021388A"/>
    <w:rsid w:val="00213D26"/>
    <w:rsid w:val="00223320"/>
    <w:rsid w:val="0022332E"/>
    <w:rsid w:val="00224115"/>
    <w:rsid w:val="002278A4"/>
    <w:rsid w:val="0023077F"/>
    <w:rsid w:val="0023177F"/>
    <w:rsid w:val="002357AA"/>
    <w:rsid w:val="0024066C"/>
    <w:rsid w:val="0024102B"/>
    <w:rsid w:val="00241EF3"/>
    <w:rsid w:val="002422DC"/>
    <w:rsid w:val="00242C90"/>
    <w:rsid w:val="00243443"/>
    <w:rsid w:val="002479E6"/>
    <w:rsid w:val="00247D50"/>
    <w:rsid w:val="002533B7"/>
    <w:rsid w:val="00253BD1"/>
    <w:rsid w:val="00253FC7"/>
    <w:rsid w:val="0025487C"/>
    <w:rsid w:val="002560D4"/>
    <w:rsid w:val="00256C72"/>
    <w:rsid w:val="0026318B"/>
    <w:rsid w:val="0026362D"/>
    <w:rsid w:val="00270008"/>
    <w:rsid w:val="002729E6"/>
    <w:rsid w:val="00275B3D"/>
    <w:rsid w:val="00277A36"/>
    <w:rsid w:val="002808AF"/>
    <w:rsid w:val="002812C0"/>
    <w:rsid w:val="0028357F"/>
    <w:rsid w:val="00283CF2"/>
    <w:rsid w:val="00286CF7"/>
    <w:rsid w:val="0029058F"/>
    <w:rsid w:val="002922BC"/>
    <w:rsid w:val="00292DF2"/>
    <w:rsid w:val="00293124"/>
    <w:rsid w:val="00294F39"/>
    <w:rsid w:val="0029614D"/>
    <w:rsid w:val="002971FE"/>
    <w:rsid w:val="002A0F8E"/>
    <w:rsid w:val="002A2A57"/>
    <w:rsid w:val="002A5F31"/>
    <w:rsid w:val="002A5FD0"/>
    <w:rsid w:val="002A686E"/>
    <w:rsid w:val="002A75BE"/>
    <w:rsid w:val="002B442F"/>
    <w:rsid w:val="002B524C"/>
    <w:rsid w:val="002B5626"/>
    <w:rsid w:val="002B62DD"/>
    <w:rsid w:val="002C2397"/>
    <w:rsid w:val="002C2C08"/>
    <w:rsid w:val="002C420E"/>
    <w:rsid w:val="002C4279"/>
    <w:rsid w:val="002C7614"/>
    <w:rsid w:val="002C7B0B"/>
    <w:rsid w:val="002D0F20"/>
    <w:rsid w:val="002D1DC3"/>
    <w:rsid w:val="002D2AE8"/>
    <w:rsid w:val="002D3471"/>
    <w:rsid w:val="002D5BC2"/>
    <w:rsid w:val="002D6FC7"/>
    <w:rsid w:val="002E0636"/>
    <w:rsid w:val="002E34EF"/>
    <w:rsid w:val="002E41E8"/>
    <w:rsid w:val="002E7093"/>
    <w:rsid w:val="002F2563"/>
    <w:rsid w:val="002F2687"/>
    <w:rsid w:val="002F3B71"/>
    <w:rsid w:val="002F49BE"/>
    <w:rsid w:val="002F6B5A"/>
    <w:rsid w:val="002F73C5"/>
    <w:rsid w:val="00300841"/>
    <w:rsid w:val="00302950"/>
    <w:rsid w:val="00303C1B"/>
    <w:rsid w:val="00303FC7"/>
    <w:rsid w:val="00313C01"/>
    <w:rsid w:val="00315785"/>
    <w:rsid w:val="00315D64"/>
    <w:rsid w:val="0031707A"/>
    <w:rsid w:val="003204B2"/>
    <w:rsid w:val="003218D0"/>
    <w:rsid w:val="0032281C"/>
    <w:rsid w:val="003265D9"/>
    <w:rsid w:val="00332833"/>
    <w:rsid w:val="00335066"/>
    <w:rsid w:val="00335363"/>
    <w:rsid w:val="0033551B"/>
    <w:rsid w:val="00335959"/>
    <w:rsid w:val="00343196"/>
    <w:rsid w:val="00343CDF"/>
    <w:rsid w:val="00346893"/>
    <w:rsid w:val="00347507"/>
    <w:rsid w:val="00352C5D"/>
    <w:rsid w:val="0035750A"/>
    <w:rsid w:val="00357601"/>
    <w:rsid w:val="00361E07"/>
    <w:rsid w:val="00363155"/>
    <w:rsid w:val="00363D33"/>
    <w:rsid w:val="00364257"/>
    <w:rsid w:val="00364A96"/>
    <w:rsid w:val="00366512"/>
    <w:rsid w:val="003675E1"/>
    <w:rsid w:val="003713E4"/>
    <w:rsid w:val="003779C7"/>
    <w:rsid w:val="00380D7E"/>
    <w:rsid w:val="00380D99"/>
    <w:rsid w:val="00381C37"/>
    <w:rsid w:val="0038386B"/>
    <w:rsid w:val="00383C24"/>
    <w:rsid w:val="00385315"/>
    <w:rsid w:val="0038563A"/>
    <w:rsid w:val="00385C70"/>
    <w:rsid w:val="00386ABB"/>
    <w:rsid w:val="00386D3D"/>
    <w:rsid w:val="00390B63"/>
    <w:rsid w:val="0039195E"/>
    <w:rsid w:val="0039331E"/>
    <w:rsid w:val="00393FA8"/>
    <w:rsid w:val="00397D4C"/>
    <w:rsid w:val="003A11DF"/>
    <w:rsid w:val="003A1812"/>
    <w:rsid w:val="003A22D4"/>
    <w:rsid w:val="003A2A1A"/>
    <w:rsid w:val="003A4F50"/>
    <w:rsid w:val="003A59AD"/>
    <w:rsid w:val="003A780F"/>
    <w:rsid w:val="003A7835"/>
    <w:rsid w:val="003B5B7D"/>
    <w:rsid w:val="003B6BFB"/>
    <w:rsid w:val="003B6DDD"/>
    <w:rsid w:val="003C0C0E"/>
    <w:rsid w:val="003C1F11"/>
    <w:rsid w:val="003C1FA5"/>
    <w:rsid w:val="003C489E"/>
    <w:rsid w:val="003C49C2"/>
    <w:rsid w:val="003C4F6B"/>
    <w:rsid w:val="003D1A21"/>
    <w:rsid w:val="003D2A6F"/>
    <w:rsid w:val="003D2E23"/>
    <w:rsid w:val="003D4228"/>
    <w:rsid w:val="003D56EC"/>
    <w:rsid w:val="003D7759"/>
    <w:rsid w:val="003E21C6"/>
    <w:rsid w:val="003E2578"/>
    <w:rsid w:val="003E2886"/>
    <w:rsid w:val="003E2C45"/>
    <w:rsid w:val="003E3A62"/>
    <w:rsid w:val="003E55A3"/>
    <w:rsid w:val="003E62EC"/>
    <w:rsid w:val="003E78B8"/>
    <w:rsid w:val="003F0B72"/>
    <w:rsid w:val="003F205D"/>
    <w:rsid w:val="003F243E"/>
    <w:rsid w:val="003F2D86"/>
    <w:rsid w:val="003F3143"/>
    <w:rsid w:val="003F394B"/>
    <w:rsid w:val="0040026D"/>
    <w:rsid w:val="004029A1"/>
    <w:rsid w:val="00405606"/>
    <w:rsid w:val="004058DD"/>
    <w:rsid w:val="00410738"/>
    <w:rsid w:val="00412DA0"/>
    <w:rsid w:val="00414890"/>
    <w:rsid w:val="00414A63"/>
    <w:rsid w:val="00414A8F"/>
    <w:rsid w:val="00416D47"/>
    <w:rsid w:val="00416DC5"/>
    <w:rsid w:val="004171C3"/>
    <w:rsid w:val="00423C28"/>
    <w:rsid w:val="00427ECD"/>
    <w:rsid w:val="004327E0"/>
    <w:rsid w:val="004335C0"/>
    <w:rsid w:val="004343DA"/>
    <w:rsid w:val="00435C80"/>
    <w:rsid w:val="004364AD"/>
    <w:rsid w:val="00436A9E"/>
    <w:rsid w:val="00436ADD"/>
    <w:rsid w:val="00436CFD"/>
    <w:rsid w:val="00437D14"/>
    <w:rsid w:val="00441EE8"/>
    <w:rsid w:val="0044251A"/>
    <w:rsid w:val="00446A0A"/>
    <w:rsid w:val="00446D76"/>
    <w:rsid w:val="00446DBB"/>
    <w:rsid w:val="00450963"/>
    <w:rsid w:val="00450B2A"/>
    <w:rsid w:val="00450F24"/>
    <w:rsid w:val="00452440"/>
    <w:rsid w:val="004540DF"/>
    <w:rsid w:val="00454197"/>
    <w:rsid w:val="00461641"/>
    <w:rsid w:val="0046284F"/>
    <w:rsid w:val="00463AC4"/>
    <w:rsid w:val="00464EBD"/>
    <w:rsid w:val="00465786"/>
    <w:rsid w:val="0046607C"/>
    <w:rsid w:val="00467A57"/>
    <w:rsid w:val="00470D85"/>
    <w:rsid w:val="004725D1"/>
    <w:rsid w:val="00473133"/>
    <w:rsid w:val="0047584E"/>
    <w:rsid w:val="00475974"/>
    <w:rsid w:val="00477700"/>
    <w:rsid w:val="00480E2C"/>
    <w:rsid w:val="00481E9F"/>
    <w:rsid w:val="00483D46"/>
    <w:rsid w:val="004878B4"/>
    <w:rsid w:val="00490F87"/>
    <w:rsid w:val="004926FF"/>
    <w:rsid w:val="00492B46"/>
    <w:rsid w:val="004934E1"/>
    <w:rsid w:val="00493AE5"/>
    <w:rsid w:val="00493CC3"/>
    <w:rsid w:val="00493CDA"/>
    <w:rsid w:val="00497586"/>
    <w:rsid w:val="004A0746"/>
    <w:rsid w:val="004A2516"/>
    <w:rsid w:val="004A4BAB"/>
    <w:rsid w:val="004A585F"/>
    <w:rsid w:val="004A74E2"/>
    <w:rsid w:val="004B4B78"/>
    <w:rsid w:val="004B7467"/>
    <w:rsid w:val="004B7EA8"/>
    <w:rsid w:val="004C0344"/>
    <w:rsid w:val="004C3006"/>
    <w:rsid w:val="004C5241"/>
    <w:rsid w:val="004C7778"/>
    <w:rsid w:val="004D1C5F"/>
    <w:rsid w:val="004D4F6C"/>
    <w:rsid w:val="004D7E60"/>
    <w:rsid w:val="004E0BCE"/>
    <w:rsid w:val="004E2ACA"/>
    <w:rsid w:val="004E5D40"/>
    <w:rsid w:val="004E6C65"/>
    <w:rsid w:val="004E6DE7"/>
    <w:rsid w:val="004F44AD"/>
    <w:rsid w:val="004F474D"/>
    <w:rsid w:val="00501BC9"/>
    <w:rsid w:val="00503729"/>
    <w:rsid w:val="00504384"/>
    <w:rsid w:val="0050485C"/>
    <w:rsid w:val="00505D91"/>
    <w:rsid w:val="00505EB0"/>
    <w:rsid w:val="005065FA"/>
    <w:rsid w:val="00510345"/>
    <w:rsid w:val="00513A30"/>
    <w:rsid w:val="00513DAA"/>
    <w:rsid w:val="00515529"/>
    <w:rsid w:val="00516539"/>
    <w:rsid w:val="00516AD4"/>
    <w:rsid w:val="00517BB8"/>
    <w:rsid w:val="0052084A"/>
    <w:rsid w:val="00521501"/>
    <w:rsid w:val="00522EC8"/>
    <w:rsid w:val="0052563E"/>
    <w:rsid w:val="005258D2"/>
    <w:rsid w:val="00534925"/>
    <w:rsid w:val="00534FC4"/>
    <w:rsid w:val="00536636"/>
    <w:rsid w:val="00542C8B"/>
    <w:rsid w:val="00544BC5"/>
    <w:rsid w:val="0054546F"/>
    <w:rsid w:val="0054642E"/>
    <w:rsid w:val="00546C87"/>
    <w:rsid w:val="005518FC"/>
    <w:rsid w:val="00553180"/>
    <w:rsid w:val="00555570"/>
    <w:rsid w:val="00555CBA"/>
    <w:rsid w:val="00566AC4"/>
    <w:rsid w:val="005742C3"/>
    <w:rsid w:val="00576E7E"/>
    <w:rsid w:val="00581446"/>
    <w:rsid w:val="005835CF"/>
    <w:rsid w:val="00585EE5"/>
    <w:rsid w:val="00590A53"/>
    <w:rsid w:val="00595500"/>
    <w:rsid w:val="005955E8"/>
    <w:rsid w:val="005963BE"/>
    <w:rsid w:val="005966BB"/>
    <w:rsid w:val="005967AC"/>
    <w:rsid w:val="005A1818"/>
    <w:rsid w:val="005A1A4F"/>
    <w:rsid w:val="005A2222"/>
    <w:rsid w:val="005A3094"/>
    <w:rsid w:val="005A3D75"/>
    <w:rsid w:val="005A4FE5"/>
    <w:rsid w:val="005A5C3F"/>
    <w:rsid w:val="005A7FCA"/>
    <w:rsid w:val="005B11A9"/>
    <w:rsid w:val="005B2950"/>
    <w:rsid w:val="005C0D05"/>
    <w:rsid w:val="005C6D41"/>
    <w:rsid w:val="005D02A4"/>
    <w:rsid w:val="005D31FC"/>
    <w:rsid w:val="005D4362"/>
    <w:rsid w:val="005D5A4D"/>
    <w:rsid w:val="005E0CF8"/>
    <w:rsid w:val="005E1961"/>
    <w:rsid w:val="005E2A91"/>
    <w:rsid w:val="005E3905"/>
    <w:rsid w:val="005E449A"/>
    <w:rsid w:val="005E4E05"/>
    <w:rsid w:val="005E5452"/>
    <w:rsid w:val="005E7C73"/>
    <w:rsid w:val="005E7E72"/>
    <w:rsid w:val="005F1146"/>
    <w:rsid w:val="005F6525"/>
    <w:rsid w:val="005F7647"/>
    <w:rsid w:val="005F7E62"/>
    <w:rsid w:val="00600EF3"/>
    <w:rsid w:val="006019C0"/>
    <w:rsid w:val="00601EC1"/>
    <w:rsid w:val="00601F41"/>
    <w:rsid w:val="006053CB"/>
    <w:rsid w:val="0060554C"/>
    <w:rsid w:val="00605D29"/>
    <w:rsid w:val="00606621"/>
    <w:rsid w:val="00606F54"/>
    <w:rsid w:val="00607E40"/>
    <w:rsid w:val="00611FBE"/>
    <w:rsid w:val="00613C85"/>
    <w:rsid w:val="00614AC8"/>
    <w:rsid w:val="00616535"/>
    <w:rsid w:val="006200E3"/>
    <w:rsid w:val="00623618"/>
    <w:rsid w:val="00624855"/>
    <w:rsid w:val="0062488E"/>
    <w:rsid w:val="006263E1"/>
    <w:rsid w:val="00626934"/>
    <w:rsid w:val="00627475"/>
    <w:rsid w:val="0063798B"/>
    <w:rsid w:val="00637C4A"/>
    <w:rsid w:val="0064172A"/>
    <w:rsid w:val="00641B20"/>
    <w:rsid w:val="00644DD1"/>
    <w:rsid w:val="0064535C"/>
    <w:rsid w:val="00647BFC"/>
    <w:rsid w:val="006536D7"/>
    <w:rsid w:val="006546A3"/>
    <w:rsid w:val="00656119"/>
    <w:rsid w:val="00660433"/>
    <w:rsid w:val="00661013"/>
    <w:rsid w:val="00662DA7"/>
    <w:rsid w:val="00662E22"/>
    <w:rsid w:val="00664695"/>
    <w:rsid w:val="00665CD1"/>
    <w:rsid w:val="00667166"/>
    <w:rsid w:val="00670D09"/>
    <w:rsid w:val="00672626"/>
    <w:rsid w:val="00672F4D"/>
    <w:rsid w:val="0067389F"/>
    <w:rsid w:val="006749E0"/>
    <w:rsid w:val="006749E8"/>
    <w:rsid w:val="00677756"/>
    <w:rsid w:val="00681829"/>
    <w:rsid w:val="00682126"/>
    <w:rsid w:val="006850F4"/>
    <w:rsid w:val="00685C8A"/>
    <w:rsid w:val="0069014D"/>
    <w:rsid w:val="00693C26"/>
    <w:rsid w:val="006A04D4"/>
    <w:rsid w:val="006A32BF"/>
    <w:rsid w:val="006A39F1"/>
    <w:rsid w:val="006A472D"/>
    <w:rsid w:val="006A4B9D"/>
    <w:rsid w:val="006A5155"/>
    <w:rsid w:val="006A607D"/>
    <w:rsid w:val="006A67A3"/>
    <w:rsid w:val="006B07B9"/>
    <w:rsid w:val="006B0FCA"/>
    <w:rsid w:val="006B10CE"/>
    <w:rsid w:val="006B395B"/>
    <w:rsid w:val="006B3EA8"/>
    <w:rsid w:val="006B446C"/>
    <w:rsid w:val="006B4BFC"/>
    <w:rsid w:val="006C4315"/>
    <w:rsid w:val="006C5FCF"/>
    <w:rsid w:val="006C6279"/>
    <w:rsid w:val="006D27EA"/>
    <w:rsid w:val="006D45E2"/>
    <w:rsid w:val="006D59E3"/>
    <w:rsid w:val="006D5BCC"/>
    <w:rsid w:val="006D5DCB"/>
    <w:rsid w:val="006E1B46"/>
    <w:rsid w:val="006E3368"/>
    <w:rsid w:val="006E3AA9"/>
    <w:rsid w:val="006E4CEA"/>
    <w:rsid w:val="006E52E9"/>
    <w:rsid w:val="006E6E1E"/>
    <w:rsid w:val="006F05AB"/>
    <w:rsid w:val="006F2F92"/>
    <w:rsid w:val="006F5454"/>
    <w:rsid w:val="006F7373"/>
    <w:rsid w:val="007010A4"/>
    <w:rsid w:val="00701ED3"/>
    <w:rsid w:val="00703B44"/>
    <w:rsid w:val="00703EF4"/>
    <w:rsid w:val="00706CA0"/>
    <w:rsid w:val="0071139C"/>
    <w:rsid w:val="00713213"/>
    <w:rsid w:val="0071691B"/>
    <w:rsid w:val="00716C35"/>
    <w:rsid w:val="00721360"/>
    <w:rsid w:val="007266F5"/>
    <w:rsid w:val="007278B3"/>
    <w:rsid w:val="00727C34"/>
    <w:rsid w:val="00733371"/>
    <w:rsid w:val="00733E90"/>
    <w:rsid w:val="00735172"/>
    <w:rsid w:val="00735F14"/>
    <w:rsid w:val="00736AFE"/>
    <w:rsid w:val="00737618"/>
    <w:rsid w:val="00737DC2"/>
    <w:rsid w:val="0074056A"/>
    <w:rsid w:val="007418F2"/>
    <w:rsid w:val="00741B3C"/>
    <w:rsid w:val="00742C8A"/>
    <w:rsid w:val="007435CA"/>
    <w:rsid w:val="00751CB9"/>
    <w:rsid w:val="007522DB"/>
    <w:rsid w:val="00752B16"/>
    <w:rsid w:val="007530E9"/>
    <w:rsid w:val="00756C7A"/>
    <w:rsid w:val="00757A00"/>
    <w:rsid w:val="00757B2F"/>
    <w:rsid w:val="00762BF1"/>
    <w:rsid w:val="0076409E"/>
    <w:rsid w:val="00764612"/>
    <w:rsid w:val="0076542F"/>
    <w:rsid w:val="00765CC7"/>
    <w:rsid w:val="00765F0F"/>
    <w:rsid w:val="00771728"/>
    <w:rsid w:val="007723DA"/>
    <w:rsid w:val="007776F7"/>
    <w:rsid w:val="00780382"/>
    <w:rsid w:val="00782E42"/>
    <w:rsid w:val="0078423C"/>
    <w:rsid w:val="007859A3"/>
    <w:rsid w:val="00786BF5"/>
    <w:rsid w:val="007903C8"/>
    <w:rsid w:val="007908A7"/>
    <w:rsid w:val="007916C2"/>
    <w:rsid w:val="007937D0"/>
    <w:rsid w:val="00794AB9"/>
    <w:rsid w:val="00795E68"/>
    <w:rsid w:val="00797111"/>
    <w:rsid w:val="007A09FD"/>
    <w:rsid w:val="007A15FF"/>
    <w:rsid w:val="007A25CE"/>
    <w:rsid w:val="007A5E8B"/>
    <w:rsid w:val="007B4B97"/>
    <w:rsid w:val="007B68EC"/>
    <w:rsid w:val="007B701A"/>
    <w:rsid w:val="007B76C9"/>
    <w:rsid w:val="007C16DE"/>
    <w:rsid w:val="007C349A"/>
    <w:rsid w:val="007C4FA2"/>
    <w:rsid w:val="007C744B"/>
    <w:rsid w:val="007C7854"/>
    <w:rsid w:val="007C7E2F"/>
    <w:rsid w:val="007C7F8C"/>
    <w:rsid w:val="007D2D20"/>
    <w:rsid w:val="007D54A6"/>
    <w:rsid w:val="007E00D7"/>
    <w:rsid w:val="007E0587"/>
    <w:rsid w:val="007E0F66"/>
    <w:rsid w:val="007E2004"/>
    <w:rsid w:val="007E24E2"/>
    <w:rsid w:val="007E3935"/>
    <w:rsid w:val="007E6E52"/>
    <w:rsid w:val="007F5634"/>
    <w:rsid w:val="007F67B0"/>
    <w:rsid w:val="007F77ED"/>
    <w:rsid w:val="00803816"/>
    <w:rsid w:val="00804900"/>
    <w:rsid w:val="00804D2D"/>
    <w:rsid w:val="00806418"/>
    <w:rsid w:val="008067B8"/>
    <w:rsid w:val="00807AB0"/>
    <w:rsid w:val="00810EF9"/>
    <w:rsid w:val="00812056"/>
    <w:rsid w:val="00816C68"/>
    <w:rsid w:val="00823FE7"/>
    <w:rsid w:val="00826EC8"/>
    <w:rsid w:val="0083691C"/>
    <w:rsid w:val="00836BC0"/>
    <w:rsid w:val="00837E21"/>
    <w:rsid w:val="00841AA5"/>
    <w:rsid w:val="00846560"/>
    <w:rsid w:val="0084699D"/>
    <w:rsid w:val="00850575"/>
    <w:rsid w:val="008506E9"/>
    <w:rsid w:val="00851F34"/>
    <w:rsid w:val="0086160D"/>
    <w:rsid w:val="00865324"/>
    <w:rsid w:val="008656A2"/>
    <w:rsid w:val="00865A5E"/>
    <w:rsid w:val="00870BEA"/>
    <w:rsid w:val="00871B98"/>
    <w:rsid w:val="008739C2"/>
    <w:rsid w:val="00876C10"/>
    <w:rsid w:val="0088015C"/>
    <w:rsid w:val="008845BC"/>
    <w:rsid w:val="00886EB5"/>
    <w:rsid w:val="00887A23"/>
    <w:rsid w:val="0089031D"/>
    <w:rsid w:val="008918D8"/>
    <w:rsid w:val="008A25B4"/>
    <w:rsid w:val="008A7359"/>
    <w:rsid w:val="008B13CB"/>
    <w:rsid w:val="008B3D32"/>
    <w:rsid w:val="008B4163"/>
    <w:rsid w:val="008B4F4C"/>
    <w:rsid w:val="008B5DBE"/>
    <w:rsid w:val="008B640D"/>
    <w:rsid w:val="008C01B8"/>
    <w:rsid w:val="008C1547"/>
    <w:rsid w:val="008C2BEA"/>
    <w:rsid w:val="008C417F"/>
    <w:rsid w:val="008C5756"/>
    <w:rsid w:val="008D038F"/>
    <w:rsid w:val="008D2F2C"/>
    <w:rsid w:val="008D467D"/>
    <w:rsid w:val="008D7BA5"/>
    <w:rsid w:val="008E0D10"/>
    <w:rsid w:val="008E25C2"/>
    <w:rsid w:val="008E2C37"/>
    <w:rsid w:val="008E391E"/>
    <w:rsid w:val="008E4602"/>
    <w:rsid w:val="008E66D3"/>
    <w:rsid w:val="008F1C33"/>
    <w:rsid w:val="008F21AB"/>
    <w:rsid w:val="008F491B"/>
    <w:rsid w:val="008F7471"/>
    <w:rsid w:val="00900C25"/>
    <w:rsid w:val="00906656"/>
    <w:rsid w:val="00913BB4"/>
    <w:rsid w:val="00916AB1"/>
    <w:rsid w:val="00916B4A"/>
    <w:rsid w:val="00916CAD"/>
    <w:rsid w:val="00923A17"/>
    <w:rsid w:val="00925E63"/>
    <w:rsid w:val="00930826"/>
    <w:rsid w:val="00931196"/>
    <w:rsid w:val="00932CA5"/>
    <w:rsid w:val="00933445"/>
    <w:rsid w:val="0093599A"/>
    <w:rsid w:val="00940FCB"/>
    <w:rsid w:val="00941C82"/>
    <w:rsid w:val="00941DDF"/>
    <w:rsid w:val="0094341F"/>
    <w:rsid w:val="009437B3"/>
    <w:rsid w:val="00943CB4"/>
    <w:rsid w:val="009443FB"/>
    <w:rsid w:val="00945645"/>
    <w:rsid w:val="00945C95"/>
    <w:rsid w:val="00950300"/>
    <w:rsid w:val="0095161D"/>
    <w:rsid w:val="00951EC8"/>
    <w:rsid w:val="00953879"/>
    <w:rsid w:val="0095480E"/>
    <w:rsid w:val="00956D31"/>
    <w:rsid w:val="00960A2F"/>
    <w:rsid w:val="0096254F"/>
    <w:rsid w:val="009669D2"/>
    <w:rsid w:val="00971D2D"/>
    <w:rsid w:val="00974DBD"/>
    <w:rsid w:val="00975210"/>
    <w:rsid w:val="0097636B"/>
    <w:rsid w:val="00980AEB"/>
    <w:rsid w:val="00982FEC"/>
    <w:rsid w:val="00984F93"/>
    <w:rsid w:val="00985E9A"/>
    <w:rsid w:val="00986360"/>
    <w:rsid w:val="009865D9"/>
    <w:rsid w:val="00986C25"/>
    <w:rsid w:val="00990EAE"/>
    <w:rsid w:val="009913CC"/>
    <w:rsid w:val="00991951"/>
    <w:rsid w:val="00992228"/>
    <w:rsid w:val="009966D8"/>
    <w:rsid w:val="00997582"/>
    <w:rsid w:val="009A5703"/>
    <w:rsid w:val="009A7A10"/>
    <w:rsid w:val="009B06B7"/>
    <w:rsid w:val="009B0A47"/>
    <w:rsid w:val="009B2125"/>
    <w:rsid w:val="009B2365"/>
    <w:rsid w:val="009B2369"/>
    <w:rsid w:val="009B3085"/>
    <w:rsid w:val="009B39DE"/>
    <w:rsid w:val="009B6940"/>
    <w:rsid w:val="009C1748"/>
    <w:rsid w:val="009C6697"/>
    <w:rsid w:val="009C7A7C"/>
    <w:rsid w:val="009D00A8"/>
    <w:rsid w:val="009D08FE"/>
    <w:rsid w:val="009D1BB1"/>
    <w:rsid w:val="009D2101"/>
    <w:rsid w:val="009D26FE"/>
    <w:rsid w:val="009D2F3E"/>
    <w:rsid w:val="009D312F"/>
    <w:rsid w:val="009D3F95"/>
    <w:rsid w:val="009E0F30"/>
    <w:rsid w:val="009E1E1D"/>
    <w:rsid w:val="009E5395"/>
    <w:rsid w:val="009F067A"/>
    <w:rsid w:val="009F1949"/>
    <w:rsid w:val="009F5E53"/>
    <w:rsid w:val="009F626D"/>
    <w:rsid w:val="009F7104"/>
    <w:rsid w:val="009F7D3A"/>
    <w:rsid w:val="00A00522"/>
    <w:rsid w:val="00A04957"/>
    <w:rsid w:val="00A04BDF"/>
    <w:rsid w:val="00A06BA6"/>
    <w:rsid w:val="00A06E89"/>
    <w:rsid w:val="00A11059"/>
    <w:rsid w:val="00A1391D"/>
    <w:rsid w:val="00A1569B"/>
    <w:rsid w:val="00A15926"/>
    <w:rsid w:val="00A1759A"/>
    <w:rsid w:val="00A219E6"/>
    <w:rsid w:val="00A21E48"/>
    <w:rsid w:val="00A24AE7"/>
    <w:rsid w:val="00A32C60"/>
    <w:rsid w:val="00A34D08"/>
    <w:rsid w:val="00A40B80"/>
    <w:rsid w:val="00A42B82"/>
    <w:rsid w:val="00A43687"/>
    <w:rsid w:val="00A4623D"/>
    <w:rsid w:val="00A50409"/>
    <w:rsid w:val="00A506C6"/>
    <w:rsid w:val="00A516C1"/>
    <w:rsid w:val="00A5194B"/>
    <w:rsid w:val="00A53592"/>
    <w:rsid w:val="00A53716"/>
    <w:rsid w:val="00A5546A"/>
    <w:rsid w:val="00A564F9"/>
    <w:rsid w:val="00A57B70"/>
    <w:rsid w:val="00A61C3B"/>
    <w:rsid w:val="00A62FDC"/>
    <w:rsid w:val="00A64A4C"/>
    <w:rsid w:val="00A6789B"/>
    <w:rsid w:val="00A7018C"/>
    <w:rsid w:val="00A71190"/>
    <w:rsid w:val="00A73917"/>
    <w:rsid w:val="00A7449B"/>
    <w:rsid w:val="00A77BC2"/>
    <w:rsid w:val="00A81971"/>
    <w:rsid w:val="00A81E76"/>
    <w:rsid w:val="00A81F1E"/>
    <w:rsid w:val="00A8348A"/>
    <w:rsid w:val="00A8402C"/>
    <w:rsid w:val="00A85C2F"/>
    <w:rsid w:val="00A87328"/>
    <w:rsid w:val="00A90234"/>
    <w:rsid w:val="00A9358D"/>
    <w:rsid w:val="00A937D1"/>
    <w:rsid w:val="00A95BCD"/>
    <w:rsid w:val="00A96DC3"/>
    <w:rsid w:val="00A97431"/>
    <w:rsid w:val="00AA53FD"/>
    <w:rsid w:val="00AA607F"/>
    <w:rsid w:val="00AA680C"/>
    <w:rsid w:val="00AB2F16"/>
    <w:rsid w:val="00AB5CE4"/>
    <w:rsid w:val="00AC0E15"/>
    <w:rsid w:val="00AC3677"/>
    <w:rsid w:val="00AC5F83"/>
    <w:rsid w:val="00AC643D"/>
    <w:rsid w:val="00AC6E59"/>
    <w:rsid w:val="00AC794A"/>
    <w:rsid w:val="00AD0B8B"/>
    <w:rsid w:val="00AD25D6"/>
    <w:rsid w:val="00AD2616"/>
    <w:rsid w:val="00AD4C61"/>
    <w:rsid w:val="00AD6048"/>
    <w:rsid w:val="00AD6C99"/>
    <w:rsid w:val="00AD7BE4"/>
    <w:rsid w:val="00AE0B38"/>
    <w:rsid w:val="00AE150A"/>
    <w:rsid w:val="00AE20FD"/>
    <w:rsid w:val="00AE6650"/>
    <w:rsid w:val="00AE6AEA"/>
    <w:rsid w:val="00AE7B7D"/>
    <w:rsid w:val="00AE7EA8"/>
    <w:rsid w:val="00AF14DA"/>
    <w:rsid w:val="00AF42F4"/>
    <w:rsid w:val="00AF5ADF"/>
    <w:rsid w:val="00AF77CD"/>
    <w:rsid w:val="00AF7E7C"/>
    <w:rsid w:val="00B003CE"/>
    <w:rsid w:val="00B00D3E"/>
    <w:rsid w:val="00B01ADD"/>
    <w:rsid w:val="00B02FE9"/>
    <w:rsid w:val="00B0348E"/>
    <w:rsid w:val="00B03DBF"/>
    <w:rsid w:val="00B076E3"/>
    <w:rsid w:val="00B07C24"/>
    <w:rsid w:val="00B10FA2"/>
    <w:rsid w:val="00B1141B"/>
    <w:rsid w:val="00B1235B"/>
    <w:rsid w:val="00B1411F"/>
    <w:rsid w:val="00B148C8"/>
    <w:rsid w:val="00B1701B"/>
    <w:rsid w:val="00B20323"/>
    <w:rsid w:val="00B2061D"/>
    <w:rsid w:val="00B220DB"/>
    <w:rsid w:val="00B226A3"/>
    <w:rsid w:val="00B22756"/>
    <w:rsid w:val="00B24D49"/>
    <w:rsid w:val="00B2748B"/>
    <w:rsid w:val="00B27F6D"/>
    <w:rsid w:val="00B3050D"/>
    <w:rsid w:val="00B30941"/>
    <w:rsid w:val="00B33722"/>
    <w:rsid w:val="00B33D6E"/>
    <w:rsid w:val="00B34851"/>
    <w:rsid w:val="00B36AB9"/>
    <w:rsid w:val="00B37DAC"/>
    <w:rsid w:val="00B37F3D"/>
    <w:rsid w:val="00B41D8A"/>
    <w:rsid w:val="00B42709"/>
    <w:rsid w:val="00B440A8"/>
    <w:rsid w:val="00B454F7"/>
    <w:rsid w:val="00B5099F"/>
    <w:rsid w:val="00B50A34"/>
    <w:rsid w:val="00B53906"/>
    <w:rsid w:val="00B55B93"/>
    <w:rsid w:val="00B55FF5"/>
    <w:rsid w:val="00B57872"/>
    <w:rsid w:val="00B6004B"/>
    <w:rsid w:val="00B6066D"/>
    <w:rsid w:val="00B62222"/>
    <w:rsid w:val="00B64CDF"/>
    <w:rsid w:val="00B66B14"/>
    <w:rsid w:val="00B7198A"/>
    <w:rsid w:val="00B71DB4"/>
    <w:rsid w:val="00B7320B"/>
    <w:rsid w:val="00B74C21"/>
    <w:rsid w:val="00B75DD6"/>
    <w:rsid w:val="00B75E50"/>
    <w:rsid w:val="00B7671E"/>
    <w:rsid w:val="00B77DB2"/>
    <w:rsid w:val="00B800AF"/>
    <w:rsid w:val="00B805D0"/>
    <w:rsid w:val="00B80A46"/>
    <w:rsid w:val="00B86636"/>
    <w:rsid w:val="00B92154"/>
    <w:rsid w:val="00B929E8"/>
    <w:rsid w:val="00B92E61"/>
    <w:rsid w:val="00B975B9"/>
    <w:rsid w:val="00B97699"/>
    <w:rsid w:val="00B97A08"/>
    <w:rsid w:val="00BA11E3"/>
    <w:rsid w:val="00BA6E03"/>
    <w:rsid w:val="00BA710D"/>
    <w:rsid w:val="00BA7A55"/>
    <w:rsid w:val="00BB229D"/>
    <w:rsid w:val="00BB4AF3"/>
    <w:rsid w:val="00BB5754"/>
    <w:rsid w:val="00BB6679"/>
    <w:rsid w:val="00BC0393"/>
    <w:rsid w:val="00BC1FDD"/>
    <w:rsid w:val="00BC2BF2"/>
    <w:rsid w:val="00BC328B"/>
    <w:rsid w:val="00BC3935"/>
    <w:rsid w:val="00BC418E"/>
    <w:rsid w:val="00BC454F"/>
    <w:rsid w:val="00BC4B89"/>
    <w:rsid w:val="00BC570E"/>
    <w:rsid w:val="00BC57AF"/>
    <w:rsid w:val="00BD0EA1"/>
    <w:rsid w:val="00BD4CBF"/>
    <w:rsid w:val="00BD783F"/>
    <w:rsid w:val="00BE29CD"/>
    <w:rsid w:val="00BE3CA9"/>
    <w:rsid w:val="00BE4257"/>
    <w:rsid w:val="00BE5453"/>
    <w:rsid w:val="00BE62D4"/>
    <w:rsid w:val="00BE7070"/>
    <w:rsid w:val="00BF01B8"/>
    <w:rsid w:val="00BF24A2"/>
    <w:rsid w:val="00BF2699"/>
    <w:rsid w:val="00BF7F58"/>
    <w:rsid w:val="00C00B1E"/>
    <w:rsid w:val="00C016A5"/>
    <w:rsid w:val="00C021DD"/>
    <w:rsid w:val="00C033AA"/>
    <w:rsid w:val="00C078C6"/>
    <w:rsid w:val="00C07C80"/>
    <w:rsid w:val="00C10F4F"/>
    <w:rsid w:val="00C12B25"/>
    <w:rsid w:val="00C134F3"/>
    <w:rsid w:val="00C144B6"/>
    <w:rsid w:val="00C14636"/>
    <w:rsid w:val="00C201F4"/>
    <w:rsid w:val="00C206A7"/>
    <w:rsid w:val="00C21AD5"/>
    <w:rsid w:val="00C21D09"/>
    <w:rsid w:val="00C23D50"/>
    <w:rsid w:val="00C244FD"/>
    <w:rsid w:val="00C24AB5"/>
    <w:rsid w:val="00C255D6"/>
    <w:rsid w:val="00C25A4A"/>
    <w:rsid w:val="00C261BB"/>
    <w:rsid w:val="00C268F5"/>
    <w:rsid w:val="00C2696A"/>
    <w:rsid w:val="00C2760F"/>
    <w:rsid w:val="00C32C3F"/>
    <w:rsid w:val="00C343CA"/>
    <w:rsid w:val="00C357CC"/>
    <w:rsid w:val="00C35978"/>
    <w:rsid w:val="00C35FD5"/>
    <w:rsid w:val="00C3750A"/>
    <w:rsid w:val="00C40945"/>
    <w:rsid w:val="00C409BE"/>
    <w:rsid w:val="00C43471"/>
    <w:rsid w:val="00C4420B"/>
    <w:rsid w:val="00C447DC"/>
    <w:rsid w:val="00C457A8"/>
    <w:rsid w:val="00C458ED"/>
    <w:rsid w:val="00C46139"/>
    <w:rsid w:val="00C4776A"/>
    <w:rsid w:val="00C512FD"/>
    <w:rsid w:val="00C514A4"/>
    <w:rsid w:val="00C565A2"/>
    <w:rsid w:val="00C56F2D"/>
    <w:rsid w:val="00C5770F"/>
    <w:rsid w:val="00C60DAC"/>
    <w:rsid w:val="00C65BC4"/>
    <w:rsid w:val="00C72460"/>
    <w:rsid w:val="00C72585"/>
    <w:rsid w:val="00C74094"/>
    <w:rsid w:val="00C77A74"/>
    <w:rsid w:val="00C77B7B"/>
    <w:rsid w:val="00C81F3D"/>
    <w:rsid w:val="00C87492"/>
    <w:rsid w:val="00C92499"/>
    <w:rsid w:val="00C94A2D"/>
    <w:rsid w:val="00C958AC"/>
    <w:rsid w:val="00C96167"/>
    <w:rsid w:val="00C979E8"/>
    <w:rsid w:val="00C97C99"/>
    <w:rsid w:val="00CA04CF"/>
    <w:rsid w:val="00CA07FA"/>
    <w:rsid w:val="00CA2BFA"/>
    <w:rsid w:val="00CA35F5"/>
    <w:rsid w:val="00CB0ADD"/>
    <w:rsid w:val="00CB2359"/>
    <w:rsid w:val="00CB5684"/>
    <w:rsid w:val="00CB6600"/>
    <w:rsid w:val="00CB72BC"/>
    <w:rsid w:val="00CC1B74"/>
    <w:rsid w:val="00CC5256"/>
    <w:rsid w:val="00CC64A1"/>
    <w:rsid w:val="00CC6D23"/>
    <w:rsid w:val="00CD154E"/>
    <w:rsid w:val="00CD1CF3"/>
    <w:rsid w:val="00CD2C42"/>
    <w:rsid w:val="00CD6EF0"/>
    <w:rsid w:val="00CD70D6"/>
    <w:rsid w:val="00CE19E0"/>
    <w:rsid w:val="00CE502A"/>
    <w:rsid w:val="00CE751F"/>
    <w:rsid w:val="00CE76E4"/>
    <w:rsid w:val="00CF446A"/>
    <w:rsid w:val="00CF60EE"/>
    <w:rsid w:val="00CF72BC"/>
    <w:rsid w:val="00D00C19"/>
    <w:rsid w:val="00D016A6"/>
    <w:rsid w:val="00D024B3"/>
    <w:rsid w:val="00D02B5F"/>
    <w:rsid w:val="00D0402D"/>
    <w:rsid w:val="00D0614B"/>
    <w:rsid w:val="00D07071"/>
    <w:rsid w:val="00D10D7A"/>
    <w:rsid w:val="00D1435F"/>
    <w:rsid w:val="00D22BBC"/>
    <w:rsid w:val="00D23BFA"/>
    <w:rsid w:val="00D2558C"/>
    <w:rsid w:val="00D34EC9"/>
    <w:rsid w:val="00D34F65"/>
    <w:rsid w:val="00D43E4E"/>
    <w:rsid w:val="00D45339"/>
    <w:rsid w:val="00D46CDF"/>
    <w:rsid w:val="00D47973"/>
    <w:rsid w:val="00D47BBD"/>
    <w:rsid w:val="00D5015A"/>
    <w:rsid w:val="00D51A0D"/>
    <w:rsid w:val="00D52494"/>
    <w:rsid w:val="00D557CE"/>
    <w:rsid w:val="00D55DD3"/>
    <w:rsid w:val="00D5642F"/>
    <w:rsid w:val="00D56C42"/>
    <w:rsid w:val="00D621E0"/>
    <w:rsid w:val="00D642D8"/>
    <w:rsid w:val="00D67814"/>
    <w:rsid w:val="00D67CFF"/>
    <w:rsid w:val="00D70520"/>
    <w:rsid w:val="00D71A14"/>
    <w:rsid w:val="00D71ED4"/>
    <w:rsid w:val="00D7202D"/>
    <w:rsid w:val="00D82762"/>
    <w:rsid w:val="00D831D6"/>
    <w:rsid w:val="00D91B2A"/>
    <w:rsid w:val="00D91BD0"/>
    <w:rsid w:val="00D92AD9"/>
    <w:rsid w:val="00D92F36"/>
    <w:rsid w:val="00D93A87"/>
    <w:rsid w:val="00D94003"/>
    <w:rsid w:val="00D96660"/>
    <w:rsid w:val="00D96B88"/>
    <w:rsid w:val="00D9706A"/>
    <w:rsid w:val="00D97B66"/>
    <w:rsid w:val="00DA0591"/>
    <w:rsid w:val="00DA095A"/>
    <w:rsid w:val="00DA2460"/>
    <w:rsid w:val="00DA35B4"/>
    <w:rsid w:val="00DA43E2"/>
    <w:rsid w:val="00DA6616"/>
    <w:rsid w:val="00DA6BC8"/>
    <w:rsid w:val="00DB1A4B"/>
    <w:rsid w:val="00DB27C1"/>
    <w:rsid w:val="00DB3C9D"/>
    <w:rsid w:val="00DB49C3"/>
    <w:rsid w:val="00DB541C"/>
    <w:rsid w:val="00DB651C"/>
    <w:rsid w:val="00DB718D"/>
    <w:rsid w:val="00DC05EB"/>
    <w:rsid w:val="00DC138B"/>
    <w:rsid w:val="00DC74A6"/>
    <w:rsid w:val="00DC7F5E"/>
    <w:rsid w:val="00DD1F33"/>
    <w:rsid w:val="00DD3661"/>
    <w:rsid w:val="00DD43A8"/>
    <w:rsid w:val="00DD64BF"/>
    <w:rsid w:val="00DD6C08"/>
    <w:rsid w:val="00DE183E"/>
    <w:rsid w:val="00DE1BFD"/>
    <w:rsid w:val="00DE2D05"/>
    <w:rsid w:val="00DE55EE"/>
    <w:rsid w:val="00DE6FB8"/>
    <w:rsid w:val="00DF13AF"/>
    <w:rsid w:val="00DF2E8F"/>
    <w:rsid w:val="00DF6BED"/>
    <w:rsid w:val="00DF7A56"/>
    <w:rsid w:val="00E0036A"/>
    <w:rsid w:val="00E02E57"/>
    <w:rsid w:val="00E02E5D"/>
    <w:rsid w:val="00E04343"/>
    <w:rsid w:val="00E05F2A"/>
    <w:rsid w:val="00E06A58"/>
    <w:rsid w:val="00E07B67"/>
    <w:rsid w:val="00E11263"/>
    <w:rsid w:val="00E12BB6"/>
    <w:rsid w:val="00E1632D"/>
    <w:rsid w:val="00E168D3"/>
    <w:rsid w:val="00E20247"/>
    <w:rsid w:val="00E20D70"/>
    <w:rsid w:val="00E21A27"/>
    <w:rsid w:val="00E23718"/>
    <w:rsid w:val="00E23962"/>
    <w:rsid w:val="00E270B8"/>
    <w:rsid w:val="00E3060E"/>
    <w:rsid w:val="00E31165"/>
    <w:rsid w:val="00E31E37"/>
    <w:rsid w:val="00E34E26"/>
    <w:rsid w:val="00E352D3"/>
    <w:rsid w:val="00E36EE7"/>
    <w:rsid w:val="00E376D3"/>
    <w:rsid w:val="00E438B0"/>
    <w:rsid w:val="00E45EA5"/>
    <w:rsid w:val="00E517E2"/>
    <w:rsid w:val="00E51DE0"/>
    <w:rsid w:val="00E55C3D"/>
    <w:rsid w:val="00E60DAB"/>
    <w:rsid w:val="00E63382"/>
    <w:rsid w:val="00E64092"/>
    <w:rsid w:val="00E66174"/>
    <w:rsid w:val="00E67CC9"/>
    <w:rsid w:val="00E7003A"/>
    <w:rsid w:val="00E70AE6"/>
    <w:rsid w:val="00E70BC3"/>
    <w:rsid w:val="00E70FC6"/>
    <w:rsid w:val="00E725DF"/>
    <w:rsid w:val="00E73E6C"/>
    <w:rsid w:val="00E844CF"/>
    <w:rsid w:val="00E84AB8"/>
    <w:rsid w:val="00E8530C"/>
    <w:rsid w:val="00E931BD"/>
    <w:rsid w:val="00E9466F"/>
    <w:rsid w:val="00E9519E"/>
    <w:rsid w:val="00EA0CCE"/>
    <w:rsid w:val="00EA1E39"/>
    <w:rsid w:val="00EA28CE"/>
    <w:rsid w:val="00EA3114"/>
    <w:rsid w:val="00EA41AA"/>
    <w:rsid w:val="00EA4A8F"/>
    <w:rsid w:val="00EA4BD0"/>
    <w:rsid w:val="00EA7925"/>
    <w:rsid w:val="00EB027B"/>
    <w:rsid w:val="00EB1234"/>
    <w:rsid w:val="00EB33B0"/>
    <w:rsid w:val="00EC4F1B"/>
    <w:rsid w:val="00EC7EBC"/>
    <w:rsid w:val="00ED028F"/>
    <w:rsid w:val="00ED0334"/>
    <w:rsid w:val="00ED0CB8"/>
    <w:rsid w:val="00ED72E9"/>
    <w:rsid w:val="00ED72EC"/>
    <w:rsid w:val="00EE43E6"/>
    <w:rsid w:val="00EE675D"/>
    <w:rsid w:val="00EF0F27"/>
    <w:rsid w:val="00EF4A6F"/>
    <w:rsid w:val="00EF6D41"/>
    <w:rsid w:val="00F03428"/>
    <w:rsid w:val="00F037D5"/>
    <w:rsid w:val="00F03862"/>
    <w:rsid w:val="00F0564B"/>
    <w:rsid w:val="00F11829"/>
    <w:rsid w:val="00F164A9"/>
    <w:rsid w:val="00F17AAA"/>
    <w:rsid w:val="00F2085B"/>
    <w:rsid w:val="00F21949"/>
    <w:rsid w:val="00F24987"/>
    <w:rsid w:val="00F278C3"/>
    <w:rsid w:val="00F3745B"/>
    <w:rsid w:val="00F37D5E"/>
    <w:rsid w:val="00F37F6C"/>
    <w:rsid w:val="00F40CC9"/>
    <w:rsid w:val="00F44054"/>
    <w:rsid w:val="00F443BF"/>
    <w:rsid w:val="00F463EE"/>
    <w:rsid w:val="00F50173"/>
    <w:rsid w:val="00F56C67"/>
    <w:rsid w:val="00F61E67"/>
    <w:rsid w:val="00F6457E"/>
    <w:rsid w:val="00F646B2"/>
    <w:rsid w:val="00F656AA"/>
    <w:rsid w:val="00F657DF"/>
    <w:rsid w:val="00F65909"/>
    <w:rsid w:val="00F67775"/>
    <w:rsid w:val="00F7191F"/>
    <w:rsid w:val="00F721BA"/>
    <w:rsid w:val="00F72A90"/>
    <w:rsid w:val="00F73EE8"/>
    <w:rsid w:val="00F77E1E"/>
    <w:rsid w:val="00F80A65"/>
    <w:rsid w:val="00F825D8"/>
    <w:rsid w:val="00F82B9A"/>
    <w:rsid w:val="00F907B6"/>
    <w:rsid w:val="00F9133E"/>
    <w:rsid w:val="00F9134E"/>
    <w:rsid w:val="00F93C45"/>
    <w:rsid w:val="00F94F7E"/>
    <w:rsid w:val="00F96D96"/>
    <w:rsid w:val="00F974CF"/>
    <w:rsid w:val="00FA08C1"/>
    <w:rsid w:val="00FA0CAE"/>
    <w:rsid w:val="00FA2417"/>
    <w:rsid w:val="00FA3330"/>
    <w:rsid w:val="00FA34FB"/>
    <w:rsid w:val="00FA44F3"/>
    <w:rsid w:val="00FB0D3A"/>
    <w:rsid w:val="00FB153F"/>
    <w:rsid w:val="00FB1768"/>
    <w:rsid w:val="00FB1AF0"/>
    <w:rsid w:val="00FB2487"/>
    <w:rsid w:val="00FB29C4"/>
    <w:rsid w:val="00FB7ED5"/>
    <w:rsid w:val="00FC1F23"/>
    <w:rsid w:val="00FC3A25"/>
    <w:rsid w:val="00FC3FF8"/>
    <w:rsid w:val="00FC7199"/>
    <w:rsid w:val="00FD3336"/>
    <w:rsid w:val="00FD6C5D"/>
    <w:rsid w:val="00FD732A"/>
    <w:rsid w:val="00FD77C0"/>
    <w:rsid w:val="00FE336E"/>
    <w:rsid w:val="00FE3C91"/>
    <w:rsid w:val="00FE48B5"/>
    <w:rsid w:val="00FE5DA4"/>
    <w:rsid w:val="00FE7396"/>
    <w:rsid w:val="00FF0B66"/>
    <w:rsid w:val="00FF390B"/>
    <w:rsid w:val="00FF6BA2"/>
    <w:rsid w:val="06374F31"/>
    <w:rsid w:val="0E8A54CB"/>
    <w:rsid w:val="0EDF309B"/>
    <w:rsid w:val="1813250B"/>
    <w:rsid w:val="1E9A7A4E"/>
    <w:rsid w:val="28F645AB"/>
    <w:rsid w:val="2A170713"/>
    <w:rsid w:val="376C3A30"/>
    <w:rsid w:val="4E334302"/>
    <w:rsid w:val="4EFF7DC1"/>
    <w:rsid w:val="527327D8"/>
    <w:rsid w:val="59624CEB"/>
    <w:rsid w:val="5A670A48"/>
    <w:rsid w:val="5B2A1FB7"/>
    <w:rsid w:val="61244595"/>
    <w:rsid w:val="6369505F"/>
    <w:rsid w:val="637219A7"/>
    <w:rsid w:val="6E26752D"/>
    <w:rsid w:val="72646DA2"/>
    <w:rsid w:val="74F9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spacing w:after="80"/>
      <w:jc w:val="both"/>
    </w:pPr>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段"/>
    <w:link w:val="1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0">
    <w:name w:val="段 Char"/>
    <w:link w:val="9"/>
    <w:qFormat/>
    <w:uiPriority w:val="0"/>
    <w:rPr>
      <w:rFonts w:ascii="宋体" w:hAnsi="Calibri" w:eastAsia="宋体" w:cs="Times New Roman"/>
      <w:kern w:val="0"/>
      <w:szCs w:val="20"/>
    </w:rPr>
  </w:style>
  <w:style w:type="paragraph" w:customStyle="1" w:styleId="11">
    <w:name w:val="标准文件_文件名称"/>
    <w:basedOn w:val="12"/>
    <w:next w:val="12"/>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标准文件_一级条标题"/>
    <w:basedOn w:val="14"/>
    <w:next w:val="12"/>
    <w:qFormat/>
    <w:uiPriority w:val="0"/>
    <w:pPr>
      <w:numPr>
        <w:ilvl w:val="2"/>
      </w:numPr>
      <w:spacing w:before="50" w:beforeLines="50" w:after="50" w:afterLines="50"/>
      <w:outlineLvl w:val="1"/>
    </w:pPr>
  </w:style>
  <w:style w:type="paragraph" w:customStyle="1" w:styleId="14">
    <w:name w:val="标准文件_章标题"/>
    <w:next w:val="1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
    <w:name w:val="标准文件_二级条标题"/>
    <w:next w:val="12"/>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
    <w:name w:val="标准文件_三级条标题"/>
    <w:basedOn w:val="15"/>
    <w:next w:val="12"/>
    <w:qFormat/>
    <w:uiPriority w:val="0"/>
    <w:pPr>
      <w:widowControl/>
      <w:numPr>
        <w:ilvl w:val="4"/>
      </w:numPr>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1155</Words>
  <Characters>6585</Characters>
  <Lines>54</Lines>
  <Paragraphs>15</Paragraphs>
  <TotalTime>4</TotalTime>
  <ScaleCrop>false</ScaleCrop>
  <LinksUpToDate>false</LinksUpToDate>
  <CharactersWithSpaces>7725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2020-04-16T08:00:00Z</dcterms:created>
  <dc:creator>CLMB</dc:creator>
  <cp:lastModifiedBy>gongqing</cp:lastModifiedBy>
  <cp:lastPrinted>2020-05-07T00:59:00Z</cp:lastPrinted>
  <dcterms:modified xsi:type="dcterms:W3CDTF">2022-11-13T04:47:47Z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19CCD8BB087249E29B20063BD49FCBA9</vt:lpwstr>
  </property>
</Properties>
</file>