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IMAS"/>
                          <w:maxLength w:val="7"/>
                        </w:textInput>
                      </w:ffData>
                    </w:fldChar>
                  </w:r>
                  <w:bookmarkStart w:id="1" w:name="c1"/>
                  <w:r>
                    <w:instrText xml:space="preserve"> FORMTEXT </w:instrText>
                  </w:r>
                  <w:r>
                    <w:fldChar w:fldCharType="separate"/>
                  </w:r>
                  <w:r>
                    <w:t>IMAS</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2"/>
          </w:p>
        </w:tc>
      </w:tr>
    </w:tbl>
    <w:p>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5"/>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XXX</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pPr>
        <w:pStyle w:val="196"/>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rPr>
          <w:rFonts w:hint="eastAsia"/>
        </w:rPr>
        <w:t>典型草原矿区蓝藻-牧草联合</w:t>
      </w:r>
    </w:p>
    <w:p>
      <w:pPr>
        <w:pStyle w:val="197"/>
        <w:framePr w:h="6974" w:hRule="exact" w:wrap="around" w:x="1419" w:anchorLock="1"/>
      </w:pPr>
      <w:r>
        <w:rPr>
          <w:rFonts w:hint="eastAsia"/>
        </w:rPr>
        <w:t>修复技术规程</w:t>
      </w:r>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pPr>
      <w:r>
        <w:rPr>
          <w:rFonts w:hint="eastAsia"/>
        </w:rPr>
        <w:t xml:space="preserve">Technical Regulation of combined Cyanobacteria-Herbage Restoration </w:t>
      </w:r>
    </w:p>
    <w:p>
      <w:pPr>
        <w:pStyle w:val="125"/>
        <w:framePr w:w="9639" w:h="6974" w:hRule="exact" w:wrap="around" w:vAnchor="page" w:hAnchor="page" w:x="1419" w:y="6408" w:anchorLock="1"/>
        <w:textAlignment w:val="bottom"/>
        <w:rPr>
          <w:rFonts w:eastAsia="黑体"/>
          <w:szCs w:val="28"/>
        </w:rPr>
      </w:pPr>
      <w:r>
        <w:rPr>
          <w:rFonts w:hint="eastAsia"/>
        </w:rPr>
        <w:t>in Typical Steppe Mining Area</w:t>
      </w:r>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bookmarkStart w:id="8" w:name="下拉1"/>
      <w:r>
        <w:rPr>
          <w:sz w:val="24"/>
          <w:szCs w:val="28"/>
        </w:rPr>
        <w:fldChar w:fldCharType="begin">
          <w:ffData>
            <w:name w:val="下拉1"/>
            <w:enabled/>
            <w:calcOnExit w:val="0"/>
            <w:ddList>
              <w:listEntry w:val="（征求意见稿）"/>
              <w:listEntry w:val=" "/>
              <w:listEntry w:val="草案版次选择"/>
              <w:listEntry w:val="（工作组讨论稿）"/>
              <w:listEntry w:val="（送审讨论稿）"/>
              <w:listEntry w:val="（送审稿）"/>
              <w:listEntry w:val="（报批稿）"/>
            </w:ddList>
          </w:ffData>
        </w:fldChar>
      </w:r>
      <w:r>
        <w:rPr>
          <w:sz w:val="24"/>
          <w:szCs w:val="28"/>
        </w:rPr>
        <w:instrText xml:space="preserve">FORMDROPDOWN</w:instrText>
      </w:r>
      <w:r>
        <w:rPr>
          <w:sz w:val="24"/>
          <w:szCs w:val="28"/>
        </w:rPr>
        <w:fldChar w:fldCharType="separate"/>
      </w:r>
      <w:r>
        <w:rPr>
          <w:sz w:val="24"/>
          <w:szCs w:val="28"/>
        </w:rPr>
        <w:fldChar w:fldCharType="end"/>
      </w:r>
      <w:bookmarkEnd w:id="8"/>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9"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9"/>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0" w:name="下拉2"/>
      <w:r>
        <w:rPr>
          <w:b/>
          <w:sz w:val="21"/>
          <w:szCs w:val="28"/>
        </w:rPr>
        <w:instrText xml:space="preserve"> FORMDROPDOWN </w:instrText>
      </w:r>
      <w:r>
        <w:rPr>
          <w:b/>
          <w:sz w:val="21"/>
          <w:szCs w:val="28"/>
        </w:rPr>
        <w:fldChar w:fldCharType="separate"/>
      </w:r>
      <w:r>
        <w:rPr>
          <w:b/>
          <w:sz w:val="21"/>
          <w:szCs w:val="28"/>
        </w:rPr>
        <w:fldChar w:fldCharType="end"/>
      </w:r>
      <w:bookmarkEnd w:id="10"/>
    </w:p>
    <w:p>
      <w:pPr>
        <w:pStyle w:val="193"/>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实施</w:t>
      </w:r>
    </w:p>
    <w:p>
      <w:pPr>
        <w:pStyle w:val="151"/>
        <w:framePr w:h="584" w:hRule="exact" w:hSpace="181" w:vSpace="181" w:wrap="around" w:y="14800"/>
        <w:rPr>
          <w:rFonts w:hAnsi="黑体"/>
        </w:rPr>
      </w:pPr>
      <w:bookmarkStart w:id="17" w:name="fm"/>
      <w:r>
        <w:rPr>
          <w:rFonts w:hAnsi="黑体"/>
          <w:w w:val="100"/>
          <w:sz w:val="28"/>
        </w:rPr>
        <w:fldChar w:fldCharType="begin">
          <w:ffData>
            <w:name w:val="fm"/>
            <w:enabled/>
            <w:calcOnExit w:val="0"/>
            <w:textInput>
              <w:default w:val="内蒙古标准化协会"/>
            </w:textInput>
          </w:ffData>
        </w:fldChar>
      </w:r>
      <w:r>
        <w:rPr>
          <w:rFonts w:hAnsi="黑体"/>
          <w:w w:val="100"/>
          <w:sz w:val="28"/>
        </w:rPr>
        <w:instrText xml:space="preserve">FORMTEXT</w:instrText>
      </w:r>
      <w:r>
        <w:rPr>
          <w:rFonts w:hAnsi="黑体"/>
          <w:w w:val="100"/>
          <w:sz w:val="28"/>
        </w:rPr>
        <w:fldChar w:fldCharType="separate"/>
      </w:r>
      <w:r>
        <w:rPr>
          <w:rFonts w:hAnsi="黑体"/>
          <w:w w:val="100"/>
          <w:sz w:val="28"/>
        </w:rPr>
        <w:t>内蒙古标准化协会</w:t>
      </w:r>
      <w:r>
        <w:rPr>
          <w:rFonts w:hAnsi="黑体"/>
          <w:w w:val="100"/>
          <w:sz w:val="28"/>
        </w:rPr>
        <w:fldChar w:fldCharType="end"/>
      </w:r>
      <w:bookmarkEnd w:id="17"/>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89"/>
        <w:spacing w:after="360"/>
      </w:pPr>
      <w:bookmarkStart w:id="18" w:name="BookMark2"/>
      <w:r>
        <w:rPr>
          <w:spacing w:val="320"/>
        </w:rPr>
        <w:t>前</w:t>
      </w:r>
      <w:r>
        <w:t>言</w:t>
      </w:r>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本文件由内蒙古自治区林业和草原局提出。</w:t>
      </w:r>
    </w:p>
    <w:p>
      <w:pPr>
        <w:pStyle w:val="56"/>
        <w:ind w:firstLine="420"/>
      </w:pPr>
      <w:r>
        <w:rPr>
          <w:rFonts w:hint="eastAsia"/>
        </w:rPr>
        <w:t>本文件由内蒙古标准化协会归口。</w:t>
      </w:r>
    </w:p>
    <w:p>
      <w:pPr>
        <w:pStyle w:val="56"/>
        <w:ind w:firstLine="420"/>
      </w:pPr>
      <w:r>
        <w:rPr>
          <w:rFonts w:hint="eastAsia"/>
        </w:rPr>
        <w:t>本文件起草单位：内蒙古大学、</w:t>
      </w:r>
      <w:r>
        <w:rPr>
          <w:rFonts w:hint="eastAsia"/>
          <w:szCs w:val="21"/>
        </w:rPr>
        <w:t>蒙草生态环境（集团）股份有限公司、内蒙古峰茂科技创新有限公司</w:t>
      </w:r>
      <w:r>
        <w:rPr>
          <w:rFonts w:hint="eastAsia"/>
        </w:rPr>
        <w:t>。</w:t>
      </w:r>
    </w:p>
    <w:p>
      <w:pPr>
        <w:pStyle w:val="56"/>
        <w:ind w:firstLine="420"/>
      </w:pPr>
      <w:r>
        <w:rPr>
          <w:rFonts w:hint="eastAsia"/>
        </w:rPr>
        <w:t>本文件主要起草人：</w:t>
      </w:r>
      <w:r>
        <w:rPr>
          <w:rFonts w:hint="eastAsia"/>
          <w:szCs w:val="21"/>
        </w:rPr>
        <w:t>任卫波、高凯茹、郭慧琴、程云湘、张跃华、苑峰。</w:t>
      </w:r>
    </w:p>
    <w:p>
      <w:pPr>
        <w:pStyle w:val="56"/>
        <w:ind w:firstLine="420"/>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linePitch="312" w:charSpace="0"/>
        </w:sectPr>
      </w:pPr>
    </w:p>
    <w:bookmarkEnd w:id="18"/>
    <w:p>
      <w:pPr>
        <w:spacing w:line="20" w:lineRule="exact"/>
        <w:jc w:val="center"/>
        <w:rPr>
          <w:rFonts w:ascii="黑体" w:hAnsi="黑体" w:eastAsia="黑体"/>
          <w:sz w:val="32"/>
          <w:szCs w:val="32"/>
        </w:rPr>
      </w:pPr>
      <w:bookmarkStart w:id="19" w:name="BookMark4"/>
    </w:p>
    <w:p>
      <w:pPr>
        <w:spacing w:line="20" w:lineRule="exact"/>
        <w:jc w:val="center"/>
        <w:rPr>
          <w:rFonts w:ascii="黑体" w:hAnsi="黑体" w:eastAsia="黑体"/>
          <w:sz w:val="32"/>
          <w:szCs w:val="32"/>
        </w:rPr>
      </w:pPr>
    </w:p>
    <w:sdt>
      <w:sdtPr>
        <w:tag w:val="NEW_STAND_NAME"/>
        <w:id w:val="595910757"/>
        <w:lock w:val="sdtLocked"/>
        <w:placeholder>
          <w:docPart w:val="18742AC29F024A95852915A576344328"/>
        </w:placeholder>
      </w:sdtPr>
      <w:sdtContent>
        <w:p>
          <w:pPr>
            <w:pStyle w:val="177"/>
            <w:spacing w:after="528" w:afterLines="220"/>
          </w:pPr>
          <w:bookmarkStart w:id="20" w:name="NEW_STAND_NAME"/>
          <w:r>
            <w:rPr>
              <w:rFonts w:hint="eastAsia"/>
            </w:rPr>
            <w:t>典型草原矿区蓝藻-牧草联合修复技术规程</w:t>
          </w:r>
        </w:p>
      </w:sdtContent>
    </w:sdt>
    <w:bookmarkEnd w:id="20"/>
    <w:p>
      <w:pPr>
        <w:pStyle w:val="104"/>
        <w:spacing w:before="240" w:after="240"/>
      </w:pPr>
      <w:bookmarkStart w:id="21" w:name="_Toc26986530"/>
      <w:bookmarkStart w:id="22" w:name="_Toc26648465"/>
      <w:bookmarkStart w:id="23" w:name="_Toc26986771"/>
      <w:bookmarkStart w:id="24" w:name="_Toc17233333"/>
      <w:bookmarkStart w:id="25" w:name="_Toc24884211"/>
      <w:bookmarkStart w:id="26" w:name="_Toc24884218"/>
      <w:bookmarkStart w:id="27" w:name="_Toc26718930"/>
      <w:bookmarkStart w:id="28" w:name="_Toc17233325"/>
      <w:r>
        <w:rPr>
          <w:rFonts w:hint="eastAsia"/>
        </w:rPr>
        <w:t>范围</w:t>
      </w:r>
      <w:bookmarkEnd w:id="21"/>
      <w:bookmarkEnd w:id="22"/>
      <w:bookmarkEnd w:id="23"/>
      <w:bookmarkEnd w:id="24"/>
      <w:bookmarkEnd w:id="25"/>
      <w:bookmarkEnd w:id="26"/>
      <w:bookmarkEnd w:id="27"/>
      <w:bookmarkEnd w:id="28"/>
    </w:p>
    <w:p>
      <w:pPr>
        <w:adjustRightInd/>
        <w:spacing w:line="360" w:lineRule="auto"/>
        <w:ind w:firstLine="420" w:firstLineChars="200"/>
        <w:rPr>
          <w:rFonts w:ascii="宋体" w:hAnsi="宋体" w:cs="宋体"/>
        </w:rPr>
      </w:pPr>
      <w:bookmarkStart w:id="29" w:name="_Toc24884219"/>
      <w:bookmarkStart w:id="30" w:name="_Toc17233334"/>
      <w:bookmarkStart w:id="31" w:name="_Toc17233326"/>
      <w:bookmarkStart w:id="32" w:name="_Toc26648466"/>
      <w:bookmarkStart w:id="33" w:name="_Toc24884212"/>
      <w:r>
        <w:rPr>
          <w:rFonts w:hint="eastAsia" w:ascii="宋体" w:hAnsi="宋体" w:cs="宋体"/>
        </w:rPr>
        <w:t>本文件规定了典型草原矿区蓝藻与牧草联合修复技术，包括场地平整、牧草种植、藻液接种、 抚育管理及成效评价。</w:t>
      </w:r>
    </w:p>
    <w:p>
      <w:pPr>
        <w:pStyle w:val="56"/>
        <w:ind w:firstLine="420"/>
      </w:pPr>
      <w:r>
        <w:rPr>
          <w:rFonts w:hint="eastAsia" w:hAnsi="宋体" w:cs="宋体"/>
          <w:szCs w:val="21"/>
        </w:rPr>
        <w:t>本文件适用于典型草原矿区生态修复。</w:t>
      </w:r>
    </w:p>
    <w:p>
      <w:pPr>
        <w:pStyle w:val="104"/>
        <w:spacing w:before="240" w:after="240"/>
      </w:pPr>
      <w:bookmarkStart w:id="34" w:name="_Toc26986531"/>
      <w:bookmarkStart w:id="35" w:name="_Toc26986772"/>
      <w:bookmarkStart w:id="36" w:name="_Toc26718931"/>
      <w:r>
        <w:rPr>
          <w:rFonts w:hint="eastAsia"/>
        </w:rPr>
        <w:t>规范性引用文件</w:t>
      </w:r>
      <w:bookmarkEnd w:id="29"/>
      <w:bookmarkEnd w:id="30"/>
      <w:bookmarkEnd w:id="31"/>
      <w:bookmarkEnd w:id="32"/>
      <w:bookmarkEnd w:id="33"/>
      <w:bookmarkEnd w:id="34"/>
      <w:bookmarkEnd w:id="35"/>
      <w:bookmarkEnd w:id="36"/>
    </w:p>
    <w:sdt>
      <w:sdtPr>
        <w:rPr>
          <w:rFonts w:hint="eastAsia"/>
        </w:rPr>
        <w:id w:val="715848253"/>
        <w:placeholder>
          <w:docPart w:val="247B10A345F04B5FBC7F171428A13AD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adjustRightInd/>
        <w:spacing w:line="360" w:lineRule="auto"/>
        <w:ind w:firstLine="420" w:firstLineChars="200"/>
        <w:rPr>
          <w:rFonts w:ascii="宋体" w:hAnsi="宋体" w:cs="宋体"/>
        </w:rPr>
      </w:pPr>
      <w:r>
        <w:rPr>
          <w:rFonts w:hint="eastAsia" w:ascii="Times New Roman" w:hAnsi="Times New Roman"/>
        </w:rPr>
        <w:t xml:space="preserve">TD/T 1036-2013 土地复垦质量控制标准 </w:t>
      </w:r>
      <w:r>
        <w:rPr>
          <w:rFonts w:hint="eastAsia" w:ascii="宋体" w:hAnsi="宋体" w:cs="宋体"/>
        </w:rPr>
        <w:t xml:space="preserve"> </w:t>
      </w:r>
    </w:p>
    <w:p>
      <w:pPr>
        <w:adjustRightInd/>
        <w:spacing w:line="360" w:lineRule="auto"/>
        <w:ind w:firstLine="420" w:firstLineChars="200"/>
        <w:rPr>
          <w:rFonts w:ascii="Times New Roman" w:hAnsi="Times New Roman"/>
        </w:rPr>
      </w:pPr>
      <w:r>
        <w:rPr>
          <w:rFonts w:hint="eastAsia" w:ascii="Times New Roman" w:hAnsi="Times New Roman"/>
        </w:rPr>
        <w:t>DB15/T 1538</w:t>
      </w:r>
      <w:r>
        <w:rPr>
          <w:rFonts w:hint="eastAsia" w:ascii="Times New Roman" w:hAnsi="Times New Roman"/>
          <w:lang w:val="en-US" w:eastAsia="zh-CN"/>
        </w:rPr>
        <w:t>-</w:t>
      </w:r>
      <w:r>
        <w:rPr>
          <w:rFonts w:hint="eastAsia" w:ascii="Times New Roman" w:hAnsi="Times New Roman"/>
        </w:rPr>
        <w:t>2018 露天煤矿生态恢复牧草复垦技术规程</w:t>
      </w:r>
    </w:p>
    <w:p>
      <w:pPr>
        <w:adjustRightInd/>
        <w:spacing w:line="360" w:lineRule="auto"/>
        <w:ind w:firstLine="420" w:firstLineChars="200"/>
        <w:rPr>
          <w:rFonts w:hint="eastAsia" w:ascii="Times New Roman" w:hAnsi="Times New Roman"/>
        </w:rPr>
      </w:pPr>
      <w:r>
        <w:rPr>
          <w:rFonts w:hint="eastAsia" w:ascii="Times New Roman" w:hAnsi="Times New Roman"/>
        </w:rPr>
        <w:t>DB15/T 2328</w:t>
      </w:r>
      <w:r>
        <w:rPr>
          <w:rFonts w:hint="eastAsia" w:ascii="Times New Roman" w:hAnsi="Times New Roman"/>
          <w:lang w:val="en-US" w:eastAsia="zh-CN"/>
        </w:rPr>
        <w:t>-</w:t>
      </w:r>
      <w:r>
        <w:rPr>
          <w:rFonts w:hint="eastAsia" w:ascii="Times New Roman" w:hAnsi="Times New Roman"/>
        </w:rPr>
        <w:t>2021 藻灌综合固沙技术规程</w:t>
      </w:r>
    </w:p>
    <w:p>
      <w:pPr>
        <w:adjustRightInd/>
        <w:spacing w:line="360" w:lineRule="auto"/>
        <w:ind w:firstLine="420" w:firstLineChars="200"/>
        <w:rPr>
          <w:rFonts w:ascii="Times New Roman" w:hAnsi="Times New Roman"/>
        </w:rPr>
      </w:pPr>
      <w:r>
        <w:rPr>
          <w:rFonts w:hint="eastAsia" w:ascii="Times New Roman" w:hAnsi="Times New Roman" w:eastAsia="黑体"/>
        </w:rPr>
        <w:t>DB15/T 2378</w:t>
      </w:r>
      <w:r>
        <w:rPr>
          <w:rFonts w:hint="eastAsia" w:ascii="Times New Roman" w:hAnsi="Times New Roman" w:eastAsia="黑体"/>
          <w:lang w:val="en-US" w:eastAsia="zh-CN"/>
        </w:rPr>
        <w:t>-</w:t>
      </w:r>
      <w:r>
        <w:rPr>
          <w:rFonts w:hint="eastAsia" w:ascii="Times New Roman" w:hAnsi="Times New Roman" w:eastAsia="黑体"/>
        </w:rPr>
        <w:t xml:space="preserve">2021 </w:t>
      </w:r>
      <w:r>
        <w:rPr>
          <w:rFonts w:hint="eastAsia" w:ascii="宋体" w:hAnsi="宋体" w:cs="宋体"/>
        </w:rPr>
        <w:t>草原区露天矿山废弃地生态修复技术规范</w:t>
      </w:r>
    </w:p>
    <w:p>
      <w:pPr>
        <w:pStyle w:val="104"/>
        <w:spacing w:before="240" w:after="240"/>
      </w:pPr>
      <w:r>
        <w:rPr>
          <w:rFonts w:hint="eastAsia"/>
          <w:szCs w:val="21"/>
        </w:rPr>
        <w:t>术语和定义</w:t>
      </w:r>
    </w:p>
    <w:sdt>
      <w:sdtPr>
        <w:id w:val="-1909835108"/>
        <w:placeholder>
          <w:docPart w:val="9B29E05B00CD44E0977E34133DEA938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37" w:name="_Toc26986532"/>
          <w:bookmarkEnd w:id="37"/>
          <w:r>
            <w:t>下列术语和定义适用于本文件。</w:t>
          </w:r>
        </w:p>
      </w:sdtContent>
    </w:sdt>
    <w:p>
      <w:pPr>
        <w:pStyle w:val="105"/>
        <w:spacing w:before="120" w:after="120" w:line="360" w:lineRule="auto"/>
      </w:pPr>
    </w:p>
    <w:p>
      <w:pPr>
        <w:pStyle w:val="105"/>
        <w:numPr>
          <w:ilvl w:val="2"/>
          <w:numId w:val="0"/>
        </w:numPr>
        <w:spacing w:before="120" w:after="120" w:line="360" w:lineRule="auto"/>
        <w:ind w:leftChars="0" w:firstLine="420" w:firstLineChars="200"/>
      </w:pPr>
      <w:r>
        <w:rPr>
          <w:rFonts w:hint="eastAsia"/>
        </w:rPr>
        <w:t>蓝藻</w:t>
      </w:r>
      <w:r>
        <w:t xml:space="preserve"> Cyanobacteria</w:t>
      </w:r>
    </w:p>
    <w:p>
      <w:pPr>
        <w:adjustRightInd/>
        <w:spacing w:line="360" w:lineRule="auto"/>
        <w:ind w:firstLine="420" w:firstLineChars="200"/>
        <w:rPr>
          <w:rFonts w:ascii="宋体" w:hAnsi="宋体" w:cs="宋体"/>
        </w:rPr>
      </w:pPr>
      <w:r>
        <w:rPr>
          <w:rFonts w:hint="eastAsia" w:ascii="宋体" w:hAnsi="宋体" w:cs="宋体"/>
        </w:rPr>
        <w:t>从矿区生物结皮中分离、筛选出的单一藻种，具生物固氮、土壤改良等功能。</w:t>
      </w:r>
    </w:p>
    <w:p>
      <w:pPr>
        <w:pStyle w:val="230"/>
        <w:spacing w:before="120" w:beforeLines="50" w:after="120" w:afterLines="50" w:line="360" w:lineRule="auto"/>
        <w:ind w:firstLine="0" w:firstLineChars="0"/>
        <w:rPr>
          <w:rFonts w:hint="eastAsia" w:ascii="黑体" w:eastAsia="黑体"/>
          <w:szCs w:val="21"/>
        </w:rPr>
      </w:pPr>
      <w:r>
        <w:rPr>
          <w:rFonts w:hint="eastAsia" w:ascii="黑体" w:eastAsia="黑体"/>
          <w:szCs w:val="21"/>
        </w:rPr>
        <w:t xml:space="preserve">3.2  </w:t>
      </w:r>
    </w:p>
    <w:p>
      <w:pPr>
        <w:pStyle w:val="230"/>
        <w:spacing w:before="120" w:beforeLines="50" w:after="120" w:afterLines="50" w:line="360" w:lineRule="auto"/>
        <w:ind w:firstLine="420" w:firstLineChars="200"/>
        <w:rPr>
          <w:rFonts w:ascii="黑体" w:hAnsi="黑体" w:eastAsia="黑体" w:cs="黑体"/>
          <w:szCs w:val="21"/>
        </w:rPr>
      </w:pPr>
      <w:r>
        <w:rPr>
          <w:rFonts w:hint="eastAsia" w:ascii="黑体" w:eastAsia="黑体"/>
          <w:szCs w:val="21"/>
        </w:rPr>
        <w:t xml:space="preserve">蓝藻-牧草联合修复技术 </w:t>
      </w:r>
      <w:r>
        <w:rPr>
          <w:rFonts w:hint="eastAsia" w:ascii="黑体" w:hAnsi="黑体" w:eastAsia="黑体" w:cs="黑体"/>
          <w:szCs w:val="21"/>
        </w:rPr>
        <w:t>Cyanobacteria-</w:t>
      </w:r>
      <w:r>
        <w:rPr>
          <w:rFonts w:hint="eastAsia" w:ascii="黑体" w:hAnsi="黑体" w:eastAsia="黑体" w:cs="黑体"/>
          <w:kern w:val="2"/>
          <w:szCs w:val="21"/>
        </w:rPr>
        <w:t xml:space="preserve">herbage </w:t>
      </w:r>
      <w:r>
        <w:rPr>
          <w:rFonts w:hint="eastAsia" w:ascii="黑体" w:hAnsi="黑体" w:eastAsia="黑体" w:cs="黑体"/>
          <w:szCs w:val="21"/>
        </w:rPr>
        <w:t>combined remediation technology</w:t>
      </w:r>
    </w:p>
    <w:p>
      <w:pPr>
        <w:adjustRightInd/>
        <w:spacing w:line="360" w:lineRule="auto"/>
        <w:ind w:firstLine="420" w:firstLineChars="200"/>
      </w:pPr>
      <w:r>
        <w:rPr>
          <w:rFonts w:ascii="宋体" w:hAnsi="宋体" w:cs="宋体"/>
        </w:rPr>
        <w:t>牧草</w:t>
      </w:r>
      <w:r>
        <w:rPr>
          <w:rFonts w:hint="eastAsia" w:ascii="宋体" w:hAnsi="宋体" w:cs="宋体"/>
        </w:rPr>
        <w:t>种植</w:t>
      </w:r>
      <w:r>
        <w:rPr>
          <w:rFonts w:ascii="宋体" w:hAnsi="宋体" w:cs="宋体"/>
        </w:rPr>
        <w:t>与藻液喷施相结合形成的矿区生态修复技术。</w:t>
      </w:r>
    </w:p>
    <w:p>
      <w:pPr>
        <w:pStyle w:val="104"/>
        <w:spacing w:before="240" w:after="240"/>
      </w:pPr>
      <w:r>
        <w:rPr>
          <w:rFonts w:hint="eastAsia"/>
        </w:rPr>
        <w:t>场地平整</w:t>
      </w:r>
    </w:p>
    <w:p>
      <w:pPr>
        <w:adjustRightInd/>
        <w:spacing w:line="360" w:lineRule="auto"/>
        <w:ind w:firstLine="420" w:firstLineChars="200"/>
        <w:rPr>
          <w:rFonts w:ascii="宋体" w:hAnsi="宋体" w:cs="宋体"/>
        </w:rPr>
      </w:pPr>
      <w:r>
        <w:rPr>
          <w:rFonts w:hint="eastAsia" w:ascii="宋体" w:hAnsi="宋体" w:cs="宋体"/>
        </w:rPr>
        <w:t>矿区排土场地形地貌按照</w:t>
      </w:r>
      <w:r>
        <w:rPr>
          <w:rFonts w:hint="eastAsia" w:ascii="Times New Roman" w:hAnsi="Times New Roman" w:eastAsia="黑体"/>
        </w:rPr>
        <w:t>TD/T 1036-2013</w:t>
      </w:r>
      <w:r>
        <w:rPr>
          <w:rFonts w:hint="eastAsia" w:ascii="宋体" w:hAnsi="宋体" w:cs="宋体"/>
        </w:rPr>
        <w:t>执行，使其达到恢复植被的立地条件。</w:t>
      </w:r>
    </w:p>
    <w:p>
      <w:pPr>
        <w:pStyle w:val="104"/>
        <w:spacing w:before="240" w:after="240"/>
      </w:pPr>
      <w:r>
        <w:rPr>
          <w:rFonts w:hint="eastAsia"/>
        </w:rPr>
        <w:t>牧草种植</w:t>
      </w:r>
    </w:p>
    <w:p>
      <w:pPr>
        <w:pStyle w:val="105"/>
        <w:spacing w:before="120" w:after="120" w:line="360" w:lineRule="auto"/>
      </w:pPr>
      <w:r>
        <w:rPr>
          <w:rFonts w:hint="eastAsia"/>
        </w:rPr>
        <w:t>草种选择</w:t>
      </w:r>
    </w:p>
    <w:p>
      <w:pPr>
        <w:adjustRightInd/>
        <w:spacing w:line="360" w:lineRule="auto"/>
        <w:ind w:firstLine="420" w:firstLineChars="200"/>
        <w:rPr>
          <w:rFonts w:ascii="宋体" w:hAnsi="宋体" w:cs="宋体"/>
        </w:rPr>
      </w:pPr>
      <w:r>
        <w:rPr>
          <w:rFonts w:hint="eastAsia" w:ascii="宋体" w:hAnsi="宋体" w:cs="宋体"/>
        </w:rPr>
        <w:t>应以邻近无人为干扰、未退化草地植被为参考，选择产量高、品质优、适应性强、具水土固持能力的草种。草种搭配与比例可</w:t>
      </w:r>
      <w:r>
        <w:rPr>
          <w:rFonts w:hint="eastAsia"/>
        </w:rPr>
        <w:t>按照</w:t>
      </w:r>
      <w:r>
        <w:rPr>
          <w:rFonts w:hint="eastAsia" w:ascii="Times New Roman" w:hAnsi="Times New Roman" w:eastAsia="黑体"/>
        </w:rPr>
        <w:t>DB15/T 2378</w:t>
      </w:r>
      <w:r>
        <w:rPr>
          <w:rFonts w:hint="eastAsia" w:ascii="Times New Roman" w:hAnsi="Times New Roman" w:eastAsia="黑体"/>
          <w:lang w:val="en-US" w:eastAsia="zh-CN"/>
        </w:rPr>
        <w:t>-</w:t>
      </w:r>
      <w:r>
        <w:rPr>
          <w:rFonts w:hint="eastAsia" w:ascii="Times New Roman" w:hAnsi="Times New Roman" w:eastAsia="黑体"/>
        </w:rPr>
        <w:t>2021</w:t>
      </w:r>
      <w:r>
        <w:rPr>
          <w:rFonts w:hint="eastAsia"/>
        </w:rPr>
        <w:t>执行。</w:t>
      </w:r>
    </w:p>
    <w:p>
      <w:pPr>
        <w:pStyle w:val="105"/>
        <w:spacing w:before="120" w:after="120" w:line="360" w:lineRule="auto"/>
      </w:pPr>
      <w:r>
        <w:rPr>
          <w:rFonts w:hint="eastAsia"/>
        </w:rPr>
        <w:t>牧草播种</w:t>
      </w:r>
    </w:p>
    <w:p>
      <w:pPr>
        <w:adjustRightInd/>
        <w:spacing w:line="360" w:lineRule="auto"/>
        <w:ind w:firstLine="420" w:firstLineChars="200"/>
        <w:rPr>
          <w:rFonts w:ascii="宋体" w:hAnsi="宋体" w:cs="宋体"/>
        </w:rPr>
      </w:pPr>
      <w:r>
        <w:rPr>
          <w:rFonts w:hint="eastAsia" w:ascii="宋体" w:hAnsi="宋体" w:cs="宋体"/>
        </w:rPr>
        <w:t>播种时间为六月底至七月初条播，播种量按照</w:t>
      </w:r>
      <w:r>
        <w:rPr>
          <w:rFonts w:ascii="Times New Roman" w:hAnsi="Times New Roman" w:eastAsia="黑体"/>
        </w:rPr>
        <w:t>DB15/T 1538</w:t>
      </w:r>
      <w:r>
        <w:rPr>
          <w:rFonts w:hint="eastAsia" w:ascii="Times New Roman" w:hAnsi="Times New Roman" w:eastAsia="黑体"/>
          <w:lang w:val="en-US" w:eastAsia="zh-CN"/>
        </w:rPr>
        <w:t>-</w:t>
      </w:r>
      <w:r>
        <w:rPr>
          <w:rFonts w:ascii="Times New Roman" w:hAnsi="Times New Roman" w:eastAsia="黑体"/>
        </w:rPr>
        <w:t>2018</w:t>
      </w:r>
      <w:r>
        <w:rPr>
          <w:rFonts w:hint="eastAsia" w:ascii="宋体" w:hAnsi="宋体" w:cs="宋体"/>
        </w:rPr>
        <w:t>执行。</w:t>
      </w:r>
    </w:p>
    <w:p>
      <w:pPr>
        <w:pStyle w:val="104"/>
        <w:spacing w:before="240" w:after="240"/>
      </w:pPr>
      <w:r>
        <w:rPr>
          <w:rFonts w:hint="eastAsia"/>
        </w:rPr>
        <w:t>藻液接种</w:t>
      </w:r>
    </w:p>
    <w:p>
      <w:pPr>
        <w:pStyle w:val="105"/>
        <w:spacing w:before="120" w:after="120"/>
      </w:pPr>
      <w:r>
        <w:rPr>
          <w:rFonts w:hint="eastAsia"/>
        </w:rPr>
        <w:t>藻液制备</w:t>
      </w:r>
    </w:p>
    <w:p>
      <w:pPr>
        <w:pStyle w:val="56"/>
        <w:spacing w:line="360" w:lineRule="auto"/>
        <w:ind w:firstLine="420"/>
      </w:pPr>
      <w:r>
        <w:rPr>
          <w:rFonts w:hint="eastAsia"/>
        </w:rPr>
        <w:t>蓝藻由矿区发育良好的天然结皮中分离而来，采用</w:t>
      </w:r>
      <w:r>
        <w:rPr>
          <w:rFonts w:ascii="Times New Roman"/>
        </w:rPr>
        <w:t>BG-11</w:t>
      </w:r>
      <w:r>
        <w:rPr>
          <w:rFonts w:hint="eastAsia"/>
        </w:rPr>
        <w:t>培养基进行逐级扩大培养。培养温度</w:t>
      </w:r>
      <w:r>
        <w:rPr>
          <w:rFonts w:ascii="Times New Roman"/>
        </w:rPr>
        <w:t>25</w:t>
      </w:r>
      <w:r>
        <w:rPr>
          <w:rFonts w:hint="eastAsia" w:ascii="Times New Roman"/>
          <w:lang w:val="en-US" w:eastAsia="zh-CN"/>
        </w:rPr>
        <w:t xml:space="preserve"> </w:t>
      </w:r>
      <w:r>
        <w:rPr>
          <w:rFonts w:ascii="Times New Roman"/>
        </w:rPr>
        <w:t>℃</w:t>
      </w:r>
      <w:r>
        <w:rPr>
          <w:rFonts w:ascii="Times New Roman" w:hAnsi="Times New Roman"/>
        </w:rPr>
        <w:t>～</w:t>
      </w:r>
      <w:r>
        <w:rPr>
          <w:rFonts w:ascii="Times New Roman"/>
        </w:rPr>
        <w:t>30</w:t>
      </w:r>
      <w:r>
        <w:rPr>
          <w:rFonts w:hint="eastAsia" w:ascii="Times New Roman"/>
          <w:lang w:val="en-US" w:eastAsia="zh-CN"/>
        </w:rPr>
        <w:t xml:space="preserve"> </w:t>
      </w:r>
      <w:r>
        <w:rPr>
          <w:rFonts w:ascii="Times New Roman"/>
        </w:rPr>
        <w:t>℃</w:t>
      </w:r>
      <w:r>
        <w:rPr>
          <w:rFonts w:hint="eastAsia"/>
        </w:rPr>
        <w:t>，光强控制在</w:t>
      </w:r>
      <w:r>
        <w:rPr>
          <w:rFonts w:ascii="Times New Roman"/>
        </w:rPr>
        <w:t>2500</w:t>
      </w:r>
      <w:r>
        <w:rPr>
          <w:rFonts w:hint="eastAsia" w:ascii="Times New Roman"/>
          <w:lang w:val="en-US" w:eastAsia="zh-CN"/>
        </w:rPr>
        <w:t xml:space="preserve"> </w:t>
      </w:r>
      <w:r>
        <w:rPr>
          <w:rFonts w:ascii="Times New Roman"/>
        </w:rPr>
        <w:t>lx</w:t>
      </w:r>
      <w:r>
        <w:rPr>
          <w:rFonts w:ascii="Times New Roman" w:hAnsi="Times New Roman"/>
        </w:rPr>
        <w:t>～</w:t>
      </w:r>
      <w:r>
        <w:rPr>
          <w:rFonts w:ascii="Times New Roman"/>
        </w:rPr>
        <w:t>3000</w:t>
      </w:r>
      <w:r>
        <w:rPr>
          <w:rFonts w:hint="eastAsia" w:ascii="Times New Roman"/>
          <w:lang w:val="en-US" w:eastAsia="zh-CN"/>
        </w:rPr>
        <w:t xml:space="preserve"> </w:t>
      </w:r>
      <w:r>
        <w:rPr>
          <w:rFonts w:ascii="Times New Roman"/>
        </w:rPr>
        <w:t>lx</w:t>
      </w:r>
      <w:r>
        <w:rPr>
          <w:rFonts w:hint="eastAsia"/>
        </w:rPr>
        <w:t>，培养</w:t>
      </w:r>
      <w:r>
        <w:rPr>
          <w:rFonts w:ascii="Times New Roman"/>
        </w:rPr>
        <w:t>15</w:t>
      </w:r>
      <w:r>
        <w:rPr>
          <w:rFonts w:hint="eastAsia" w:ascii="Times New Roman"/>
          <w:lang w:val="en-US" w:eastAsia="zh-CN"/>
        </w:rPr>
        <w:t xml:space="preserve"> d</w:t>
      </w:r>
      <w:r>
        <w:rPr>
          <w:rFonts w:ascii="Times New Roman" w:hAnsi="Times New Roman"/>
        </w:rPr>
        <w:t>～</w:t>
      </w:r>
      <w:r>
        <w:rPr>
          <w:rFonts w:ascii="Times New Roman"/>
        </w:rPr>
        <w:t>20</w:t>
      </w:r>
      <w:r>
        <w:rPr>
          <w:rFonts w:hint="eastAsia" w:ascii="Times New Roman"/>
          <w:lang w:val="en-US" w:eastAsia="zh-CN"/>
        </w:rPr>
        <w:t xml:space="preserve"> d</w:t>
      </w:r>
      <w:r>
        <w:rPr>
          <w:rFonts w:hint="eastAsia"/>
        </w:rPr>
        <w:t xml:space="preserve">，获取藻液备用。 </w:t>
      </w:r>
    </w:p>
    <w:p>
      <w:pPr>
        <w:pStyle w:val="105"/>
        <w:spacing w:before="120" w:after="120"/>
      </w:pPr>
      <w:r>
        <w:rPr>
          <w:rFonts w:hint="eastAsia"/>
        </w:rPr>
        <w:t>野外接种</w:t>
      </w:r>
    </w:p>
    <w:p>
      <w:pPr>
        <w:adjustRightInd/>
        <w:spacing w:line="360" w:lineRule="auto"/>
        <w:ind w:firstLine="420" w:firstLineChars="200"/>
        <w:rPr>
          <w:rFonts w:ascii="宋体" w:hAnsi="宋体" w:cs="宋体"/>
        </w:rPr>
      </w:pPr>
      <w:r>
        <w:rPr>
          <w:rFonts w:hint="eastAsia" w:ascii="宋体" w:hAnsi="宋体" w:cs="宋体"/>
        </w:rPr>
        <w:t>牧草播种后第2天，采用高压喷洒器将藻液均匀喷洒至土壤表面，喷洒量</w:t>
      </w:r>
      <w:r>
        <w:rPr>
          <w:rFonts w:ascii="Times New Roman" w:hAnsi="Times New Roman"/>
        </w:rPr>
        <w:t>1.5</w:t>
      </w:r>
      <w:r>
        <w:rPr>
          <w:rFonts w:hint="eastAsia" w:ascii="Times New Roman" w:hAnsi="Times New Roman"/>
          <w:lang w:val="en-US" w:eastAsia="zh-CN"/>
        </w:rPr>
        <w:t xml:space="preserve"> </w:t>
      </w:r>
      <w:r>
        <w:rPr>
          <w:rFonts w:ascii="Times New Roman" w:hAnsi="Times New Roman"/>
        </w:rPr>
        <w:t>L/m</w:t>
      </w:r>
      <w:r>
        <w:rPr>
          <w:rFonts w:ascii="Times New Roman" w:hAnsi="Times New Roman"/>
          <w:vertAlign w:val="superscript"/>
        </w:rPr>
        <w:t>2</w:t>
      </w:r>
      <w:r>
        <w:rPr>
          <w:rFonts w:ascii="Times New Roman" w:hAnsi="Times New Roman"/>
        </w:rPr>
        <w:t>～2.5</w:t>
      </w:r>
      <w:r>
        <w:rPr>
          <w:rFonts w:hint="eastAsia" w:ascii="Times New Roman" w:hAnsi="Times New Roman"/>
          <w:lang w:val="en-US" w:eastAsia="zh-CN"/>
        </w:rPr>
        <w:t xml:space="preserve"> </w:t>
      </w:r>
      <w:r>
        <w:rPr>
          <w:rFonts w:ascii="Times New Roman" w:hAnsi="Times New Roman"/>
        </w:rPr>
        <w:t>L/m</w:t>
      </w:r>
      <w:r>
        <w:rPr>
          <w:rFonts w:ascii="Times New Roman" w:hAnsi="Times New Roman"/>
          <w:vertAlign w:val="superscript"/>
        </w:rPr>
        <w:t>2</w:t>
      </w:r>
      <w:r>
        <w:rPr>
          <w:rFonts w:hint="eastAsia" w:ascii="宋体" w:hAnsi="宋体" w:cs="宋体"/>
        </w:rPr>
        <w:t>。</w:t>
      </w:r>
    </w:p>
    <w:p>
      <w:pPr>
        <w:pStyle w:val="104"/>
        <w:spacing w:before="240" w:after="240"/>
      </w:pPr>
      <w:r>
        <w:rPr>
          <w:rFonts w:hint="eastAsia"/>
        </w:rPr>
        <w:t>管护</w:t>
      </w:r>
    </w:p>
    <w:p>
      <w:pPr>
        <w:pStyle w:val="105"/>
        <w:spacing w:before="120" w:after="120"/>
      </w:pPr>
      <w:r>
        <w:rPr>
          <w:rFonts w:hint="eastAsia"/>
        </w:rPr>
        <w:t>蓝藻养护</w:t>
      </w:r>
    </w:p>
    <w:p>
      <w:pPr>
        <w:adjustRightInd/>
        <w:spacing w:line="360" w:lineRule="auto"/>
        <w:ind w:firstLine="420" w:firstLineChars="200"/>
        <w:rPr>
          <w:rFonts w:ascii="宋体" w:hAnsi="宋体" w:cs="宋体"/>
        </w:rPr>
      </w:pPr>
      <w:r>
        <w:rPr>
          <w:rFonts w:hint="eastAsia" w:ascii="宋体" w:hAnsi="宋体" w:cs="宋体"/>
        </w:rPr>
        <w:t>蓝藻接种后覆膜5</w:t>
      </w:r>
      <w:r>
        <w:rPr>
          <w:rFonts w:hint="eastAsia" w:ascii="Times New Roman"/>
          <w:lang w:val="en-US" w:eastAsia="zh-CN"/>
        </w:rPr>
        <w:t xml:space="preserve"> d</w:t>
      </w:r>
      <w:r>
        <w:rPr>
          <w:rFonts w:ascii="Times New Roman" w:hAnsi="Times New Roman"/>
        </w:rPr>
        <w:t>～</w:t>
      </w:r>
      <w:r>
        <w:rPr>
          <w:rFonts w:hint="eastAsia" w:ascii="宋体" w:hAnsi="宋体" w:cs="宋体"/>
        </w:rPr>
        <w:t>7</w:t>
      </w:r>
      <w:r>
        <w:rPr>
          <w:rFonts w:hint="eastAsia" w:ascii="Times New Roman"/>
          <w:lang w:val="en-US" w:eastAsia="zh-CN"/>
        </w:rPr>
        <w:t xml:space="preserve"> d</w:t>
      </w:r>
      <w:r>
        <w:rPr>
          <w:rFonts w:hint="eastAsia" w:ascii="宋体" w:hAnsi="宋体" w:cs="宋体"/>
        </w:rPr>
        <w:t>，便于保温保湿。</w:t>
      </w:r>
    </w:p>
    <w:p>
      <w:pPr>
        <w:pStyle w:val="105"/>
        <w:spacing w:before="120" w:after="120"/>
      </w:pPr>
      <w:r>
        <w:rPr>
          <w:rFonts w:hint="eastAsia"/>
        </w:rPr>
        <w:t>植被管护</w:t>
      </w:r>
    </w:p>
    <w:p>
      <w:pPr>
        <w:adjustRightInd/>
        <w:spacing w:line="360" w:lineRule="auto"/>
        <w:ind w:firstLine="420" w:firstLineChars="200"/>
        <w:rPr>
          <w:rFonts w:ascii="宋体" w:hAnsi="宋体" w:cs="宋体"/>
        </w:rPr>
      </w:pPr>
      <w:r>
        <w:rPr>
          <w:rFonts w:hint="eastAsia" w:ascii="宋体" w:hAnsi="宋体" w:cs="宋体"/>
        </w:rPr>
        <w:t>牧草出苗后要及时查苗、补苗。预防病虫害发生，采取“预防为主、综合防治”的方法，发生后可利用黑光灯诱杀蚜虫、刺蛾类成虫或选择高效低毒的药剂适时防治。</w:t>
      </w:r>
    </w:p>
    <w:p>
      <w:pPr>
        <w:pStyle w:val="105"/>
        <w:spacing w:before="120" w:after="120"/>
      </w:pPr>
      <w:r>
        <w:rPr>
          <w:rFonts w:hint="eastAsia"/>
        </w:rPr>
        <w:t>灌溉</w:t>
      </w:r>
    </w:p>
    <w:p>
      <w:pPr>
        <w:widowControl/>
        <w:ind w:firstLine="420" w:firstLineChars="200"/>
        <w:jc w:val="left"/>
        <w:rPr>
          <w:rFonts w:ascii="宋体" w:hAnsi="宋体" w:cs="宋体"/>
        </w:rPr>
      </w:pPr>
      <w:r>
        <w:rPr>
          <w:rFonts w:hint="eastAsia" w:ascii="宋体" w:hAnsi="宋体" w:cs="宋体"/>
        </w:rPr>
        <w:t>蓝藻接种、牧草苗期、返青或刈割后及时灌溉。</w:t>
      </w:r>
    </w:p>
    <w:p>
      <w:pPr>
        <w:pStyle w:val="104"/>
        <w:spacing w:before="240" w:after="240"/>
      </w:pPr>
      <w:r>
        <w:rPr>
          <w:rFonts w:hint="eastAsia"/>
        </w:rPr>
        <w:t>成效评价</w:t>
      </w:r>
    </w:p>
    <w:p>
      <w:pPr>
        <w:pStyle w:val="105"/>
        <w:spacing w:before="120" w:after="120"/>
      </w:pPr>
      <w:r>
        <w:rPr>
          <w:rFonts w:hint="eastAsia"/>
        </w:rPr>
        <w:t>成效调查</w:t>
      </w:r>
    </w:p>
    <w:p>
      <w:pPr>
        <w:adjustRightInd/>
        <w:spacing w:line="360" w:lineRule="auto"/>
        <w:ind w:firstLine="420" w:firstLineChars="200"/>
        <w:rPr>
          <w:rFonts w:ascii="Times New Roman" w:hAnsi="Times New Roman" w:eastAsia="黑体"/>
          <w:highlight w:val="yellow"/>
        </w:rPr>
      </w:pPr>
      <w:r>
        <w:rPr>
          <w:rFonts w:hint="eastAsia" w:ascii="宋体" w:hAnsi="宋体" w:cs="宋体"/>
        </w:rPr>
        <w:t>定期对项目区土壤、植物、微生物状况进行监测，具体指标按照</w:t>
      </w:r>
      <w:r>
        <w:rPr>
          <w:rFonts w:hint="eastAsia" w:ascii="Times New Roman" w:hAnsi="Times New Roman" w:eastAsia="黑体"/>
        </w:rPr>
        <w:t>DB15/T 2378</w:t>
      </w:r>
      <w:r>
        <w:rPr>
          <w:rFonts w:hint="eastAsia" w:ascii="Times New Roman" w:hAnsi="Times New Roman" w:eastAsia="黑体"/>
          <w:lang w:val="en-US" w:eastAsia="zh-CN"/>
        </w:rPr>
        <w:t>-</w:t>
      </w:r>
      <w:r>
        <w:rPr>
          <w:rFonts w:hint="eastAsia" w:ascii="Times New Roman" w:hAnsi="Times New Roman" w:eastAsia="黑体"/>
        </w:rPr>
        <w:t>2021</w:t>
      </w:r>
      <w:r>
        <w:rPr>
          <w:rFonts w:hint="eastAsia" w:ascii="宋体" w:hAnsi="宋体" w:cs="宋体"/>
        </w:rPr>
        <w:t>执行。</w:t>
      </w:r>
    </w:p>
    <w:p>
      <w:pPr>
        <w:pStyle w:val="105"/>
        <w:spacing w:before="120" w:after="120"/>
      </w:pPr>
      <w:r>
        <w:rPr>
          <w:rFonts w:hint="eastAsia"/>
        </w:rPr>
        <w:t>质量评价</w:t>
      </w:r>
    </w:p>
    <w:p>
      <w:pPr>
        <w:adjustRightInd/>
        <w:spacing w:line="360" w:lineRule="auto"/>
        <w:ind w:firstLine="420" w:firstLineChars="200"/>
        <w:rPr>
          <w:rFonts w:ascii="宋体" w:hAnsi="宋体" w:cs="宋体"/>
        </w:rPr>
      </w:pPr>
      <w:r>
        <w:rPr>
          <w:rFonts w:hint="eastAsia" w:ascii="宋体" w:hAnsi="宋体" w:cs="宋体"/>
        </w:rPr>
        <w:t>实施满一年后对藻结皮生长状况进行调查，见附录</w:t>
      </w:r>
      <w:r>
        <w:rPr>
          <w:rFonts w:hint="eastAsia" w:ascii="Times New Roman" w:hAnsi="Times New Roman" w:eastAsia="黑体"/>
        </w:rPr>
        <w:t>A</w:t>
      </w:r>
      <w:r>
        <w:rPr>
          <w:rFonts w:hint="eastAsia" w:ascii="宋体" w:hAnsi="宋体" w:cs="宋体"/>
        </w:rPr>
        <w:t>。评价标准按照</w:t>
      </w:r>
      <w:r>
        <w:rPr>
          <w:rFonts w:hint="eastAsia" w:ascii="Times New Roman" w:hAnsi="Times New Roman" w:eastAsia="黑体"/>
        </w:rPr>
        <w:t>DB15/T 2328</w:t>
      </w:r>
      <w:r>
        <w:rPr>
          <w:rFonts w:hint="eastAsia" w:ascii="Times New Roman" w:hAnsi="Times New Roman" w:eastAsia="黑体"/>
          <w:lang w:val="en-US" w:eastAsia="zh-CN"/>
        </w:rPr>
        <w:t>-</w:t>
      </w:r>
      <w:r>
        <w:rPr>
          <w:rFonts w:hint="eastAsia" w:ascii="Times New Roman" w:hAnsi="Times New Roman" w:eastAsia="黑体"/>
        </w:rPr>
        <w:t>2021</w:t>
      </w:r>
      <w:r>
        <w:rPr>
          <w:rFonts w:hint="eastAsia" w:ascii="宋体" w:hAnsi="宋体" w:cs="宋体"/>
        </w:rPr>
        <w:t>执行。</w:t>
      </w:r>
    </w:p>
    <w:p>
      <w:pPr>
        <w:pStyle w:val="104"/>
        <w:spacing w:before="240" w:after="240"/>
      </w:pPr>
      <w:r>
        <w:rPr>
          <w:rFonts w:hint="eastAsia"/>
        </w:rPr>
        <w:t>档案管理</w:t>
      </w:r>
    </w:p>
    <w:p>
      <w:pPr>
        <w:pStyle w:val="56"/>
        <w:spacing w:line="360" w:lineRule="auto"/>
        <w:ind w:firstLine="420"/>
        <w:rPr>
          <w:rFonts w:hAnsi="宋体" w:cs="宋体"/>
          <w:szCs w:val="21"/>
        </w:rPr>
      </w:pPr>
      <w:r>
        <w:rPr>
          <w:rFonts w:hAnsi="宋体" w:cs="宋体"/>
          <w:szCs w:val="21"/>
        </w:rPr>
        <w:t>包括作业设计、施工记录、成效调查报告等相关文件；在建立实物档案的同时建立电子档案，由专人负责。</w:t>
      </w:r>
    </w:p>
    <w:p>
      <w:r>
        <w:rPr>
          <w:rFonts w:ascii="宋体" w:hAnsi="宋体" w:cs="宋体"/>
        </w:rPr>
        <w:br w:type="page"/>
      </w:r>
    </w:p>
    <w:p>
      <w:pPr>
        <w:pStyle w:val="56"/>
        <w:ind w:firstLine="420"/>
      </w:pPr>
    </w:p>
    <w:bookmarkEnd w:id="19"/>
    <w:p>
      <w:pPr>
        <w:adjustRightInd/>
        <w:spacing w:line="360" w:lineRule="auto"/>
        <w:ind w:firstLine="420" w:firstLineChars="200"/>
        <w:jc w:val="center"/>
        <w:rPr>
          <w:rFonts w:ascii="黑体" w:hAnsi="黑体" w:eastAsia="黑体" w:cs="黑体"/>
        </w:rPr>
      </w:pPr>
      <w:r>
        <w:rPr>
          <w:rFonts w:hint="eastAsia" w:ascii="黑体" w:hAnsi="黑体" w:eastAsia="黑体" w:cs="黑体"/>
        </w:rPr>
        <w:t>附录</w:t>
      </w:r>
      <w:r>
        <w:rPr>
          <w:rFonts w:ascii="Times New Roman" w:hAnsi="Times New Roman" w:eastAsia="黑体"/>
        </w:rPr>
        <w:t>A</w:t>
      </w:r>
    </w:p>
    <w:p>
      <w:pPr>
        <w:adjustRightInd/>
        <w:spacing w:line="360" w:lineRule="auto"/>
        <w:ind w:firstLine="420" w:firstLineChars="200"/>
        <w:jc w:val="center"/>
        <w:rPr>
          <w:rFonts w:ascii="黑体" w:hAnsi="黑体" w:eastAsia="黑体" w:cs="黑体"/>
        </w:rPr>
      </w:pPr>
      <w:r>
        <w:rPr>
          <w:rFonts w:hint="eastAsia" w:ascii="黑体" w:hAnsi="黑体" w:eastAsia="黑体" w:cs="黑体"/>
        </w:rPr>
        <w:t>（规范性）</w:t>
      </w:r>
    </w:p>
    <w:p>
      <w:pPr>
        <w:adjustRightInd/>
        <w:spacing w:line="360" w:lineRule="auto"/>
        <w:ind w:firstLine="420" w:firstLineChars="200"/>
        <w:jc w:val="center"/>
        <w:rPr>
          <w:rFonts w:ascii="黑体" w:hAnsi="黑体" w:eastAsia="黑体" w:cs="黑体"/>
        </w:rPr>
      </w:pPr>
      <w:r>
        <w:rPr>
          <w:rFonts w:hint="eastAsia" w:ascii="黑体" w:hAnsi="黑体" w:eastAsia="黑体" w:cs="黑体"/>
        </w:rPr>
        <w:t>蓝藻-牧草互作效果记录表</w:t>
      </w:r>
    </w:p>
    <w:p>
      <w:pPr>
        <w:adjustRightInd/>
        <w:spacing w:line="360" w:lineRule="auto"/>
        <w:ind w:firstLine="420" w:firstLineChars="200"/>
        <w:rPr>
          <w:rFonts w:ascii="宋体" w:hAnsi="宋体" w:cs="宋体"/>
          <w:sz w:val="22"/>
          <w:szCs w:val="22"/>
        </w:rPr>
      </w:pPr>
      <w:r>
        <w:rPr>
          <w:rFonts w:hint="eastAsia" w:ascii="宋体" w:hAnsi="宋体" w:cs="宋体"/>
        </w:rPr>
        <w:t>蓝藻-牧草互作效果记录表见</w:t>
      </w:r>
      <w:r>
        <w:rPr>
          <w:rFonts w:ascii="Times New Roman" w:hAnsi="Times New Roman" w:eastAsia="黑体"/>
        </w:rPr>
        <w:t>A.1</w:t>
      </w:r>
      <w:r>
        <w:rPr>
          <w:rFonts w:hint="eastAsia" w:ascii="宋体" w:hAnsi="宋体" w:cs="宋体"/>
          <w:sz w:val="22"/>
          <w:szCs w:val="22"/>
        </w:rPr>
        <w:t>。</w:t>
      </w:r>
    </w:p>
    <w:p>
      <w:pPr>
        <w:adjustRightInd/>
        <w:spacing w:line="360" w:lineRule="auto"/>
        <w:ind w:firstLine="420" w:firstLineChars="200"/>
        <w:jc w:val="center"/>
        <w:rPr>
          <w:rFonts w:ascii="黑体" w:hAnsi="黑体" w:eastAsia="黑体" w:cs="黑体"/>
        </w:rPr>
      </w:pPr>
      <w:r>
        <w:rPr>
          <w:rFonts w:hint="eastAsia" w:ascii="黑体" w:hAnsi="黑体" w:eastAsia="黑体" w:cs="黑体"/>
        </w:rPr>
        <w:t>表</w:t>
      </w:r>
      <w:r>
        <w:rPr>
          <w:rFonts w:ascii="Times New Roman" w:hAnsi="Times New Roman" w:eastAsia="黑体"/>
        </w:rPr>
        <w:t>A.1</w:t>
      </w:r>
      <w:r>
        <w:rPr>
          <w:rFonts w:hint="eastAsia" w:ascii="黑体" w:hAnsi="黑体" w:eastAsia="黑体" w:cs="黑体"/>
        </w:rPr>
        <w:t xml:space="preserve"> 蓝藻-牧草互作效果记录表</w:t>
      </w:r>
    </w:p>
    <w:tbl>
      <w:tblPr>
        <w:tblStyle w:val="27"/>
        <w:tblW w:w="8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1552"/>
        <w:gridCol w:w="1809"/>
        <w:gridCol w:w="1368"/>
        <w:gridCol w:w="1107"/>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194" w:type="dxa"/>
          </w:tcPr>
          <w:p>
            <w:pPr>
              <w:adjustRightInd/>
              <w:spacing w:line="360" w:lineRule="auto"/>
              <w:jc w:val="center"/>
              <w:rPr>
                <w:rFonts w:ascii="宋体" w:hAnsi="宋体" w:cs="宋体"/>
              </w:rPr>
            </w:pPr>
            <w:r>
              <w:rPr>
                <w:rFonts w:hint="eastAsia" w:ascii="宋体" w:hAnsi="宋体" w:cs="宋体"/>
              </w:rPr>
              <w:t>接种区</w:t>
            </w:r>
          </w:p>
        </w:tc>
        <w:tc>
          <w:tcPr>
            <w:tcW w:w="1552" w:type="dxa"/>
          </w:tcPr>
          <w:p>
            <w:pPr>
              <w:adjustRightInd/>
              <w:spacing w:line="360" w:lineRule="auto"/>
              <w:jc w:val="center"/>
              <w:rPr>
                <w:rFonts w:ascii="宋体" w:hAnsi="宋体" w:cs="宋体"/>
              </w:rPr>
            </w:pPr>
            <w:r>
              <w:rPr>
                <w:rFonts w:hint="eastAsia" w:ascii="宋体" w:hAnsi="宋体" w:cs="宋体"/>
              </w:rPr>
              <w:t>藻结皮盖度/</w:t>
            </w:r>
            <w:r>
              <w:rPr>
                <w:rFonts w:hint="eastAsia" w:ascii="Times New Roman" w:hAnsi="Times New Roman" w:eastAsia="黑体"/>
              </w:rPr>
              <w:t>%</w:t>
            </w:r>
          </w:p>
        </w:tc>
        <w:tc>
          <w:tcPr>
            <w:tcW w:w="1809" w:type="dxa"/>
          </w:tcPr>
          <w:p>
            <w:pPr>
              <w:adjustRightInd/>
              <w:spacing w:line="360" w:lineRule="auto"/>
              <w:jc w:val="center"/>
              <w:rPr>
                <w:rFonts w:ascii="宋体" w:hAnsi="宋体" w:cs="宋体"/>
              </w:rPr>
            </w:pPr>
            <w:r>
              <w:rPr>
                <w:rFonts w:hint="eastAsia" w:ascii="宋体" w:hAnsi="宋体" w:cs="宋体"/>
              </w:rPr>
              <w:t>藻结皮厚度/</w:t>
            </w:r>
            <w:r>
              <w:rPr>
                <w:rFonts w:ascii="Times New Roman" w:hAnsi="Times New Roman"/>
              </w:rPr>
              <w:t>mm</w:t>
            </w:r>
          </w:p>
        </w:tc>
        <w:tc>
          <w:tcPr>
            <w:tcW w:w="1368" w:type="dxa"/>
          </w:tcPr>
          <w:p>
            <w:pPr>
              <w:adjustRightInd/>
              <w:spacing w:line="360" w:lineRule="auto"/>
              <w:jc w:val="center"/>
              <w:rPr>
                <w:rFonts w:ascii="宋体" w:hAnsi="宋体" w:cs="宋体"/>
              </w:rPr>
            </w:pPr>
            <w:r>
              <w:rPr>
                <w:rFonts w:hint="eastAsia" w:ascii="宋体" w:hAnsi="宋体" w:cs="宋体"/>
              </w:rPr>
              <w:t>植物盖度/</w:t>
            </w:r>
            <w:r>
              <w:rPr>
                <w:rFonts w:ascii="Times New Roman" w:hAnsi="Times New Roman"/>
              </w:rPr>
              <w:t>%</w:t>
            </w:r>
          </w:p>
        </w:tc>
        <w:tc>
          <w:tcPr>
            <w:tcW w:w="1107" w:type="dxa"/>
          </w:tcPr>
          <w:p>
            <w:pPr>
              <w:adjustRightInd/>
              <w:spacing w:line="360" w:lineRule="auto"/>
              <w:jc w:val="center"/>
              <w:rPr>
                <w:rFonts w:ascii="宋体" w:hAnsi="宋体" w:cs="宋体"/>
              </w:rPr>
            </w:pPr>
            <w:r>
              <w:rPr>
                <w:rFonts w:hint="eastAsia" w:ascii="宋体" w:hAnsi="宋体" w:cs="宋体"/>
              </w:rPr>
              <w:t>记录时间</w:t>
            </w:r>
          </w:p>
        </w:tc>
        <w:tc>
          <w:tcPr>
            <w:tcW w:w="1077" w:type="dxa"/>
          </w:tcPr>
          <w:p>
            <w:pPr>
              <w:adjustRightInd/>
              <w:spacing w:line="360" w:lineRule="auto"/>
              <w:jc w:val="center"/>
              <w:rPr>
                <w:rFonts w:ascii="宋体" w:hAnsi="宋体" w:cs="宋体"/>
              </w:rPr>
            </w:pPr>
            <w:r>
              <w:rPr>
                <w:rFonts w:hint="eastAsia" w:ascii="宋体" w:hAnsi="宋体" w:cs="宋体"/>
              </w:rPr>
              <w:t>记录人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194" w:type="dxa"/>
          </w:tcPr>
          <w:p>
            <w:pPr>
              <w:adjustRightInd/>
              <w:spacing w:line="360" w:lineRule="auto"/>
              <w:rPr>
                <w:rFonts w:ascii="宋体" w:hAnsi="宋体" w:cs="宋体"/>
                <w:sz w:val="24"/>
                <w:szCs w:val="24"/>
              </w:rPr>
            </w:pPr>
          </w:p>
        </w:tc>
        <w:tc>
          <w:tcPr>
            <w:tcW w:w="1552" w:type="dxa"/>
          </w:tcPr>
          <w:p>
            <w:pPr>
              <w:adjustRightInd/>
              <w:spacing w:line="360" w:lineRule="auto"/>
              <w:rPr>
                <w:rFonts w:ascii="宋体" w:hAnsi="宋体" w:cs="宋体"/>
                <w:sz w:val="24"/>
                <w:szCs w:val="24"/>
              </w:rPr>
            </w:pPr>
          </w:p>
        </w:tc>
        <w:tc>
          <w:tcPr>
            <w:tcW w:w="1809" w:type="dxa"/>
          </w:tcPr>
          <w:p>
            <w:pPr>
              <w:adjustRightInd/>
              <w:spacing w:line="360" w:lineRule="auto"/>
              <w:rPr>
                <w:rFonts w:ascii="宋体" w:hAnsi="宋体" w:cs="宋体"/>
                <w:sz w:val="24"/>
                <w:szCs w:val="24"/>
              </w:rPr>
            </w:pPr>
          </w:p>
        </w:tc>
        <w:tc>
          <w:tcPr>
            <w:tcW w:w="1368" w:type="dxa"/>
          </w:tcPr>
          <w:p>
            <w:pPr>
              <w:adjustRightInd/>
              <w:spacing w:line="360" w:lineRule="auto"/>
              <w:rPr>
                <w:rFonts w:ascii="宋体" w:hAnsi="宋体" w:cs="宋体"/>
                <w:sz w:val="24"/>
                <w:szCs w:val="24"/>
              </w:rPr>
            </w:pPr>
          </w:p>
        </w:tc>
        <w:tc>
          <w:tcPr>
            <w:tcW w:w="1107" w:type="dxa"/>
          </w:tcPr>
          <w:p>
            <w:pPr>
              <w:adjustRightInd/>
              <w:spacing w:line="360" w:lineRule="auto"/>
              <w:rPr>
                <w:rFonts w:ascii="宋体" w:hAnsi="宋体" w:cs="宋体"/>
                <w:sz w:val="24"/>
                <w:szCs w:val="24"/>
              </w:rPr>
            </w:pPr>
          </w:p>
        </w:tc>
        <w:tc>
          <w:tcPr>
            <w:tcW w:w="1077" w:type="dxa"/>
          </w:tcPr>
          <w:p>
            <w:pPr>
              <w:adjustRightInd/>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4" w:type="dxa"/>
          </w:tcPr>
          <w:p>
            <w:pPr>
              <w:adjustRightInd/>
              <w:spacing w:line="360" w:lineRule="auto"/>
              <w:rPr>
                <w:rFonts w:ascii="宋体" w:hAnsi="宋体" w:cs="宋体"/>
                <w:sz w:val="24"/>
                <w:szCs w:val="24"/>
              </w:rPr>
            </w:pPr>
          </w:p>
        </w:tc>
        <w:tc>
          <w:tcPr>
            <w:tcW w:w="1552" w:type="dxa"/>
          </w:tcPr>
          <w:p>
            <w:pPr>
              <w:adjustRightInd/>
              <w:spacing w:line="360" w:lineRule="auto"/>
              <w:rPr>
                <w:rFonts w:ascii="宋体" w:hAnsi="宋体" w:cs="宋体"/>
                <w:sz w:val="24"/>
                <w:szCs w:val="24"/>
              </w:rPr>
            </w:pPr>
          </w:p>
        </w:tc>
        <w:tc>
          <w:tcPr>
            <w:tcW w:w="1809" w:type="dxa"/>
          </w:tcPr>
          <w:p>
            <w:pPr>
              <w:adjustRightInd/>
              <w:spacing w:line="360" w:lineRule="auto"/>
              <w:rPr>
                <w:rFonts w:ascii="宋体" w:hAnsi="宋体" w:cs="宋体"/>
                <w:sz w:val="24"/>
                <w:szCs w:val="24"/>
              </w:rPr>
            </w:pPr>
          </w:p>
        </w:tc>
        <w:tc>
          <w:tcPr>
            <w:tcW w:w="1368" w:type="dxa"/>
          </w:tcPr>
          <w:p>
            <w:pPr>
              <w:adjustRightInd/>
              <w:spacing w:line="360" w:lineRule="auto"/>
              <w:rPr>
                <w:rFonts w:ascii="宋体" w:hAnsi="宋体" w:cs="宋体"/>
                <w:sz w:val="24"/>
                <w:szCs w:val="24"/>
              </w:rPr>
            </w:pPr>
          </w:p>
        </w:tc>
        <w:tc>
          <w:tcPr>
            <w:tcW w:w="1107" w:type="dxa"/>
          </w:tcPr>
          <w:p>
            <w:pPr>
              <w:adjustRightInd/>
              <w:spacing w:line="360" w:lineRule="auto"/>
              <w:rPr>
                <w:rFonts w:ascii="宋体" w:hAnsi="宋体" w:cs="宋体"/>
                <w:sz w:val="24"/>
                <w:szCs w:val="24"/>
              </w:rPr>
            </w:pPr>
          </w:p>
        </w:tc>
        <w:tc>
          <w:tcPr>
            <w:tcW w:w="1077" w:type="dxa"/>
          </w:tcPr>
          <w:p>
            <w:pPr>
              <w:adjustRightInd/>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4" w:type="dxa"/>
          </w:tcPr>
          <w:p>
            <w:pPr>
              <w:adjustRightInd/>
              <w:spacing w:line="360" w:lineRule="auto"/>
              <w:rPr>
                <w:rFonts w:ascii="宋体" w:hAnsi="宋体" w:cs="宋体"/>
                <w:sz w:val="24"/>
                <w:szCs w:val="24"/>
              </w:rPr>
            </w:pPr>
          </w:p>
        </w:tc>
        <w:tc>
          <w:tcPr>
            <w:tcW w:w="1552" w:type="dxa"/>
          </w:tcPr>
          <w:p>
            <w:pPr>
              <w:adjustRightInd/>
              <w:spacing w:line="360" w:lineRule="auto"/>
              <w:rPr>
                <w:rFonts w:ascii="宋体" w:hAnsi="宋体" w:cs="宋体"/>
                <w:sz w:val="24"/>
                <w:szCs w:val="24"/>
              </w:rPr>
            </w:pPr>
          </w:p>
        </w:tc>
        <w:tc>
          <w:tcPr>
            <w:tcW w:w="1809" w:type="dxa"/>
          </w:tcPr>
          <w:p>
            <w:pPr>
              <w:adjustRightInd/>
              <w:spacing w:line="360" w:lineRule="auto"/>
              <w:rPr>
                <w:rFonts w:ascii="宋体" w:hAnsi="宋体" w:cs="宋体"/>
                <w:sz w:val="24"/>
                <w:szCs w:val="24"/>
              </w:rPr>
            </w:pPr>
          </w:p>
        </w:tc>
        <w:tc>
          <w:tcPr>
            <w:tcW w:w="1368" w:type="dxa"/>
          </w:tcPr>
          <w:p>
            <w:pPr>
              <w:adjustRightInd/>
              <w:spacing w:line="360" w:lineRule="auto"/>
              <w:rPr>
                <w:rFonts w:ascii="宋体" w:hAnsi="宋体" w:cs="宋体"/>
                <w:sz w:val="24"/>
                <w:szCs w:val="24"/>
              </w:rPr>
            </w:pPr>
          </w:p>
        </w:tc>
        <w:tc>
          <w:tcPr>
            <w:tcW w:w="1107" w:type="dxa"/>
          </w:tcPr>
          <w:p>
            <w:pPr>
              <w:adjustRightInd/>
              <w:spacing w:line="360" w:lineRule="auto"/>
              <w:rPr>
                <w:rFonts w:ascii="宋体" w:hAnsi="宋体" w:cs="宋体"/>
                <w:sz w:val="24"/>
                <w:szCs w:val="24"/>
              </w:rPr>
            </w:pPr>
          </w:p>
        </w:tc>
        <w:tc>
          <w:tcPr>
            <w:tcW w:w="1077" w:type="dxa"/>
          </w:tcPr>
          <w:p>
            <w:pPr>
              <w:adjustRightInd/>
              <w:spacing w:line="360" w:lineRule="auto"/>
              <w:rPr>
                <w:rFonts w:ascii="宋体" w:hAnsi="宋体" w:cs="宋体"/>
                <w:sz w:val="24"/>
                <w:szCs w:val="24"/>
              </w:rPr>
            </w:pPr>
          </w:p>
        </w:tc>
      </w:tr>
    </w:tbl>
    <w:p>
      <w:pPr>
        <w:adjustRightInd/>
        <w:spacing w:line="360" w:lineRule="auto"/>
        <w:rPr>
          <w:rFonts w:ascii="Times New Roman" w:eastAsia="仿宋"/>
          <w:sz w:val="24"/>
          <w:szCs w:val="24"/>
        </w:rPr>
      </w:pPr>
    </w:p>
    <w:p>
      <w:pPr>
        <w:adjustRightInd/>
        <w:spacing w:line="360" w:lineRule="auto"/>
        <w:jc w:val="center"/>
        <w:rPr>
          <w:rFonts w:ascii="Times New Roman" w:eastAsia="仿宋"/>
          <w:sz w:val="24"/>
          <w:szCs w:val="24"/>
        </w:rPr>
      </w:pPr>
      <w:bookmarkStart w:id="38" w:name="BookMark8"/>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8"/>
      <w:bookmarkStart w:id="39" w:name="_GoBack"/>
      <w:bookmarkEnd w:id="39"/>
    </w:p>
    <w:p>
      <w:pPr>
        <w:pStyle w:val="56"/>
        <w:ind w:firstLine="420"/>
      </w:pPr>
    </w:p>
    <w:sectPr>
      <w:pgSz w:w="11906" w:h="16838"/>
      <w:pgMar w:top="2410"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T/XXX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hhMzIzMGU1OTdmZGQxY2UwMGU5Mjc2Yjg4YjVlMjMifQ=="/>
  </w:docVars>
  <w:rsids>
    <w:rsidRoot w:val="00616F7B"/>
    <w:rsid w:val="0000040A"/>
    <w:rsid w:val="00000A94"/>
    <w:rsid w:val="00001972"/>
    <w:rsid w:val="00001D9A"/>
    <w:rsid w:val="00007B3A"/>
    <w:rsid w:val="000107E0"/>
    <w:rsid w:val="000115A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2EDC"/>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2A7A"/>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6DFD"/>
    <w:rsid w:val="002C7EBB"/>
    <w:rsid w:val="002D06C1"/>
    <w:rsid w:val="002D42B5"/>
    <w:rsid w:val="002D4F1A"/>
    <w:rsid w:val="002D6EC6"/>
    <w:rsid w:val="002D79AC"/>
    <w:rsid w:val="002E039D"/>
    <w:rsid w:val="002E4D5A"/>
    <w:rsid w:val="002E6326"/>
    <w:rsid w:val="002F2CB4"/>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09E"/>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1DF"/>
    <w:rsid w:val="003E660F"/>
    <w:rsid w:val="003F0841"/>
    <w:rsid w:val="003F23D3"/>
    <w:rsid w:val="003F3F08"/>
    <w:rsid w:val="003F49F1"/>
    <w:rsid w:val="003F6272"/>
    <w:rsid w:val="00400E72"/>
    <w:rsid w:val="00400F46"/>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D3E"/>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6F7B"/>
    <w:rsid w:val="00617387"/>
    <w:rsid w:val="006205D6"/>
    <w:rsid w:val="006252D8"/>
    <w:rsid w:val="006259BC"/>
    <w:rsid w:val="0062636B"/>
    <w:rsid w:val="00627480"/>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079F7"/>
    <w:rsid w:val="00711CBA"/>
    <w:rsid w:val="00711F06"/>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6B31"/>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1F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2E91"/>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B769D"/>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040"/>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1E3B"/>
    <w:rsid w:val="00A723F8"/>
    <w:rsid w:val="00A7583D"/>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68A0"/>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3C482C"/>
    <w:rsid w:val="04603313"/>
    <w:rsid w:val="074F0680"/>
    <w:rsid w:val="0B2D6C49"/>
    <w:rsid w:val="0F1D2631"/>
    <w:rsid w:val="11286A0B"/>
    <w:rsid w:val="113F5C10"/>
    <w:rsid w:val="151E0E08"/>
    <w:rsid w:val="18521201"/>
    <w:rsid w:val="1EE228BF"/>
    <w:rsid w:val="24833D88"/>
    <w:rsid w:val="30E444DD"/>
    <w:rsid w:val="41C910CD"/>
    <w:rsid w:val="46771F45"/>
    <w:rsid w:val="4B892811"/>
    <w:rsid w:val="4EE95C16"/>
    <w:rsid w:val="5AD81390"/>
    <w:rsid w:val="5B3B6FCE"/>
    <w:rsid w:val="731312DD"/>
    <w:rsid w:val="760A4AE5"/>
    <w:rsid w:val="7755067B"/>
    <w:rsid w:val="78E42D73"/>
    <w:rsid w:val="7F190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8742AC29F024A95852915A576344328"/>
        <w:style w:val=""/>
        <w:category>
          <w:name w:val="常规"/>
          <w:gallery w:val="placeholder"/>
        </w:category>
        <w:types>
          <w:type w:val="bbPlcHdr"/>
        </w:types>
        <w:behaviors>
          <w:behavior w:val="content"/>
        </w:behaviors>
        <w:description w:val=""/>
        <w:guid w:val="{53E557A4-12CB-43FB-B9F7-F4C822C6835C}"/>
      </w:docPartPr>
      <w:docPartBody>
        <w:p>
          <w:pPr>
            <w:pStyle w:val="5"/>
          </w:pPr>
          <w:r>
            <w:rPr>
              <w:rStyle w:val="4"/>
              <w:rFonts w:hint="eastAsia"/>
            </w:rPr>
            <w:t>单击或点击此处输入文字。</w:t>
          </w:r>
        </w:p>
      </w:docPartBody>
    </w:docPart>
    <w:docPart>
      <w:docPartPr>
        <w:name w:val="247B10A345F04B5FBC7F171428A13AD2"/>
        <w:style w:val=""/>
        <w:category>
          <w:name w:val="常规"/>
          <w:gallery w:val="placeholder"/>
        </w:category>
        <w:types>
          <w:type w:val="bbPlcHdr"/>
        </w:types>
        <w:behaviors>
          <w:behavior w:val="content"/>
        </w:behaviors>
        <w:description w:val=""/>
        <w:guid w:val="{CF759262-8CAB-491F-B877-15DF3842F778}"/>
      </w:docPartPr>
      <w:docPartBody>
        <w:p>
          <w:pPr>
            <w:pStyle w:val="6"/>
          </w:pPr>
          <w:r>
            <w:rPr>
              <w:rStyle w:val="4"/>
              <w:rFonts w:hint="eastAsia"/>
            </w:rPr>
            <w:t>选择一项。</w:t>
          </w:r>
        </w:p>
      </w:docPartBody>
    </w:docPart>
    <w:docPart>
      <w:docPartPr>
        <w:name w:val="9B29E05B00CD44E0977E34133DEA9380"/>
        <w:style w:val=""/>
        <w:category>
          <w:name w:val="常规"/>
          <w:gallery w:val="placeholder"/>
        </w:category>
        <w:types>
          <w:type w:val="bbPlcHdr"/>
        </w:types>
        <w:behaviors>
          <w:behavior w:val="content"/>
        </w:behaviors>
        <w:description w:val=""/>
        <w:guid w:val="{5318FEF8-8618-435E-B577-7E0315B3F1E2}"/>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DC5"/>
    <w:rsid w:val="00235DC5"/>
    <w:rsid w:val="005C55EC"/>
    <w:rsid w:val="00776C24"/>
    <w:rsid w:val="00EB224F"/>
    <w:rsid w:val="00F54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18742AC29F024A95852915A57634432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247B10A345F04B5FBC7F171428A13AD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9B29E05B00CD44E0977E34133DEA938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9CF907-54C7-453B-8712-3C64AF8AB54B}">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5</Pages>
  <Words>285</Words>
  <Characters>1628</Characters>
  <Lines>13</Lines>
  <Paragraphs>3</Paragraphs>
  <TotalTime>1</TotalTime>
  <ScaleCrop>false</ScaleCrop>
  <LinksUpToDate>false</LinksUpToDate>
  <CharactersWithSpaces>1910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2022-01-13T01:41:00Z</dcterms:created>
  <dc:creator>潘亮</dc:creator>
  <dc:description>&lt;config cover="true" show_menu="true" version="1.0.0" doctype="SDKXY"&gt;_x000d_
&lt;/config&gt;</dc:description>
  <cp:lastModifiedBy>gongqing</cp:lastModifiedBy>
  <cp:lastPrinted>2021-02-02T08:22:00Z</cp:lastPrinted>
  <dcterms:modified xsi:type="dcterms:W3CDTF">2022-11-13T04:36:32Z</dcterms:modified>
  <dc:title>团体标准</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2052-11.1.0.10938</vt:lpwstr>
  </property>
  <property fmtid="{D5CDD505-2E9C-101B-9397-08002B2CF9AE}" pid="15" name="ICV">
    <vt:lpwstr>53CCDC3BA9D6426EA5C9A370505472B3</vt:lpwstr>
  </property>
</Properties>
</file>