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 xml:space="preserve"> </w:t>
      </w:r>
      <w:r>
        <w:rPr>
          <w:rFonts w:ascii="黑体" w:hAnsi="黑体" w:eastAsia="黑体" w:cs="黑体"/>
          <w:color w:val="000000"/>
          <w:kern w:val="0"/>
          <w:sz w:val="40"/>
          <w:szCs w:val="40"/>
        </w:rPr>
        <w:t xml:space="preserve">   </w:t>
      </w:r>
      <w:r>
        <w:rPr>
          <w:rFonts w:hint="eastAsia" w:ascii="黑体" w:hAnsi="黑体" w:eastAsia="黑体" w:cs="黑体"/>
          <w:color w:val="000000"/>
          <w:kern w:val="0"/>
          <w:sz w:val="40"/>
          <w:szCs w:val="40"/>
        </w:rPr>
        <w:t>《草原矿区人工培养蓝藻丸衣化技术规程》</w:t>
      </w:r>
    </w:p>
    <w:p>
      <w:pPr>
        <w:spacing w:after="240"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《草原矿区人工培养蓝藻丸衣化技术规程》起草组</w:t>
      </w:r>
    </w:p>
    <w:p>
      <w:pPr>
        <w:spacing w:line="360" w:lineRule="auto"/>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rPr>
        <w:t>2年11月</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jc w:val="center"/>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《草原矿区人工培养蓝藻丸衣化技术规程》</w:t>
      </w:r>
    </w:p>
    <w:p>
      <w:pPr>
        <w:jc w:val="center"/>
        <w:rPr>
          <w:rFonts w:asciiTheme="minorEastAsia" w:hAnsiTheme="minorEastAsia"/>
          <w:b/>
          <w:sz w:val="36"/>
          <w:szCs w:val="36"/>
        </w:rPr>
      </w:pPr>
      <w:r>
        <w:rPr>
          <w:rFonts w:hint="eastAsia" w:asciiTheme="minorEastAsia" w:hAnsiTheme="minorEastAsia"/>
          <w:b/>
          <w:sz w:val="36"/>
          <w:szCs w:val="36"/>
        </w:rPr>
        <w:t>编制说明</w:t>
      </w:r>
    </w:p>
    <w:p>
      <w:pPr>
        <w:ind w:firstLine="602" w:firstLineChars="200"/>
        <w:rPr>
          <w:rFonts w:ascii="仿宋" w:hAnsi="仿宋" w:eastAsia="仿宋"/>
          <w:b/>
          <w:sz w:val="30"/>
          <w:szCs w:val="30"/>
        </w:rPr>
      </w:pPr>
      <w:r>
        <w:rPr>
          <w:rFonts w:hint="eastAsia" w:ascii="仿宋" w:hAnsi="仿宋" w:eastAsia="仿宋"/>
          <w:b/>
          <w:sz w:val="30"/>
          <w:szCs w:val="30"/>
        </w:rPr>
        <w:t>一、工作简况</w:t>
      </w:r>
    </w:p>
    <w:p>
      <w:pPr>
        <w:ind w:firstLine="562" w:firstLineChars="200"/>
        <w:rPr>
          <w:rFonts w:ascii="仿宋" w:hAnsi="仿宋" w:eastAsia="仿宋"/>
          <w:sz w:val="28"/>
          <w:szCs w:val="28"/>
        </w:rPr>
      </w:pPr>
      <w:r>
        <w:rPr>
          <w:rFonts w:hint="eastAsia" w:ascii="仿宋" w:hAnsi="仿宋" w:eastAsia="仿宋"/>
          <w:b/>
          <w:sz w:val="28"/>
          <w:szCs w:val="28"/>
        </w:rPr>
        <w:t>1、任务来源</w:t>
      </w:r>
    </w:p>
    <w:p>
      <w:pPr>
        <w:ind w:firstLine="560" w:firstLineChars="200"/>
        <w:rPr>
          <w:rFonts w:ascii="仿宋" w:hAnsi="仿宋" w:eastAsia="仿宋"/>
          <w:sz w:val="28"/>
          <w:szCs w:val="28"/>
        </w:rPr>
      </w:pPr>
      <w:r>
        <w:rPr>
          <w:rFonts w:hint="eastAsia" w:ascii="仿宋" w:hAnsi="仿宋" w:eastAsia="仿宋"/>
          <w:sz w:val="28"/>
          <w:szCs w:val="28"/>
        </w:rPr>
        <w:t>根据国家标准化管理委员会、民政部印发《团体标准管理规定》和《内蒙古标准化协会团体标准管理办法》的相关要求，由内蒙古大学提出并起草，提出团体标准立项申请。2022年7月，经内蒙古标准化协会批准立项《草原矿区人工培养蓝藻丸衣化技术规程》团体标准，立项文件编号：内标协[2022]016号。</w:t>
      </w:r>
    </w:p>
    <w:p>
      <w:pPr>
        <w:rPr>
          <w:rFonts w:ascii="仿宋" w:hAnsi="仿宋" w:eastAsia="仿宋"/>
          <w:b/>
          <w:sz w:val="28"/>
          <w:szCs w:val="28"/>
        </w:rPr>
      </w:pPr>
      <w:r>
        <w:rPr>
          <w:rFonts w:hint="eastAsia" w:ascii="仿宋" w:hAnsi="仿宋" w:eastAsia="仿宋"/>
          <w:b/>
          <w:sz w:val="28"/>
          <w:szCs w:val="28"/>
        </w:rPr>
        <w:t>2、起草单位及协作单位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起草单位：内蒙古大学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协作单位：内蒙古蒙草矿山科技有限责任公司、内蒙古农业大学、锡林郭勒盟蒙东矿业有限责任公司、蒙草生态环境（集团）股份有限公司、内蒙古峰茂科技创新有限公司</w:t>
      </w:r>
    </w:p>
    <w:p>
      <w:pPr>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ascii="仿宋" w:hAnsi="仿宋" w:eastAsia="仿宋"/>
          <w:sz w:val="28"/>
          <w:szCs w:val="28"/>
        </w:rPr>
      </w:pPr>
      <w:r>
        <w:rPr>
          <w:rFonts w:hint="eastAsia" w:ascii="仿宋" w:hAnsi="仿宋" w:eastAsia="仿宋"/>
          <w:sz w:val="28"/>
          <w:szCs w:val="28"/>
        </w:rPr>
        <w:t>本标准主要起草人为：任卫波、高凯茹、郭慧琴、张跃华、苑峰、王亮。具体分工见表1。</w:t>
      </w:r>
    </w:p>
    <w:p>
      <w:pPr>
        <w:spacing w:line="360" w:lineRule="auto"/>
        <w:ind w:firstLine="562" w:firstLineChars="200"/>
        <w:jc w:val="center"/>
        <w:rPr>
          <w:rFonts w:ascii="仿宋" w:hAnsi="仿宋" w:eastAsia="仿宋"/>
          <w:b/>
          <w:bCs/>
          <w:sz w:val="28"/>
          <w:szCs w:val="28"/>
        </w:rPr>
      </w:pPr>
      <w:r>
        <w:rPr>
          <w:rFonts w:hint="eastAsia" w:ascii="仿宋" w:hAnsi="仿宋" w:eastAsia="仿宋"/>
          <w:b/>
          <w:bCs/>
          <w:sz w:val="28"/>
          <w:szCs w:val="28"/>
        </w:rPr>
        <w:t>表1标准参与编写人员及任务分工</w:t>
      </w:r>
    </w:p>
    <w:tbl>
      <w:tblPr>
        <w:tblStyle w:val="5"/>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4"/>
        <w:gridCol w:w="2359"/>
        <w:gridCol w:w="1050"/>
        <w:gridCol w:w="377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姓名</w:t>
            </w:r>
          </w:p>
        </w:tc>
        <w:tc>
          <w:tcPr>
            <w:tcW w:w="1384"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工作单位</w:t>
            </w:r>
          </w:p>
        </w:tc>
        <w:tc>
          <w:tcPr>
            <w:tcW w:w="616"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职称</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任卫波</w:t>
            </w:r>
          </w:p>
        </w:tc>
        <w:tc>
          <w:tcPr>
            <w:tcW w:w="1384"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616" w:type="pct"/>
            <w:vAlign w:val="center"/>
          </w:tcPr>
          <w:p>
            <w:pPr>
              <w:spacing w:after="80"/>
              <w:jc w:val="center"/>
              <w:rPr>
                <w:rFonts w:ascii="仿宋" w:hAnsi="仿宋" w:eastAsia="仿宋"/>
              </w:rPr>
            </w:pPr>
            <w:r>
              <w:rPr>
                <w:rFonts w:hint="eastAsia" w:ascii="仿宋" w:hAnsi="仿宋" w:eastAsia="仿宋"/>
              </w:rPr>
              <w:t>研究员</w:t>
            </w:r>
          </w:p>
        </w:tc>
        <w:tc>
          <w:tcPr>
            <w:tcW w:w="2217" w:type="pct"/>
            <w:vAlign w:val="center"/>
          </w:tcPr>
          <w:p>
            <w:pPr>
              <w:autoSpaceDE w:val="0"/>
              <w:autoSpaceDN w:val="0"/>
              <w:spacing w:after="0"/>
              <w:contextualSpacing/>
              <w:rPr>
                <w:rFonts w:ascii="仿宋" w:hAnsi="仿宋" w:eastAsia="仿宋" w:cs="Times New Roman"/>
                <w:color w:val="000000" w:themeColor="text1"/>
                <w:kern w:val="0"/>
                <w:szCs w:val="28"/>
              </w:rPr>
            </w:pPr>
            <w:r>
              <w:rPr>
                <w:rFonts w:ascii="仿宋" w:hAnsi="仿宋" w:eastAsia="仿宋" w:cs="Times New Roman"/>
                <w:color w:val="000000" w:themeColor="text1"/>
                <w:kern w:val="0"/>
                <w:szCs w:val="28"/>
              </w:rPr>
              <w:t>项目主持人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负责方案设计</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标准编写</w:t>
            </w:r>
            <w:r>
              <w:rPr>
                <w:rFonts w:hint="eastAsia" w:ascii="仿宋" w:hAnsi="仿宋" w:eastAsia="仿宋" w:cs="Times New Roman"/>
                <w:color w:val="000000" w:themeColor="text1"/>
                <w:kern w:val="0"/>
                <w:szCs w:val="28"/>
              </w:rPr>
              <w:t>、验证和修订。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高凯茹</w:t>
            </w:r>
          </w:p>
        </w:tc>
        <w:tc>
          <w:tcPr>
            <w:tcW w:w="1384"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616" w:type="pct"/>
            <w:vAlign w:val="center"/>
          </w:tcPr>
          <w:p>
            <w:pPr>
              <w:spacing w:after="80"/>
              <w:jc w:val="center"/>
              <w:rPr>
                <w:rFonts w:ascii="仿宋" w:hAnsi="仿宋" w:eastAsia="仿宋" w:cs="仿宋_GB2312"/>
                <w:spacing w:val="6"/>
              </w:rPr>
            </w:pPr>
            <w:r>
              <w:rPr>
                <w:rFonts w:hint="eastAsia" w:ascii="仿宋" w:hAnsi="仿宋" w:eastAsia="仿宋" w:cs="仿宋_GB2312"/>
                <w:spacing w:val="6"/>
              </w:rPr>
              <w:t>/</w:t>
            </w:r>
          </w:p>
        </w:tc>
        <w:tc>
          <w:tcPr>
            <w:tcW w:w="2217" w:type="pct"/>
            <w:vAlign w:val="center"/>
          </w:tcPr>
          <w:p>
            <w:pPr>
              <w:spacing w:after="0"/>
              <w:rPr>
                <w:rFonts w:ascii="仿宋" w:hAnsi="仿宋" w:eastAsia="仿宋"/>
                <w:kern w:val="0"/>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负责标准编写</w:t>
            </w:r>
            <w:r>
              <w:rPr>
                <w:rFonts w:hint="eastAsia" w:ascii="仿宋" w:hAnsi="仿宋" w:eastAsia="仿宋" w:cs="Times New Roman"/>
                <w:color w:val="000000" w:themeColor="text1"/>
                <w:kern w:val="0"/>
                <w:szCs w:val="28"/>
              </w:rPr>
              <w:t>、试验验证和修订。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郭慧琴</w:t>
            </w:r>
          </w:p>
        </w:tc>
        <w:tc>
          <w:tcPr>
            <w:tcW w:w="1384" w:type="pct"/>
            <w:vAlign w:val="center"/>
          </w:tcPr>
          <w:p>
            <w:pPr>
              <w:spacing w:after="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内蒙古农业大学</w:t>
            </w:r>
          </w:p>
        </w:tc>
        <w:tc>
          <w:tcPr>
            <w:tcW w:w="616" w:type="pct"/>
            <w:vAlign w:val="center"/>
          </w:tcPr>
          <w:p>
            <w:pPr>
              <w:spacing w:after="80"/>
              <w:jc w:val="center"/>
              <w:rPr>
                <w:rFonts w:ascii="仿宋" w:hAnsi="仿宋" w:eastAsia="仿宋" w:cs="仿宋_GB2312"/>
                <w:spacing w:val="6"/>
              </w:rPr>
            </w:pPr>
            <w:r>
              <w:rPr>
                <w:rFonts w:hint="eastAsia" w:ascii="仿宋" w:hAnsi="仿宋" w:eastAsia="仿宋"/>
              </w:rPr>
              <w:t>副教授</w:t>
            </w:r>
          </w:p>
        </w:tc>
        <w:tc>
          <w:tcPr>
            <w:tcW w:w="2217" w:type="pct"/>
            <w:vAlign w:val="center"/>
          </w:tcPr>
          <w:p>
            <w:pPr>
              <w:spacing w:after="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张跃华</w:t>
            </w:r>
          </w:p>
        </w:tc>
        <w:tc>
          <w:tcPr>
            <w:tcW w:w="1384" w:type="pct"/>
            <w:vAlign w:val="center"/>
          </w:tcPr>
          <w:p>
            <w:pPr>
              <w:spacing w:after="80"/>
              <w:jc w:val="center"/>
              <w:rPr>
                <w:rFonts w:ascii="仿宋" w:hAnsi="仿宋" w:eastAsia="仿宋" w:cs="Times New Roman"/>
                <w:color w:val="000000" w:themeColor="text1"/>
                <w:kern w:val="0"/>
                <w:szCs w:val="28"/>
              </w:rPr>
            </w:pPr>
            <w:bookmarkStart w:id="0" w:name="_GoBack"/>
            <w:bookmarkEnd w:id="0"/>
            <w:r>
              <w:rPr>
                <w:rFonts w:hint="eastAsia" w:ascii="仿宋" w:hAnsi="仿宋" w:eastAsia="仿宋" w:cs="Times New Roman"/>
                <w:color w:val="000000" w:themeColor="text1"/>
                <w:kern w:val="0"/>
                <w:szCs w:val="28"/>
              </w:rPr>
              <w:t>蒙草生态环境（集团）股份有限公司</w:t>
            </w:r>
          </w:p>
        </w:tc>
        <w:tc>
          <w:tcPr>
            <w:tcW w:w="616" w:type="pct"/>
            <w:vAlign w:val="center"/>
          </w:tcPr>
          <w:p>
            <w:pPr>
              <w:spacing w:after="80"/>
              <w:jc w:val="center"/>
              <w:rPr>
                <w:rFonts w:ascii="仿宋" w:hAnsi="仿宋" w:eastAsia="仿宋"/>
              </w:rPr>
            </w:pPr>
            <w:r>
              <w:rPr>
                <w:rFonts w:hint="eastAsia" w:ascii="仿宋" w:hAnsi="仿宋" w:eastAsia="仿宋"/>
              </w:rPr>
              <w:t>中级畜牧师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w:t>
            </w:r>
            <w:r>
              <w:rPr>
                <w:rFonts w:hint="eastAsia" w:ascii="仿宋" w:hAnsi="仿宋" w:eastAsia="仿宋" w:cs="Times New Roman"/>
                <w:color w:val="000000" w:themeColor="text1"/>
                <w:kern w:val="0"/>
                <w:szCs w:val="28"/>
              </w:rPr>
              <w:t>标准格式的校正。</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苑峰</w:t>
            </w:r>
          </w:p>
        </w:tc>
        <w:tc>
          <w:tcPr>
            <w:tcW w:w="1384" w:type="pct"/>
            <w:vAlign w:val="center"/>
          </w:tcPr>
          <w:p>
            <w:pPr>
              <w:spacing w:after="8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内蒙古峰茂科技创新有限公司</w:t>
            </w:r>
          </w:p>
        </w:tc>
        <w:tc>
          <w:tcPr>
            <w:tcW w:w="616" w:type="pct"/>
            <w:vAlign w:val="center"/>
          </w:tcPr>
          <w:p>
            <w:pPr>
              <w:spacing w:after="80"/>
              <w:jc w:val="center"/>
              <w:rPr>
                <w:rFonts w:ascii="仿宋" w:hAnsi="仿宋" w:eastAsia="仿宋"/>
              </w:rPr>
            </w:pPr>
            <w:r>
              <w:rPr>
                <w:rFonts w:hint="eastAsia" w:ascii="仿宋" w:hAnsi="仿宋" w:eastAsia="仿宋"/>
              </w:rPr>
              <w:t>中级畜牧师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w:t>
            </w:r>
            <w:r>
              <w:rPr>
                <w:rFonts w:hint="eastAsia" w:ascii="仿宋" w:hAnsi="仿宋" w:eastAsia="仿宋" w:cs="Times New Roman"/>
                <w:color w:val="000000" w:themeColor="text1"/>
                <w:kern w:val="0"/>
                <w:szCs w:val="28"/>
              </w:rPr>
              <w:t>相关标准查询。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王亮</w:t>
            </w:r>
          </w:p>
        </w:tc>
        <w:tc>
          <w:tcPr>
            <w:tcW w:w="1384" w:type="pct"/>
            <w:vAlign w:val="center"/>
          </w:tcPr>
          <w:p>
            <w:pPr>
              <w:spacing w:after="8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锡林郭勒盟蒙东矿业有限责任公司</w:t>
            </w:r>
          </w:p>
        </w:tc>
        <w:tc>
          <w:tcPr>
            <w:tcW w:w="616" w:type="pct"/>
            <w:vAlign w:val="center"/>
          </w:tcPr>
          <w:p>
            <w:pPr>
              <w:spacing w:after="80"/>
              <w:jc w:val="center"/>
              <w:rPr>
                <w:rFonts w:ascii="仿宋" w:hAnsi="仿宋" w:eastAsia="仿宋"/>
              </w:rPr>
            </w:pPr>
            <w:r>
              <w:rPr>
                <w:rFonts w:hint="eastAsia" w:ascii="仿宋" w:hAnsi="仿宋" w:eastAsia="仿宋"/>
              </w:rPr>
              <w:t>中级畜牧师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w:t>
            </w:r>
            <w:r>
              <w:rPr>
                <w:rFonts w:hint="eastAsia" w:ascii="仿宋" w:hAnsi="仿宋" w:eastAsia="仿宋" w:cs="Times New Roman"/>
                <w:color w:val="000000" w:themeColor="text1"/>
                <w:kern w:val="0"/>
                <w:szCs w:val="28"/>
              </w:rPr>
              <w:t>专家意见征求、整理。</w:t>
            </w:r>
          </w:p>
        </w:tc>
      </w:tr>
    </w:tbl>
    <w:p>
      <w:pPr>
        <w:rPr>
          <w:rFonts w:ascii="仿宋" w:hAnsi="仿宋" w:eastAsia="仿宋"/>
          <w:sz w:val="28"/>
          <w:szCs w:val="28"/>
        </w:rPr>
      </w:pPr>
    </w:p>
    <w:p>
      <w:pPr>
        <w:ind w:firstLine="843" w:firstLineChars="300"/>
        <w:rPr>
          <w:rFonts w:ascii="仿宋" w:hAnsi="仿宋" w:eastAsia="仿宋"/>
          <w:b/>
          <w:sz w:val="28"/>
          <w:szCs w:val="28"/>
        </w:rPr>
      </w:pPr>
      <w:r>
        <w:rPr>
          <w:rFonts w:hint="eastAsia" w:ascii="仿宋" w:hAnsi="仿宋" w:eastAsia="仿宋"/>
          <w:b/>
          <w:sz w:val="28"/>
          <w:szCs w:val="28"/>
        </w:rPr>
        <w:t>二、制定标准的必要性和意义</w:t>
      </w:r>
    </w:p>
    <w:p>
      <w:pPr>
        <w:ind w:firstLine="560" w:firstLineChars="200"/>
        <w:rPr>
          <w:rFonts w:ascii="仿宋" w:hAnsi="仿宋" w:eastAsia="仿宋"/>
          <w:sz w:val="28"/>
          <w:szCs w:val="28"/>
        </w:rPr>
      </w:pPr>
      <w:r>
        <w:rPr>
          <w:rFonts w:hint="eastAsia" w:ascii="仿宋" w:hAnsi="仿宋" w:eastAsia="仿宋"/>
          <w:sz w:val="28"/>
          <w:szCs w:val="28"/>
        </w:rPr>
        <w:t xml:space="preserve"> 矿山的露天开采工艺大面积地破坏地表植被和剥离表土，矿区原地貌的生态系统随着资源的开采而受到严重的干扰，面积不断增加的排土场，也使矿区成为典型的脆弱生态系统。目前矿山生态修复常采用“工程整治+物理修复+化学修复+植物修复”的联合方式，并取得了较好的治理成效，但在矿区修复早期土壤养分含量低，植物定植困难，需要长期的人工管护，并随复垦年限的增加，矿山生态系统出现逐渐退化的趋势，土壤颗粒结构松散，水土流失加剧，出现“小老树”现象。 因此探索能够自我维持、功能稳定的矿山修复方式就变得尤为重要。</w:t>
      </w:r>
    </w:p>
    <w:p>
      <w:pPr>
        <w:ind w:firstLine="560" w:firstLineChars="200"/>
        <w:rPr>
          <w:rFonts w:ascii="仿宋" w:hAnsi="仿宋" w:eastAsia="仿宋"/>
          <w:sz w:val="28"/>
          <w:szCs w:val="28"/>
        </w:rPr>
      </w:pPr>
      <w:r>
        <w:rPr>
          <w:rFonts w:hint="eastAsia" w:ascii="仿宋" w:hAnsi="仿宋" w:eastAsia="仿宋"/>
          <w:sz w:val="28"/>
          <w:szCs w:val="28"/>
        </w:rPr>
        <w:t>生物结皮在地球上分布广泛，尤其在干旱半干旱地区，结皮盖度高达70%，是荒漠生态系统的重要组成部分。生物结皮(biological soil crusts，BSCs)是由细菌、真菌、蓝绿藻、地衣和苔藓植物等孢子植物类群与土壤颗粒形成的，有三个主要的演替阶段，即藻类结皮、地衣结皮、苔藓结皮。蓝细菌作为生物结皮早期的主要组成成分，对极端环境具有较强的适应性，且生物结皮中蓝藻对固氮活性具有显著的的贡献(90.9%) ，丝状蓝藻生长时分泌大量的胞外多糖起到稳定土壤，保持水土的作用。人工蓝藻结皮固沙技术，能够将生物土壤结皮形成的时间由10年缩短至2-3年，并且能够快速促进土壤稳定，达到稳定土壤的效果。目前关于结皮修复的研究主要集中在西北沙漠地区、黄土高原和青藏高寒山区，矿山排土场同样具有极端贫瘠、沙质疏松、结构不良、表面稳定性较低、昼夜温差大且移动性较大、易干旱、水蚀及风蚀严重等特点，因此将结皮应用于矿山重构生态系统修复的研究越来越受到广泛的关注。</w:t>
      </w:r>
    </w:p>
    <w:p>
      <w:pPr>
        <w:ind w:firstLine="560" w:firstLineChars="200"/>
        <w:rPr>
          <w:rFonts w:ascii="仿宋" w:hAnsi="仿宋" w:eastAsia="仿宋"/>
          <w:sz w:val="28"/>
          <w:szCs w:val="28"/>
        </w:rPr>
      </w:pPr>
      <w:r>
        <w:rPr>
          <w:rFonts w:hint="eastAsia" w:ascii="仿宋" w:hAnsi="仿宋" w:eastAsia="仿宋"/>
          <w:sz w:val="28"/>
          <w:szCs w:val="28"/>
        </w:rPr>
        <w:t>近年来，关于生物结皮产品化以便用于大规模修复的研究受到了国内外广泛的重视。Cubečková在美国欧文堡国家训练中心将蓝藻在麻布上培养一段时间后，切割成碎片接种到土壤上，与土壤稳定剂联合使用取得了较好的效果，且产品成本较低；西班牙学者Roman通过丸粒化使蓝藻能够更长时间的储存并保持活性，接种45天后颗粒物完全降解，蓝藻迁移至土壤中生存。内蒙古林科院刘新前等人将培养后的藻液干燥成藻粉，接种时将干藻与沙土一起混匀，直接撒播到地表，也可培养好的藻液可以直接接种到沙地，这是我国目前普遍使用的蓝藻接种方法，但有一定的局限性，由于草原矿区排土场地势较高，多风且遮挡物较少，因此撒播后藻粉易随风飘散，成为蓝藻生态修复的一大难题。建立人工蓝藻结皮丸衣化的技术规程，是解决蓝藻快速结皮，防沙固沙、大规模生态修复、技术推广使用“卡脖子”问题的核心。</w:t>
      </w:r>
    </w:p>
    <w:p>
      <w:pPr>
        <w:ind w:firstLine="560" w:firstLineChars="200"/>
        <w:rPr>
          <w:rFonts w:ascii="仿宋" w:hAnsi="仿宋" w:eastAsia="仿宋"/>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三、主要起草过程</w:t>
      </w:r>
    </w:p>
    <w:p>
      <w:pPr>
        <w:ind w:firstLine="562" w:firstLineChars="200"/>
        <w:rPr>
          <w:rFonts w:ascii="仿宋" w:hAnsi="仿宋" w:eastAsia="仿宋"/>
          <w:b/>
          <w:sz w:val="28"/>
          <w:szCs w:val="28"/>
        </w:rPr>
      </w:pPr>
      <w:r>
        <w:rPr>
          <w:rFonts w:hint="eastAsia" w:ascii="仿宋" w:hAnsi="仿宋" w:eastAsia="仿宋"/>
          <w:b/>
          <w:sz w:val="28"/>
          <w:szCs w:val="28"/>
        </w:rPr>
        <w:t>1、前期准备</w:t>
      </w:r>
    </w:p>
    <w:p>
      <w:pPr>
        <w:ind w:firstLine="560" w:firstLineChars="200"/>
        <w:rPr>
          <w:rFonts w:ascii="仿宋" w:hAnsi="仿宋" w:eastAsia="仿宋"/>
          <w:sz w:val="28"/>
          <w:szCs w:val="28"/>
        </w:rPr>
      </w:pPr>
      <w:r>
        <w:rPr>
          <w:rFonts w:hint="eastAsia" w:ascii="仿宋" w:hAnsi="仿宋" w:eastAsia="仿宋"/>
          <w:sz w:val="28"/>
          <w:szCs w:val="28"/>
        </w:rPr>
        <w:t>项目组自2020年以来，就在内蒙古锡林浩特胜利二矿、乌海市骆驼山矿区、阿拉善乌兰布和沙地等地区开展了天然蓝藻结皮采集、蓝藻细菌的分离、纯化与培养工作。共收集蓝藻结皮资源150余份，分离纯化适应性强、生长速度快的优良固氮蓝藻20余株，建立了较为完善的蓝藻菌繁殖体系，为后期开展蓝藻结皮修复提供了藻种保障。</w:t>
      </w:r>
    </w:p>
    <w:p>
      <w:pPr>
        <w:ind w:firstLine="482" w:firstLineChars="200"/>
        <w:jc w:val="center"/>
        <w:rPr>
          <w:rFonts w:ascii="仿宋" w:hAnsi="仿宋" w:eastAsia="仿宋"/>
          <w:b/>
          <w:bCs/>
          <w:sz w:val="24"/>
          <w:szCs w:val="24"/>
        </w:rPr>
      </w:pPr>
      <w:r>
        <w:rPr>
          <w:rFonts w:hint="eastAsia" w:ascii="仿宋" w:hAnsi="仿宋" w:eastAsia="仿宋"/>
          <w:b/>
          <w:bCs/>
          <w:sz w:val="24"/>
          <w:szCs w:val="24"/>
        </w:rPr>
        <w:drawing>
          <wp:anchor distT="0" distB="0" distL="114300" distR="114300" simplePos="0" relativeHeight="251659264" behindDoc="0" locked="0" layoutInCell="1" allowOverlap="1">
            <wp:simplePos x="0" y="0"/>
            <wp:positionH relativeFrom="column">
              <wp:posOffset>996950</wp:posOffset>
            </wp:positionH>
            <wp:positionV relativeFrom="paragraph">
              <wp:posOffset>37465</wp:posOffset>
            </wp:positionV>
            <wp:extent cx="3307080" cy="1711960"/>
            <wp:effectExtent l="0" t="0" r="7620" b="2540"/>
            <wp:wrapTopAndBottom/>
            <wp:docPr id="2" name="图片 3" descr="纯化8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纯化8藻"/>
                    <pic:cNvPicPr>
                      <a:picLocks noChangeAspect="1"/>
                    </pic:cNvPicPr>
                  </pic:nvPicPr>
                  <pic:blipFill>
                    <a:blip r:embed="rId4"/>
                    <a:stretch>
                      <a:fillRect/>
                    </a:stretch>
                  </pic:blipFill>
                  <pic:spPr>
                    <a:xfrm>
                      <a:off x="0" y="0"/>
                      <a:ext cx="3307080" cy="1711960"/>
                    </a:xfrm>
                    <a:prstGeom prst="rect">
                      <a:avLst/>
                    </a:prstGeom>
                    <a:noFill/>
                    <a:ln>
                      <a:noFill/>
                    </a:ln>
                  </pic:spPr>
                </pic:pic>
              </a:graphicData>
            </a:graphic>
          </wp:anchor>
        </w:drawing>
      </w:r>
      <w:r>
        <w:rPr>
          <w:rFonts w:hint="eastAsia" w:ascii="仿宋" w:hAnsi="仿宋" w:eastAsia="仿宋"/>
          <w:b/>
          <w:bCs/>
          <w:sz w:val="24"/>
          <w:szCs w:val="24"/>
        </w:rPr>
        <w:t>图1 项目组前期分离出的部分蓝藻菌株</w:t>
      </w:r>
    </w:p>
    <w:p>
      <w:pPr>
        <w:ind w:firstLine="420" w:firstLineChars="200"/>
        <w:jc w:val="center"/>
      </w:pPr>
      <w:r>
        <w:drawing>
          <wp:inline distT="0" distB="0" distL="114300" distR="114300">
            <wp:extent cx="3705225" cy="2196465"/>
            <wp:effectExtent l="0" t="0" r="3175" b="635"/>
            <wp:docPr id="3" name="图片 2" descr="单一藻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单一藻液1"/>
                    <pic:cNvPicPr>
                      <a:picLocks noChangeAspect="1"/>
                    </pic:cNvPicPr>
                  </pic:nvPicPr>
                  <pic:blipFill>
                    <a:blip r:embed="rId5"/>
                    <a:srcRect r="24597"/>
                    <a:stretch>
                      <a:fillRect/>
                    </a:stretch>
                  </pic:blipFill>
                  <pic:spPr>
                    <a:xfrm>
                      <a:off x="0" y="0"/>
                      <a:ext cx="3705225" cy="2196465"/>
                    </a:xfrm>
                    <a:prstGeom prst="rect">
                      <a:avLst/>
                    </a:prstGeom>
                  </pic:spPr>
                </pic:pic>
              </a:graphicData>
            </a:graphic>
          </wp:inline>
        </w:drawing>
      </w:r>
    </w:p>
    <w:p>
      <w:pPr>
        <w:ind w:firstLine="482" w:firstLineChars="200"/>
        <w:jc w:val="center"/>
      </w:pPr>
      <w:r>
        <w:rPr>
          <w:rFonts w:hint="eastAsia" w:ascii="仿宋" w:hAnsi="仿宋" w:eastAsia="仿宋"/>
          <w:b/>
          <w:bCs/>
          <w:sz w:val="24"/>
          <w:szCs w:val="24"/>
        </w:rPr>
        <w:t>图2 项目组前期培养的部分蓝藻菌株</w:t>
      </w:r>
    </w:p>
    <w:p>
      <w:pPr>
        <w:ind w:firstLine="562" w:firstLineChars="200"/>
        <w:rPr>
          <w:rFonts w:ascii="仿宋" w:hAnsi="仿宋" w:eastAsia="仿宋"/>
          <w:b/>
          <w:sz w:val="28"/>
          <w:szCs w:val="28"/>
        </w:rPr>
      </w:pPr>
      <w:r>
        <w:rPr>
          <w:rFonts w:hint="eastAsia" w:ascii="仿宋" w:hAnsi="仿宋" w:eastAsia="仿宋"/>
          <w:b/>
          <w:sz w:val="28"/>
          <w:szCs w:val="28"/>
        </w:rPr>
        <w:t>2、组成标准起草组，制定工作方案</w:t>
      </w:r>
    </w:p>
    <w:p>
      <w:pPr>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Cs/>
          <w:sz w:val="28"/>
          <w:szCs w:val="28"/>
        </w:rPr>
        <w:t>2022年申报内蒙古标准化协会团体标准并获批后，标准编制项目组首先召集全体项目成员及协作单位相关技术人员召开了项目组第一次会议，就蓝藻菌的功能性状和丸化流程进行了充分的研讨，提出了标准的制定原则和要达到的预期效果。此后查阅国内外蓝藻应用的相关资料、标准以及调研，经过反复讨论，结合实际情况，提出了编制该标准的方案，确定了标准所涵盖术语的内容与范围，并分组进行相关术语的收集与定义、试验验证以及标准草稿的编撰等。</w:t>
      </w:r>
    </w:p>
    <w:p>
      <w:pPr>
        <w:ind w:firstLine="562" w:firstLineChars="200"/>
        <w:rPr>
          <w:rFonts w:ascii="仿宋" w:hAnsi="仿宋" w:eastAsia="仿宋"/>
          <w:b/>
          <w:sz w:val="28"/>
          <w:szCs w:val="28"/>
        </w:rPr>
      </w:pPr>
      <w:r>
        <w:rPr>
          <w:rFonts w:hint="eastAsia" w:ascii="仿宋" w:hAnsi="仿宋" w:eastAsia="仿宋"/>
          <w:b/>
          <w:sz w:val="28"/>
          <w:szCs w:val="28"/>
        </w:rPr>
        <w:t>3、完善标准内容，形成标准征求意见稿</w:t>
      </w:r>
    </w:p>
    <w:p>
      <w:pPr>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Cs/>
          <w:sz w:val="28"/>
          <w:szCs w:val="28"/>
        </w:rPr>
        <w:t>项目组多次研讨进行标准术语及相关指标汇总，并初步进行标准定义术语及技术细节的讨论，反复修改完善标准内容，形成了《草原矿区人工培养蓝藻丸衣化技术规程》团体标准征求意见稿，并向行业专家开展标准函审意见。</w:t>
      </w:r>
    </w:p>
    <w:p>
      <w:pPr>
        <w:ind w:firstLine="562" w:firstLineChars="200"/>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1、编制原则</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标准的编写，是以大量国内外研究为基础，结合退化地区生态修复模式和野外蓝藻修复特点，重点关注蓝藻丸化的技术标准规范，以保证草原矿区生态修复的科学严谨。本标准前期试验验证了结皮对矿区土壤修复的可行性，同时蓝藻丸化创新技术的实施，改变了传统野外接种时藻液运输的空间限制和藻粉接种的环境限制，实现了蓝藻的可储存性、便携性和高效性。</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本标准的制定根据国家和内蒙古自治区的相关法律法规，充分体</w:t>
      </w:r>
    </w:p>
    <w:p>
      <w:pPr>
        <w:spacing w:line="360" w:lineRule="auto"/>
        <w:jc w:val="left"/>
        <w:rPr>
          <w:rFonts w:ascii="仿宋" w:hAnsi="仿宋" w:eastAsia="仿宋"/>
          <w:sz w:val="28"/>
          <w:szCs w:val="28"/>
        </w:rPr>
      </w:pPr>
      <w:r>
        <w:rPr>
          <w:rFonts w:hint="eastAsia" w:ascii="仿宋" w:hAnsi="仿宋" w:eastAsia="仿宋"/>
          <w:sz w:val="28"/>
          <w:szCs w:val="28"/>
        </w:rPr>
        <w:t>现标准的科学性、先进性和实用性原则。</w:t>
      </w:r>
    </w:p>
    <w:p>
      <w:pPr>
        <w:spacing w:line="360" w:lineRule="auto"/>
        <w:ind w:firstLine="723" w:firstLineChars="300"/>
        <w:rPr>
          <w:rFonts w:ascii="仿宋" w:hAnsi="仿宋" w:eastAsia="仿宋" w:cs="仿宋"/>
          <w:b/>
          <w:sz w:val="24"/>
        </w:rPr>
      </w:pPr>
      <w:r>
        <w:rPr>
          <w:rFonts w:hint="eastAsia" w:ascii="仿宋" w:hAnsi="仿宋" w:eastAsia="仿宋" w:cs="仿宋"/>
          <w:b/>
          <w:sz w:val="24"/>
        </w:rPr>
        <w:t>2、编制依据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技术依据:</w:t>
      </w:r>
    </w:p>
    <w:p>
      <w:pPr>
        <w:numPr>
          <w:ilvl w:val="0"/>
          <w:numId w:val="3"/>
        </w:numPr>
        <w:spacing w:line="360" w:lineRule="auto"/>
        <w:ind w:firstLine="560" w:firstLineChars="200"/>
        <w:rPr>
          <w:rFonts w:ascii="仿宋" w:hAnsi="仿宋" w:eastAsia="仿宋"/>
          <w:sz w:val="28"/>
          <w:szCs w:val="28"/>
        </w:rPr>
      </w:pPr>
      <w:r>
        <w:rPr>
          <w:rFonts w:hint="eastAsia" w:ascii="仿宋" w:hAnsi="仿宋" w:eastAsia="仿宋"/>
          <w:sz w:val="28"/>
          <w:szCs w:val="28"/>
        </w:rPr>
        <w:t>国家现行蓝藻和草原矿区修复规范、规程和技术标准</w:t>
      </w:r>
    </w:p>
    <w:p>
      <w:pPr>
        <w:numPr>
          <w:ilvl w:val="0"/>
          <w:numId w:val="3"/>
        </w:numPr>
        <w:spacing w:line="360" w:lineRule="auto"/>
        <w:ind w:firstLine="560" w:firstLineChars="200"/>
        <w:rPr>
          <w:rFonts w:ascii="仿宋" w:hAnsi="仿宋" w:eastAsia="仿宋"/>
          <w:sz w:val="28"/>
          <w:szCs w:val="28"/>
        </w:rPr>
      </w:pPr>
      <w:r>
        <w:rPr>
          <w:rFonts w:hint="eastAsia" w:ascii="仿宋" w:hAnsi="仿宋" w:eastAsia="仿宋"/>
          <w:sz w:val="28"/>
          <w:szCs w:val="28"/>
        </w:rPr>
        <w:t>项目组试验验证情况</w:t>
      </w:r>
    </w:p>
    <w:p>
      <w:pPr>
        <w:numPr>
          <w:ilvl w:val="0"/>
          <w:numId w:val="3"/>
        </w:numPr>
        <w:spacing w:line="360" w:lineRule="auto"/>
        <w:ind w:firstLine="560" w:firstLineChars="200"/>
        <w:rPr>
          <w:rFonts w:ascii="仿宋" w:hAnsi="仿宋" w:eastAsia="仿宋"/>
          <w:sz w:val="28"/>
          <w:szCs w:val="28"/>
        </w:rPr>
      </w:pPr>
      <w:r>
        <w:rPr>
          <w:rFonts w:hint="eastAsia" w:ascii="仿宋" w:hAnsi="仿宋" w:eastAsia="仿宋"/>
          <w:sz w:val="28"/>
          <w:szCs w:val="28"/>
        </w:rPr>
        <w:t>项目组成员的学术及实践经验</w:t>
      </w:r>
    </w:p>
    <w:p>
      <w:pPr>
        <w:numPr>
          <w:ilvl w:val="0"/>
          <w:numId w:val="3"/>
        </w:numPr>
        <w:spacing w:line="360" w:lineRule="auto"/>
        <w:ind w:firstLine="560" w:firstLineChars="200"/>
        <w:rPr>
          <w:rFonts w:ascii="仿宋" w:hAnsi="仿宋" w:eastAsia="仿宋"/>
          <w:sz w:val="28"/>
          <w:szCs w:val="28"/>
        </w:rPr>
      </w:pPr>
      <w:r>
        <w:rPr>
          <w:rFonts w:hint="eastAsia" w:ascii="仿宋" w:hAnsi="仿宋" w:eastAsia="仿宋"/>
          <w:sz w:val="28"/>
          <w:szCs w:val="28"/>
        </w:rPr>
        <w:t>项目组技术力量、实验设备条件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本标准严格按照GB/T1.1-2020《标准化工作导则 第1部分：标准化文件的结构和起草规则》的规定制定。</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3、与现行法律、法规、标准的关系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本标准在编制过程中，没有出现与现行有关法律、法规和国家、行业、地方标准相违背的情况。</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4、与现行相关标准的联系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关于藻种的扩繁培养、养殖技术、藻粉生产、结皮治沙等方面，国内已经制定了相关的标准和技术规范，例如DB15/T 2431</w:t>
      </w:r>
      <w:r>
        <w:rPr>
          <w:rFonts w:hint="eastAsia" w:ascii="仿宋" w:hAnsi="仿宋" w:eastAsia="仿宋"/>
          <w:sz w:val="28"/>
          <w:szCs w:val="28"/>
          <w:lang w:val="en-US" w:eastAsia="zh-CN"/>
        </w:rPr>
        <w:t>-</w:t>
      </w:r>
      <w:r>
        <w:rPr>
          <w:rFonts w:hint="eastAsia" w:ascii="仿宋" w:hAnsi="仿宋" w:eastAsia="仿宋"/>
          <w:sz w:val="28"/>
          <w:szCs w:val="28"/>
        </w:rPr>
        <w:t>2021 《荒漠藻扩繁培养技术规程》、DB1506/T 3</w:t>
      </w:r>
      <w:r>
        <w:rPr>
          <w:rFonts w:hint="eastAsia" w:ascii="仿宋" w:hAnsi="仿宋" w:eastAsia="仿宋"/>
          <w:sz w:val="28"/>
          <w:szCs w:val="28"/>
          <w:lang w:val="en-US" w:eastAsia="zh-CN"/>
        </w:rPr>
        <w:t>-</w:t>
      </w:r>
      <w:r>
        <w:rPr>
          <w:rFonts w:hint="eastAsia" w:ascii="仿宋" w:hAnsi="仿宋" w:eastAsia="仿宋"/>
          <w:sz w:val="28"/>
          <w:szCs w:val="28"/>
        </w:rPr>
        <w:t>2018螺旋藻粉生产技术规范、DB15/T 2083-2020 《人工荒漠藻土壤结皮治沙技术规程》、DB65/T 3323-2011《陆生固氮蓝藻固沙技术规程》等。而关于蓝藻丸化方面国际、国外暂无同类标准的报道。</w:t>
      </w:r>
    </w:p>
    <w:p>
      <w:pPr>
        <w:ind w:firstLine="562" w:firstLineChars="200"/>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ind w:firstLine="723" w:firstLineChars="300"/>
        <w:rPr>
          <w:rFonts w:hAnsi="宋体"/>
          <w:b/>
          <w:sz w:val="24"/>
          <w:szCs w:val="24"/>
        </w:rPr>
      </w:pPr>
      <w:r>
        <w:rPr>
          <w:rFonts w:hint="eastAsia" w:hAnsi="宋体"/>
          <w:b/>
          <w:sz w:val="24"/>
          <w:szCs w:val="24"/>
        </w:rPr>
        <w:t>1、主要条款说明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本标准共分为 10 章内容。本规程的第 1 章是适用范围；第 2 章是规范性引用文件；第 3 章是术语和定义；第 4 章是藻种的分离纯化及保藏；第 5 章是藻种鉴定；第 6 章说明藻液培养的技术流程；第 7 章说明蓝藻丸衣的制备及储存运输；第 8 章说明矿区的场地准备和蓝藻丸接种的技术细节；第 9 章是后期养护，第 10 章是成效调查和质量评价。</w:t>
      </w:r>
    </w:p>
    <w:p>
      <w:pPr>
        <w:spacing w:line="440" w:lineRule="exact"/>
        <w:ind w:firstLine="482" w:firstLineChars="200"/>
        <w:rPr>
          <w:rFonts w:hAnsi="宋体"/>
          <w:b/>
          <w:sz w:val="24"/>
          <w:szCs w:val="24"/>
        </w:rPr>
      </w:pPr>
      <w:r>
        <w:rPr>
          <w:rFonts w:hint="eastAsia" w:hAnsi="宋体"/>
          <w:b/>
          <w:sz w:val="24"/>
          <w:szCs w:val="24"/>
        </w:rPr>
        <w:t>2、主要技术指标、参数、试验论证的论述</w:t>
      </w:r>
    </w:p>
    <w:p>
      <w:pPr>
        <w:ind w:firstLine="560" w:firstLineChars="200"/>
        <w:rPr>
          <w:rFonts w:ascii="仿宋" w:hAnsi="仿宋" w:eastAsia="仿宋"/>
          <w:b/>
          <w:bCs/>
          <w:sz w:val="28"/>
          <w:szCs w:val="28"/>
        </w:rPr>
      </w:pPr>
      <w:r>
        <w:rPr>
          <w:rFonts w:hint="eastAsia" w:ascii="仿宋" w:hAnsi="仿宋" w:eastAsia="仿宋"/>
          <w:sz w:val="28"/>
          <w:szCs w:val="28"/>
        </w:rPr>
        <w:t>重点开展了蓝藻对矿区土壤改良效果、蓝藻菌丸衣化技术与试验验证等相关技术研究来支持验证本标准的技术指标。</w:t>
      </w:r>
    </w:p>
    <w:p>
      <w:pPr>
        <w:ind w:firstLine="562" w:firstLineChars="200"/>
        <w:rPr>
          <w:rFonts w:ascii="仿宋" w:hAnsi="仿宋" w:eastAsia="仿宋"/>
          <w:b/>
          <w:bCs/>
          <w:sz w:val="28"/>
          <w:szCs w:val="28"/>
        </w:rPr>
      </w:pPr>
      <w:r>
        <w:rPr>
          <w:rFonts w:hint="eastAsia" w:ascii="仿宋" w:hAnsi="仿宋" w:eastAsia="仿宋"/>
          <w:b/>
          <w:bCs/>
          <w:sz w:val="28"/>
          <w:szCs w:val="28"/>
        </w:rPr>
        <w:t>（1）蓝藻菌结皮对矿区土壤功能的影响评价</w:t>
      </w:r>
    </w:p>
    <w:p>
      <w:pPr>
        <w:ind w:firstLine="560" w:firstLineChars="200"/>
        <w:rPr>
          <w:rFonts w:ascii="仿宋" w:hAnsi="仿宋" w:eastAsia="仿宋"/>
          <w:b/>
          <w:bCs/>
          <w:sz w:val="24"/>
          <w:szCs w:val="24"/>
        </w:rPr>
      </w:pPr>
      <w:r>
        <w:rPr>
          <w:rFonts w:hint="eastAsia" w:ascii="仿宋" w:hAnsi="仿宋" w:eastAsia="仿宋"/>
          <w:sz w:val="28"/>
          <w:szCs w:val="28"/>
        </w:rPr>
        <w:drawing>
          <wp:anchor distT="0" distB="0" distL="114300" distR="114300" simplePos="0" relativeHeight="251660288" behindDoc="0" locked="0" layoutInCell="1" allowOverlap="1">
            <wp:simplePos x="0" y="0"/>
            <wp:positionH relativeFrom="column">
              <wp:posOffset>1166495</wp:posOffset>
            </wp:positionH>
            <wp:positionV relativeFrom="page">
              <wp:posOffset>4818380</wp:posOffset>
            </wp:positionV>
            <wp:extent cx="2536825" cy="1758950"/>
            <wp:effectExtent l="0" t="0" r="3175" b="6350"/>
            <wp:wrapTopAndBottom/>
            <wp:docPr id="11" name="图片 2" descr="未标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未标题-10"/>
                    <pic:cNvPicPr>
                      <a:picLocks noChangeAspect="1"/>
                    </pic:cNvPicPr>
                  </pic:nvPicPr>
                  <pic:blipFill>
                    <a:blip r:embed="rId6"/>
                    <a:stretch>
                      <a:fillRect/>
                    </a:stretch>
                  </pic:blipFill>
                  <pic:spPr>
                    <a:xfrm>
                      <a:off x="0" y="0"/>
                      <a:ext cx="2536825" cy="1758950"/>
                    </a:xfrm>
                    <a:prstGeom prst="rect">
                      <a:avLst/>
                    </a:prstGeom>
                    <a:noFill/>
                    <a:ln>
                      <a:noFill/>
                    </a:ln>
                  </pic:spPr>
                </pic:pic>
              </a:graphicData>
            </a:graphic>
          </wp:anchor>
        </w:drawing>
      </w:r>
      <w:r>
        <w:rPr>
          <w:rFonts w:hint="eastAsia" w:ascii="仿宋" w:hAnsi="仿宋" w:eastAsia="仿宋"/>
          <w:sz w:val="28"/>
          <w:szCs w:val="28"/>
        </w:rPr>
        <w:t xml:space="preserve">  项目组利用前期获得的蓝藻菌种，开展了蓝藻结皮对矿区土壤功能改良效果的研究，发现采集锡林浩特胜利二矿的菌种接种效果最好（见图3），接种结皮后，0-10cm土壤叶绿素、碱解氮、有机碳含量分别增加83%、23%、8.3%（见图4），土壤中脲酶、磷酸酶等重要酶类活性显著提高，表明接种蓝藻结皮，对矿区土壤功能具有显著改良效果，可为后期植物生长提供良好的土壤环境。</w:t>
      </w:r>
    </w:p>
    <w:p>
      <w:pPr>
        <w:spacing w:line="360" w:lineRule="auto"/>
        <w:ind w:firstLine="482" w:firstLineChars="200"/>
        <w:jc w:val="center"/>
        <w:rPr>
          <w:rFonts w:ascii="仿宋" w:hAnsi="仿宋" w:eastAsia="仿宋"/>
          <w:b/>
          <w:bCs/>
          <w:sz w:val="24"/>
          <w:szCs w:val="24"/>
        </w:rPr>
      </w:pPr>
      <w:r>
        <w:rPr>
          <w:rFonts w:hint="eastAsia" w:ascii="仿宋" w:hAnsi="仿宋" w:eastAsia="仿宋"/>
          <w:b/>
          <w:bCs/>
          <w:sz w:val="24"/>
          <w:szCs w:val="24"/>
        </w:rPr>
        <w:t>图3  项目组利用蓝藻结皮改良矿区土壤</w:t>
      </w:r>
    </w:p>
    <w:p>
      <w:pPr>
        <w:spacing w:line="360" w:lineRule="auto"/>
        <w:ind w:firstLine="482" w:firstLineChars="200"/>
        <w:jc w:val="center"/>
        <w:rPr>
          <w:rFonts w:ascii="仿宋" w:hAnsi="仿宋" w:eastAsia="仿宋"/>
          <w:b/>
          <w:bCs/>
          <w:sz w:val="24"/>
          <w:szCs w:val="24"/>
        </w:rPr>
      </w:pPr>
      <w:r>
        <w:rPr>
          <w:rFonts w:hint="eastAsia" w:ascii="仿宋" w:hAnsi="仿宋" w:eastAsia="仿宋"/>
          <w:b/>
          <w:bCs/>
          <w:sz w:val="24"/>
          <w:szCs w:val="24"/>
        </w:rPr>
        <w:t>（A 矿区结皮接种典型草原土壤；B 矿区结皮接种矿区土壤；C 典型草原土壤接种草原结皮；D 矿区土壤接种草原结皮；E 草原土壤不接种结皮； F 矿区土壤不结种结皮）</w:t>
      </w:r>
    </w:p>
    <w:p>
      <w:pPr>
        <w:rPr>
          <w:rFonts w:ascii="仿宋" w:hAnsi="仿宋" w:eastAsia="仿宋"/>
          <w:sz w:val="28"/>
          <w:szCs w:val="28"/>
        </w:rPr>
      </w:pPr>
      <w:r>
        <w:rPr>
          <w:rFonts w:hint="eastAsia" w:ascii="仿宋" w:hAnsi="仿宋" w:eastAsia="仿宋"/>
          <w:sz w:val="28"/>
          <w:szCs w:val="28"/>
        </w:rPr>
        <w:drawing>
          <wp:anchor distT="0" distB="0" distL="114300" distR="114300" simplePos="0" relativeHeight="251661312" behindDoc="0" locked="0" layoutInCell="1" allowOverlap="1">
            <wp:simplePos x="0" y="0"/>
            <wp:positionH relativeFrom="column">
              <wp:posOffset>2743835</wp:posOffset>
            </wp:positionH>
            <wp:positionV relativeFrom="paragraph">
              <wp:posOffset>292100</wp:posOffset>
            </wp:positionV>
            <wp:extent cx="2592705" cy="2207260"/>
            <wp:effectExtent l="0" t="0" r="10795" b="2540"/>
            <wp:wrapTopAndBottom/>
            <wp:docPr id="10" name="图片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Grp="1" noChangeAspect="1"/>
                    </pic:cNvPicPr>
                  </pic:nvPicPr>
                  <pic:blipFill>
                    <a:blip r:embed="rId7"/>
                    <a:stretch>
                      <a:fillRect/>
                    </a:stretch>
                  </pic:blipFill>
                  <pic:spPr>
                    <a:xfrm>
                      <a:off x="0" y="0"/>
                      <a:ext cx="2592705" cy="2207260"/>
                    </a:xfrm>
                    <a:prstGeom prst="rect">
                      <a:avLst/>
                    </a:prstGeom>
                    <a:noFill/>
                    <a:ln>
                      <a:noFill/>
                    </a:ln>
                  </pic:spPr>
                </pic:pic>
              </a:graphicData>
            </a:graphic>
          </wp:anchor>
        </w:drawing>
      </w:r>
      <w:r>
        <w:rPr>
          <w:rFonts w:hint="eastAsia" w:ascii="仿宋" w:hAnsi="仿宋" w:eastAsia="仿宋"/>
          <w:sz w:val="28"/>
          <w:szCs w:val="28"/>
        </w:rPr>
        <w:drawing>
          <wp:anchor distT="0" distB="0" distL="114300" distR="114300" simplePos="0" relativeHeight="251662336" behindDoc="0" locked="0" layoutInCell="1" allowOverlap="1">
            <wp:simplePos x="0" y="0"/>
            <wp:positionH relativeFrom="column">
              <wp:posOffset>-12065</wp:posOffset>
            </wp:positionH>
            <wp:positionV relativeFrom="paragraph">
              <wp:posOffset>214630</wp:posOffset>
            </wp:positionV>
            <wp:extent cx="2564765" cy="2226310"/>
            <wp:effectExtent l="0" t="0" r="635" b="8890"/>
            <wp:wrapTopAndBottom/>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2564765" cy="2226310"/>
                    </a:xfrm>
                    <a:prstGeom prst="rect">
                      <a:avLst/>
                    </a:prstGeom>
                    <a:noFill/>
                    <a:ln>
                      <a:noFill/>
                    </a:ln>
                  </pic:spPr>
                </pic:pic>
              </a:graphicData>
            </a:graphic>
          </wp:anchor>
        </w:drawing>
      </w:r>
    </w:p>
    <w:p>
      <w:pPr>
        <w:spacing w:line="360" w:lineRule="auto"/>
        <w:ind w:firstLine="560" w:firstLineChars="200"/>
        <w:rPr>
          <w:rFonts w:ascii="仿宋" w:hAnsi="仿宋" w:eastAsia="仿宋"/>
          <w:b/>
          <w:bCs/>
          <w:sz w:val="24"/>
          <w:szCs w:val="24"/>
        </w:rPr>
      </w:pPr>
      <w:r>
        <w:rPr>
          <w:rFonts w:hint="eastAsia" w:ascii="仿宋" w:hAnsi="仿宋" w:eastAsia="仿宋"/>
          <w:sz w:val="28"/>
          <w:szCs w:val="28"/>
        </w:rPr>
        <w:t xml:space="preserve">        </w:t>
      </w:r>
      <w:r>
        <w:rPr>
          <w:rFonts w:hint="eastAsia" w:ascii="仿宋" w:hAnsi="仿宋" w:eastAsia="仿宋"/>
          <w:b/>
          <w:bCs/>
          <w:sz w:val="24"/>
          <w:szCs w:val="24"/>
        </w:rPr>
        <w:t>（A）                                （B）</w:t>
      </w:r>
    </w:p>
    <w:p>
      <w:pPr>
        <w:spacing w:line="360" w:lineRule="auto"/>
        <w:ind w:firstLine="482" w:firstLineChars="200"/>
        <w:jc w:val="center"/>
        <w:rPr>
          <w:rFonts w:ascii="仿宋" w:hAnsi="仿宋" w:eastAsia="仿宋"/>
          <w:b/>
          <w:bCs/>
          <w:sz w:val="24"/>
          <w:szCs w:val="24"/>
        </w:rPr>
      </w:pPr>
      <w:r>
        <w:rPr>
          <w:rFonts w:hint="eastAsia" w:ascii="仿宋" w:hAnsi="仿宋" w:eastAsia="仿宋"/>
          <w:b/>
          <w:bCs/>
          <w:sz w:val="24"/>
          <w:szCs w:val="24"/>
        </w:rPr>
        <w:t>图 4 接种蓝藻结皮对矿区土壤养分及关键酶活性的影响</w:t>
      </w:r>
    </w:p>
    <w:p>
      <w:pPr>
        <w:spacing w:line="360" w:lineRule="auto"/>
        <w:ind w:left="482" w:hanging="482" w:hangingChars="200"/>
        <w:rPr>
          <w:rFonts w:ascii="仿宋" w:hAnsi="仿宋" w:eastAsia="仿宋"/>
          <w:b/>
          <w:sz w:val="28"/>
          <w:szCs w:val="28"/>
        </w:rPr>
      </w:pPr>
      <w:r>
        <w:rPr>
          <w:rFonts w:hint="eastAsia" w:ascii="仿宋" w:hAnsi="仿宋" w:eastAsia="仿宋"/>
          <w:b/>
          <w:bCs/>
          <w:sz w:val="24"/>
          <w:szCs w:val="24"/>
        </w:rPr>
        <w:t>（A:结皮对土壤叶绿素、碱解氮、有机碳的影响；B：结皮对土壤酶活性的影响）</w:t>
      </w:r>
      <w:r>
        <w:rPr>
          <w:rFonts w:hint="eastAsia" w:ascii="仿宋" w:hAnsi="仿宋" w:eastAsia="仿宋"/>
          <w:b/>
          <w:sz w:val="28"/>
          <w:szCs w:val="28"/>
        </w:rPr>
        <w:t>（2）蓝藻菌丸衣化技术与试验验证</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在前期试验的基础上，利用培养的蓝藻菌种，通过调控氮素、粘合剂、保水剂、菌种等成分与比例，形成优化的丸衣配方，制作出蓝藻球（见图5）。通过蓝藻球接种土壤试验，对相关技术参数进行了优化，目前正在开展蓝藻球与植物互作效应试验。</w:t>
      </w:r>
    </w:p>
    <w:p>
      <w:pPr>
        <w:jc w:val="center"/>
        <w:rPr>
          <w:rFonts w:ascii="仿宋" w:hAnsi="仿宋" w:eastAsia="仿宋"/>
          <w:sz w:val="28"/>
          <w:szCs w:val="28"/>
        </w:rPr>
      </w:pPr>
      <w:r>
        <w:rPr>
          <w:rFonts w:hint="eastAsia" w:ascii="仿宋" w:hAnsi="仿宋" w:eastAsia="仿宋"/>
          <w:b/>
          <w:sz w:val="24"/>
          <w:szCs w:val="24"/>
        </w:rPr>
        <w:drawing>
          <wp:anchor distT="0" distB="0" distL="114300" distR="114300" simplePos="0" relativeHeight="251663360" behindDoc="0" locked="0" layoutInCell="1" allowOverlap="1">
            <wp:simplePos x="0" y="0"/>
            <wp:positionH relativeFrom="column">
              <wp:posOffset>507365</wp:posOffset>
            </wp:positionH>
            <wp:positionV relativeFrom="paragraph">
              <wp:posOffset>41910</wp:posOffset>
            </wp:positionV>
            <wp:extent cx="4705985" cy="1189355"/>
            <wp:effectExtent l="0" t="0" r="5715" b="4445"/>
            <wp:wrapTopAndBottom/>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9"/>
                    <a:srcRect b="27769"/>
                    <a:stretch>
                      <a:fillRect/>
                    </a:stretch>
                  </pic:blipFill>
                  <pic:spPr>
                    <a:xfrm>
                      <a:off x="0" y="0"/>
                      <a:ext cx="4705985" cy="1189355"/>
                    </a:xfrm>
                    <a:prstGeom prst="rect">
                      <a:avLst/>
                    </a:prstGeom>
                    <a:noFill/>
                    <a:ln>
                      <a:noFill/>
                    </a:ln>
                  </pic:spPr>
                </pic:pic>
              </a:graphicData>
            </a:graphic>
          </wp:anchor>
        </w:drawing>
      </w:r>
      <w:r>
        <w:rPr>
          <w:rFonts w:hint="eastAsia" w:ascii="仿宋" w:hAnsi="仿宋" w:eastAsia="仿宋"/>
          <w:b/>
          <w:sz w:val="24"/>
          <w:szCs w:val="24"/>
        </w:rPr>
        <w:t>图5 蓝藻丸衣化的工艺流程</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jc w:val="center"/>
        <w:rPr>
          <w:rFonts w:ascii="仿宋" w:hAnsi="仿宋" w:eastAsia="仿宋"/>
          <w:sz w:val="28"/>
          <w:szCs w:val="28"/>
        </w:rPr>
      </w:pPr>
      <w:r>
        <w:rPr>
          <w:rFonts w:hint="eastAsia" w:ascii="仿宋" w:hAnsi="仿宋" w:eastAsia="仿宋"/>
          <w:sz w:val="28"/>
          <w:szCs w:val="28"/>
        </w:rPr>
        <w:t>《草原矿区人工培养蓝藻丸衣化技术规程》征求意见汇总表</w:t>
      </w:r>
    </w:p>
    <w:p>
      <w:pPr>
        <w:jc w:val="left"/>
        <w:rPr>
          <w:rFonts w:ascii="仿宋" w:hAnsi="仿宋" w:eastAsia="仿宋"/>
          <w:sz w:val="28"/>
          <w:szCs w:val="28"/>
        </w:rPr>
      </w:pPr>
      <w:r>
        <w:rPr>
          <w:rFonts w:hint="eastAsia" w:ascii="仿宋" w:hAnsi="仿宋" w:eastAsia="仿宋"/>
          <w:sz w:val="28"/>
          <w:szCs w:val="28"/>
        </w:rPr>
        <w:t>起草单位：</w:t>
      </w:r>
      <w:r>
        <w:rPr>
          <w:rFonts w:ascii="仿宋" w:hAnsi="仿宋" w:eastAsia="仿宋"/>
          <w:sz w:val="28"/>
          <w:szCs w:val="28"/>
        </w:rPr>
        <w:t xml:space="preserve"> </w:t>
      </w:r>
      <w:r>
        <w:rPr>
          <w:rFonts w:hint="eastAsia" w:ascii="仿宋" w:hAnsi="仿宋" w:eastAsia="仿宋"/>
          <w:sz w:val="28"/>
          <w:szCs w:val="28"/>
        </w:rPr>
        <w:t>内蒙古大学</w:t>
      </w:r>
    </w:p>
    <w:p>
      <w:pPr>
        <w:jc w:val="left"/>
        <w:rPr>
          <w:rFonts w:ascii="仿宋" w:hAnsi="仿宋" w:eastAsia="仿宋"/>
          <w:sz w:val="28"/>
          <w:szCs w:val="28"/>
        </w:rPr>
      </w:pPr>
      <w:r>
        <w:rPr>
          <w:rFonts w:hint="eastAsia" w:ascii="仿宋" w:hAnsi="仿宋" w:eastAsia="仿宋"/>
          <w:sz w:val="28"/>
          <w:szCs w:val="28"/>
        </w:rPr>
        <w:t>联 系 人：</w:t>
      </w:r>
      <w:r>
        <w:rPr>
          <w:rFonts w:ascii="仿宋" w:hAnsi="仿宋" w:eastAsia="仿宋"/>
          <w:sz w:val="28"/>
          <w:szCs w:val="28"/>
        </w:rPr>
        <w:t xml:space="preserve"> </w:t>
      </w:r>
      <w:r>
        <w:rPr>
          <w:rFonts w:hint="eastAsia" w:ascii="仿宋" w:hAnsi="仿宋" w:eastAsia="仿宋"/>
          <w:sz w:val="28"/>
          <w:szCs w:val="28"/>
        </w:rPr>
        <w:t>任卫波</w:t>
      </w:r>
    </w:p>
    <w:p>
      <w:pPr>
        <w:jc w:val="left"/>
        <w:rPr>
          <w:rFonts w:ascii="仿宋" w:hAnsi="仿宋" w:eastAsia="仿宋"/>
          <w:sz w:val="28"/>
          <w:szCs w:val="28"/>
        </w:rPr>
      </w:pPr>
      <w:r>
        <w:rPr>
          <w:rFonts w:hint="eastAsia" w:ascii="仿宋" w:hAnsi="仿宋" w:eastAsia="仿宋"/>
          <w:sz w:val="28"/>
          <w:szCs w:val="28"/>
        </w:rPr>
        <w:t>联系电话： 15024914690</w:t>
      </w:r>
    </w:p>
    <w:tbl>
      <w:tblPr>
        <w:tblStyle w:val="4"/>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意见</w:t>
            </w:r>
          </w:p>
        </w:tc>
        <w:tc>
          <w:tcPr>
            <w:tcW w:w="1843"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提出单位/专家</w:t>
            </w:r>
          </w:p>
        </w:tc>
        <w:tc>
          <w:tcPr>
            <w:tcW w:w="1275" w:type="dxa"/>
            <w:vAlign w:val="center"/>
          </w:tcPr>
          <w:p>
            <w:pPr>
              <w:spacing w:line="400" w:lineRule="exact"/>
              <w:jc w:val="center"/>
              <w:rPr>
                <w:rFonts w:ascii="仿宋" w:hAnsi="仿宋" w:eastAsia="仿宋"/>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bl>
    <w:p>
      <w:pPr>
        <w:rPr>
          <w:rFonts w:ascii="仿宋" w:hAnsi="仿宋" w:eastAsia="仿宋"/>
          <w:sz w:val="28"/>
          <w:szCs w:val="28"/>
        </w:rPr>
      </w:pPr>
    </w:p>
    <w:p>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r>
        <w:rPr>
          <w:rFonts w:hint="eastAsia" w:ascii="Times New Roman" w:hAnsi="仿宋" w:eastAsia="仿宋"/>
          <w:b/>
          <w:sz w:val="28"/>
          <w:szCs w:val="28"/>
        </w:rPr>
        <w:t>草原矿区人工培养蓝藻丸衣化技术规程</w:t>
      </w:r>
      <w:r>
        <w:rPr>
          <w:rFonts w:ascii="Times New Roman" w:hAnsi="仿宋" w:eastAsia="仿宋"/>
          <w:b/>
          <w:sz w:val="28"/>
          <w:szCs w:val="28"/>
        </w:rPr>
        <w:t>》起草组</w:t>
      </w:r>
      <w:r>
        <w:rPr>
          <w:rFonts w:ascii="Times New Roman" w:hAnsi="Times New Roman" w:eastAsia="仿宋"/>
          <w:b/>
          <w:sz w:val="28"/>
          <w:szCs w:val="28"/>
        </w:rPr>
        <w:t xml:space="preserve">  </w:t>
      </w:r>
    </w:p>
    <w:p>
      <w:pPr>
        <w:rPr>
          <w:rFonts w:ascii="仿宋" w:hAnsi="仿宋" w:eastAsia="仿宋"/>
          <w:sz w:val="28"/>
          <w:szCs w:val="28"/>
        </w:rPr>
      </w:pPr>
      <w:r>
        <w:rPr>
          <w:rFonts w:ascii="Times New Roman" w:hAnsi="Times New Roman" w:eastAsia="仿宋"/>
          <w:b/>
          <w:sz w:val="28"/>
          <w:szCs w:val="28"/>
        </w:rPr>
        <w:t xml:space="preserve">                                            </w:t>
      </w:r>
      <w:r>
        <w:rPr>
          <w:rFonts w:hint="eastAsia" w:ascii="Times New Roman" w:hAnsi="Times New Roman" w:eastAsia="仿宋"/>
          <w:b/>
          <w:sz w:val="28"/>
          <w:szCs w:val="28"/>
        </w:rPr>
        <w:t>2022</w:t>
      </w:r>
      <w:r>
        <w:rPr>
          <w:rFonts w:ascii="Times New Roman" w:hAnsi="仿宋" w:eastAsia="仿宋"/>
          <w:b/>
          <w:sz w:val="28"/>
          <w:szCs w:val="28"/>
        </w:rPr>
        <w:t>年</w:t>
      </w:r>
      <w:r>
        <w:rPr>
          <w:rFonts w:hint="eastAsia" w:ascii="Times New Roman" w:hAnsi="仿宋" w:eastAsia="仿宋"/>
          <w:b/>
          <w:sz w:val="28"/>
          <w:szCs w:val="28"/>
        </w:rPr>
        <w:t>11</w:t>
      </w:r>
      <w:r>
        <w:rPr>
          <w:rFonts w:ascii="Times New Roman" w:hAnsi="仿宋" w:eastAsia="仿宋"/>
          <w:b/>
          <w:sz w:val="28"/>
          <w:szCs w:val="28"/>
        </w:rPr>
        <w:t>月</w:t>
      </w:r>
      <w:r>
        <w:rPr>
          <w:rFonts w:hint="eastAsia" w:ascii="Times New Roman" w:hAnsi="仿宋" w:eastAsia="仿宋"/>
          <w:b/>
          <w:sz w:val="28"/>
          <w:szCs w:val="28"/>
        </w:rPr>
        <w:t>8</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B41AADB"/>
    <w:multiLevelType w:val="singleLevel"/>
    <w:tmpl w:val="2B41AADB"/>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hMzIzMGU1OTdmZGQxY2UwMGU5Mjc2Yjg4YjVlMjM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366B"/>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2A25"/>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46EF"/>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0769"/>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1926"/>
    <w:rsid w:val="00FF390B"/>
    <w:rsid w:val="00FF6BA2"/>
    <w:rsid w:val="03072EDA"/>
    <w:rsid w:val="059D3F6C"/>
    <w:rsid w:val="07484D87"/>
    <w:rsid w:val="097E7AC3"/>
    <w:rsid w:val="0A1246B0"/>
    <w:rsid w:val="0C8E44C1"/>
    <w:rsid w:val="103F3A5F"/>
    <w:rsid w:val="124E46E2"/>
    <w:rsid w:val="17D83E68"/>
    <w:rsid w:val="1CA214D8"/>
    <w:rsid w:val="2088502F"/>
    <w:rsid w:val="223B434C"/>
    <w:rsid w:val="33DD03A0"/>
    <w:rsid w:val="3E465A1A"/>
    <w:rsid w:val="3ED57C5B"/>
    <w:rsid w:val="401A0DAA"/>
    <w:rsid w:val="413926A5"/>
    <w:rsid w:val="420644A3"/>
    <w:rsid w:val="43E91A02"/>
    <w:rsid w:val="44BD7602"/>
    <w:rsid w:val="450517AF"/>
    <w:rsid w:val="4E734D77"/>
    <w:rsid w:val="50986700"/>
    <w:rsid w:val="55F65855"/>
    <w:rsid w:val="57B36157"/>
    <w:rsid w:val="593705EE"/>
    <w:rsid w:val="5A883FB5"/>
    <w:rsid w:val="5F604027"/>
    <w:rsid w:val="63493CBB"/>
    <w:rsid w:val="6E5011FA"/>
    <w:rsid w:val="6EAA36EA"/>
    <w:rsid w:val="6EEA3FBF"/>
    <w:rsid w:val="72FA6ED8"/>
    <w:rsid w:val="749D2AE2"/>
    <w:rsid w:val="765532C4"/>
    <w:rsid w:val="76D462B5"/>
    <w:rsid w:val="76F82B55"/>
    <w:rsid w:val="7A4C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0">
    <w:name w:val="段 Char"/>
    <w:link w:val="9"/>
    <w:qFormat/>
    <w:uiPriority w:val="0"/>
    <w:rPr>
      <w:rFonts w:ascii="宋体" w:hAnsi="Calibri" w:eastAsia="宋体" w:cs="Times New Roman"/>
      <w:kern w:val="0"/>
      <w:szCs w:val="20"/>
    </w:rPr>
  </w:style>
  <w:style w:type="paragraph" w:customStyle="1" w:styleId="11">
    <w:name w:val="标准文件_文件名称"/>
    <w:basedOn w:val="12"/>
    <w:next w:val="1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章标题"/>
    <w:next w:val="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一级条标题"/>
    <w:next w:val="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623</Words>
  <Characters>3555</Characters>
  <Lines>29</Lines>
  <Paragraphs>8</Paragraphs>
  <TotalTime>63</TotalTime>
  <ScaleCrop>false</ScaleCrop>
  <LinksUpToDate>false</LinksUpToDate>
  <CharactersWithSpaces>4170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gongqing</cp:lastModifiedBy>
  <cp:lastPrinted>2020-05-07T00:59:00Z</cp:lastPrinted>
  <dcterms:modified xsi:type="dcterms:W3CDTF">2022-11-13T04:43:33Z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02D33EBB773243A8B6138AC7CC76BC4E</vt:lpwstr>
  </property>
</Properties>
</file>