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BE8B" w14:textId="77777777" w:rsidR="00940200" w:rsidRDefault="00000000">
      <w:pPr>
        <w:pStyle w:val="3"/>
        <w:shd w:val="clear" w:color="auto" w:fill="FFFFFF"/>
        <w:spacing w:line="315" w:lineRule="atLeast"/>
        <w:jc w:val="center"/>
        <w:rPr>
          <w:rFonts w:ascii="Times New Roman" w:eastAsia="华文中宋" w:hAnsi="华文中宋" w:cs="Times New Roman"/>
          <w:sz w:val="36"/>
          <w:szCs w:val="36"/>
        </w:rPr>
      </w:pPr>
      <w:r>
        <w:rPr>
          <w:rFonts w:ascii="Times New Roman" w:eastAsia="华文中宋" w:hAnsi="华文中宋" w:cs="Times New Roman"/>
          <w:sz w:val="36"/>
          <w:szCs w:val="36"/>
        </w:rPr>
        <w:t>《</w:t>
      </w:r>
      <w:r>
        <w:rPr>
          <w:rFonts w:ascii="Times New Roman" w:eastAsia="华文中宋" w:hAnsi="华文中宋" w:cs="Times New Roman" w:hint="eastAsia"/>
          <w:sz w:val="36"/>
          <w:szCs w:val="36"/>
        </w:rPr>
        <w:t>永磁同轴减速齿轮</w:t>
      </w:r>
      <w:r>
        <w:rPr>
          <w:rFonts w:ascii="Times New Roman" w:eastAsia="华文中宋" w:hAnsi="华文中宋" w:cs="Times New Roman" w:hint="eastAsia"/>
          <w:sz w:val="36"/>
          <w:szCs w:val="36"/>
        </w:rPr>
        <w:t xml:space="preserve"> </w:t>
      </w:r>
      <w:r>
        <w:rPr>
          <w:rFonts w:ascii="Times New Roman" w:eastAsia="华文中宋" w:hAnsi="华文中宋" w:cs="Times New Roman" w:hint="eastAsia"/>
          <w:sz w:val="36"/>
          <w:szCs w:val="36"/>
        </w:rPr>
        <w:t>通用技术规范</w:t>
      </w:r>
      <w:r>
        <w:rPr>
          <w:rFonts w:ascii="Times New Roman" w:eastAsia="华文中宋" w:hAnsi="华文中宋" w:cs="Times New Roman"/>
          <w:sz w:val="36"/>
          <w:szCs w:val="36"/>
        </w:rPr>
        <w:t>》</w:t>
      </w:r>
    </w:p>
    <w:p w14:paraId="282D946B" w14:textId="77777777" w:rsidR="00940200" w:rsidRDefault="00000000">
      <w:pPr>
        <w:pStyle w:val="3"/>
        <w:shd w:val="clear" w:color="auto" w:fill="FFFFFF"/>
        <w:spacing w:line="315" w:lineRule="atLeast"/>
        <w:jc w:val="center"/>
        <w:rPr>
          <w:rFonts w:ascii="Times New Roman" w:eastAsia="华文中宋" w:hAnsi="Times New Roman" w:cs="Times New Roman"/>
          <w:sz w:val="36"/>
          <w:szCs w:val="36"/>
        </w:rPr>
      </w:pPr>
      <w:r>
        <w:rPr>
          <w:rFonts w:ascii="Times New Roman" w:eastAsia="华文中宋" w:hAnsi="华文中宋" w:cs="Times New Roman"/>
          <w:sz w:val="36"/>
          <w:szCs w:val="36"/>
        </w:rPr>
        <w:t>编制说明</w:t>
      </w:r>
    </w:p>
    <w:p w14:paraId="77A39001" w14:textId="77777777" w:rsidR="00940200" w:rsidRDefault="00000000">
      <w:pPr>
        <w:pStyle w:val="3"/>
        <w:numPr>
          <w:ilvl w:val="0"/>
          <w:numId w:val="1"/>
        </w:numPr>
        <w:shd w:val="clear" w:color="auto" w:fill="FFFFFF"/>
        <w:spacing w:line="315" w:lineRule="atLeast"/>
        <w:rPr>
          <w:rFonts w:ascii="Times New Roman" w:eastAsia="黑体" w:hAnsi="Times New Roman" w:cs="Times New Roman"/>
          <w:b w:val="0"/>
          <w:sz w:val="28"/>
          <w:szCs w:val="28"/>
        </w:rPr>
      </w:pPr>
      <w:r>
        <w:rPr>
          <w:rFonts w:ascii="Times New Roman" w:eastAsia="黑体" w:hAnsi="黑体" w:cs="Times New Roman"/>
          <w:b w:val="0"/>
          <w:sz w:val="28"/>
          <w:szCs w:val="28"/>
        </w:rPr>
        <w:t>任务来源</w:t>
      </w:r>
    </w:p>
    <w:p w14:paraId="58D86CF9" w14:textId="77777777" w:rsidR="00940200" w:rsidRDefault="00000000">
      <w:pPr>
        <w:ind w:firstLineChars="200" w:firstLine="560"/>
        <w:jc w:val="left"/>
        <w:rPr>
          <w:rFonts w:ascii="宋体" w:eastAsia="宋体" w:hAnsi="宋体"/>
          <w:sz w:val="28"/>
          <w:szCs w:val="28"/>
        </w:rPr>
      </w:pPr>
      <w:r>
        <w:rPr>
          <w:rFonts w:ascii="宋体" w:eastAsia="宋体" w:hAnsi="宋体" w:hint="eastAsia"/>
          <w:sz w:val="28"/>
          <w:szCs w:val="28"/>
        </w:rPr>
        <w:t>本标准是依据《关于印发中国电力技术市场协会2022年第一批团体标准计划及创新研究项目的通知》（中电技协[2022]13号）的要求编制，项目计划编号：T/CET2022A07。</w:t>
      </w:r>
    </w:p>
    <w:p w14:paraId="01D97AFB" w14:textId="77777777" w:rsidR="00940200" w:rsidRDefault="00000000">
      <w:pPr>
        <w:pStyle w:val="3"/>
        <w:numPr>
          <w:ilvl w:val="0"/>
          <w:numId w:val="1"/>
        </w:numPr>
        <w:shd w:val="clear" w:color="auto" w:fill="FFFFFF"/>
        <w:spacing w:line="315" w:lineRule="atLeast"/>
        <w:rPr>
          <w:rFonts w:ascii="Times New Roman" w:eastAsia="黑体" w:hAnsi="黑体" w:cs="Times New Roman"/>
          <w:b w:val="0"/>
          <w:sz w:val="28"/>
          <w:szCs w:val="28"/>
        </w:rPr>
      </w:pPr>
      <w:r>
        <w:rPr>
          <w:rFonts w:ascii="Times New Roman" w:eastAsia="黑体" w:hAnsi="黑体" w:cs="Times New Roman" w:hint="eastAsia"/>
          <w:b w:val="0"/>
          <w:sz w:val="28"/>
          <w:szCs w:val="28"/>
        </w:rPr>
        <w:t>主要</w:t>
      </w:r>
      <w:r>
        <w:rPr>
          <w:rFonts w:ascii="Times New Roman" w:eastAsia="黑体" w:hAnsi="黑体" w:cs="Times New Roman"/>
          <w:b w:val="0"/>
          <w:sz w:val="28"/>
          <w:szCs w:val="28"/>
        </w:rPr>
        <w:t>起草单位</w:t>
      </w:r>
    </w:p>
    <w:p w14:paraId="0F4F9F97" w14:textId="77777777" w:rsidR="00940200" w:rsidRDefault="00000000">
      <w:pPr>
        <w:spacing w:line="500" w:lineRule="exact"/>
        <w:ind w:firstLineChars="200" w:firstLine="560"/>
        <w:rPr>
          <w:rFonts w:ascii="宋体" w:eastAsia="宋体" w:hAnsi="宋体"/>
          <w:sz w:val="28"/>
          <w:szCs w:val="28"/>
        </w:rPr>
      </w:pPr>
      <w:r>
        <w:rPr>
          <w:rFonts w:ascii="宋体" w:eastAsia="宋体" w:hAnsi="宋体" w:hint="eastAsia"/>
          <w:sz w:val="28"/>
          <w:szCs w:val="28"/>
        </w:rPr>
        <w:t>国家电投集团科学技术研究院有限公司主编，联合参编单位生一伦电投科技有限公司、燕山大学、国家电投朝阳燕山湖发电有限公司、安泰科技股份有限公司、东南大学、华中科技大学、上海大学、中国科学院赣江创新研究院、苏州英磁新能源科技有限公司组成标准编制小组。</w:t>
      </w:r>
    </w:p>
    <w:p w14:paraId="7CAA245E" w14:textId="77777777" w:rsidR="00940200" w:rsidRDefault="00000000">
      <w:pPr>
        <w:pStyle w:val="3"/>
        <w:numPr>
          <w:ilvl w:val="0"/>
          <w:numId w:val="1"/>
        </w:numPr>
        <w:shd w:val="clear" w:color="auto" w:fill="FFFFFF"/>
        <w:spacing w:line="315" w:lineRule="atLeast"/>
        <w:rPr>
          <w:rFonts w:ascii="Times New Roman" w:eastAsia="黑体" w:hAnsi="黑体" w:cs="Times New Roman"/>
          <w:b w:val="0"/>
          <w:sz w:val="28"/>
          <w:szCs w:val="28"/>
        </w:rPr>
      </w:pPr>
      <w:r>
        <w:rPr>
          <w:rFonts w:ascii="Times New Roman" w:eastAsia="黑体" w:hAnsi="黑体" w:cs="Times New Roman"/>
          <w:b w:val="0"/>
          <w:sz w:val="28"/>
          <w:szCs w:val="28"/>
        </w:rPr>
        <w:t>编制原则和编制过程</w:t>
      </w:r>
    </w:p>
    <w:p w14:paraId="26422A0E" w14:textId="77777777" w:rsidR="00940200" w:rsidRDefault="00000000">
      <w:pPr>
        <w:pStyle w:val="3"/>
        <w:shd w:val="clear" w:color="auto" w:fill="FFFFFF"/>
        <w:spacing w:before="0" w:beforeAutospacing="0" w:after="0" w:afterAutospacing="0" w:line="360" w:lineRule="auto"/>
        <w:rPr>
          <w:rFonts w:ascii="黑体" w:eastAsia="黑体" w:hAnsi="黑体" w:cs="Times New Roman"/>
          <w:b w:val="0"/>
          <w:sz w:val="28"/>
          <w:szCs w:val="28"/>
        </w:rPr>
      </w:pPr>
      <w:r>
        <w:rPr>
          <w:rFonts w:ascii="黑体" w:eastAsia="黑体" w:hAnsi="黑体" w:cs="Times New Roman"/>
          <w:b w:val="0"/>
          <w:sz w:val="28"/>
          <w:szCs w:val="28"/>
        </w:rPr>
        <w:t>3.1 编制原则</w:t>
      </w:r>
    </w:p>
    <w:p w14:paraId="535410F5" w14:textId="77777777" w:rsidR="00940200" w:rsidRDefault="00000000">
      <w:pPr>
        <w:ind w:firstLineChars="200" w:firstLine="560"/>
        <w:jc w:val="left"/>
        <w:rPr>
          <w:rFonts w:ascii="宋体" w:eastAsia="宋体" w:hAnsi="宋体"/>
          <w:sz w:val="28"/>
          <w:szCs w:val="28"/>
        </w:rPr>
      </w:pPr>
      <w:r>
        <w:rPr>
          <w:rFonts w:ascii="宋体" w:eastAsia="宋体" w:hAnsi="宋体" w:hint="eastAsia"/>
          <w:sz w:val="28"/>
          <w:szCs w:val="28"/>
        </w:rPr>
        <w:t>本标准编写符合GB/T1.1《标准化工作导则》的规定。</w:t>
      </w:r>
    </w:p>
    <w:p w14:paraId="5B1B77D8" w14:textId="77777777" w:rsidR="00940200" w:rsidRDefault="00000000">
      <w:pPr>
        <w:pStyle w:val="3"/>
        <w:shd w:val="clear" w:color="auto" w:fill="FFFFFF"/>
        <w:spacing w:before="0" w:beforeAutospacing="0" w:after="0" w:afterAutospacing="0" w:line="360" w:lineRule="auto"/>
        <w:rPr>
          <w:rFonts w:ascii="黑体" w:eastAsia="黑体" w:hAnsi="黑体" w:cs="Times New Roman"/>
          <w:b w:val="0"/>
          <w:sz w:val="28"/>
          <w:szCs w:val="28"/>
        </w:rPr>
      </w:pPr>
      <w:r>
        <w:rPr>
          <w:rFonts w:ascii="黑体" w:eastAsia="黑体" w:hAnsi="黑体" w:cs="Times New Roman"/>
          <w:b w:val="0"/>
          <w:sz w:val="28"/>
          <w:szCs w:val="28"/>
        </w:rPr>
        <w:t>3.2 编制过程</w:t>
      </w:r>
    </w:p>
    <w:p w14:paraId="47D18870" w14:textId="77777777" w:rsidR="00940200" w:rsidRDefault="00000000">
      <w:pPr>
        <w:pStyle w:val="3"/>
        <w:numPr>
          <w:ilvl w:val="0"/>
          <w:numId w:val="2"/>
        </w:numPr>
        <w:shd w:val="clear" w:color="auto" w:fill="FFFFFF"/>
        <w:tabs>
          <w:tab w:val="left" w:pos="1276"/>
        </w:tabs>
        <w:spacing w:before="0" w:beforeAutospacing="0" w:after="0" w:afterAutospacing="0"/>
        <w:ind w:left="0" w:firstLineChars="152" w:firstLine="426"/>
        <w:rPr>
          <w:rFonts w:asciiTheme="minorEastAsia" w:eastAsiaTheme="minorEastAsia" w:hAnsiTheme="minorEastAsia" w:cs="Times New Roman"/>
          <w:b w:val="0"/>
          <w:sz w:val="28"/>
          <w:szCs w:val="28"/>
        </w:rPr>
      </w:pPr>
      <w:r>
        <w:rPr>
          <w:rFonts w:asciiTheme="minorEastAsia" w:eastAsiaTheme="minorEastAsia" w:hAnsiTheme="minorEastAsia" w:hint="eastAsia"/>
          <w:b w:val="0"/>
          <w:sz w:val="28"/>
          <w:szCs w:val="28"/>
        </w:rPr>
        <w:t>2022年3月，广泛征集参编单位意见，完成调研。</w:t>
      </w:r>
    </w:p>
    <w:p w14:paraId="4C6C0AE7" w14:textId="77777777" w:rsidR="00940200" w:rsidRDefault="00000000">
      <w:pPr>
        <w:pStyle w:val="3"/>
        <w:numPr>
          <w:ilvl w:val="0"/>
          <w:numId w:val="2"/>
        </w:numPr>
        <w:shd w:val="clear" w:color="auto" w:fill="FFFFFF"/>
        <w:tabs>
          <w:tab w:val="left" w:pos="1276"/>
        </w:tabs>
        <w:spacing w:before="0" w:beforeAutospacing="0" w:after="0" w:afterAutospacing="0"/>
        <w:ind w:left="0" w:firstLineChars="152" w:firstLine="426"/>
        <w:rPr>
          <w:rFonts w:cs="Times New Roman"/>
          <w:b w:val="0"/>
          <w:sz w:val="28"/>
          <w:szCs w:val="28"/>
        </w:rPr>
      </w:pPr>
      <w:r>
        <w:rPr>
          <w:rFonts w:asciiTheme="minorEastAsia" w:eastAsiaTheme="minorEastAsia" w:hAnsiTheme="minorEastAsia" w:hint="eastAsia"/>
          <w:b w:val="0"/>
          <w:sz w:val="28"/>
          <w:szCs w:val="28"/>
        </w:rPr>
        <w:t>2022年6月完成《项目任务书》呈报，《技术服务协议》签署。</w:t>
      </w:r>
    </w:p>
    <w:p w14:paraId="67EB0E11" w14:textId="77777777" w:rsidR="00940200" w:rsidRDefault="00000000">
      <w:pPr>
        <w:pStyle w:val="3"/>
        <w:numPr>
          <w:ilvl w:val="0"/>
          <w:numId w:val="2"/>
        </w:numPr>
        <w:shd w:val="clear" w:color="auto" w:fill="FFFFFF"/>
        <w:tabs>
          <w:tab w:val="left" w:pos="1276"/>
        </w:tabs>
        <w:spacing w:before="0" w:beforeAutospacing="0" w:after="0" w:afterAutospacing="0"/>
        <w:ind w:left="0" w:firstLineChars="152" w:firstLine="426"/>
        <w:rPr>
          <w:rFonts w:cs="Times New Roman"/>
          <w:b w:val="0"/>
          <w:sz w:val="28"/>
          <w:szCs w:val="28"/>
        </w:rPr>
      </w:pPr>
      <w:r>
        <w:rPr>
          <w:rFonts w:cs="Times New Roman" w:hint="eastAsia"/>
          <w:b w:val="0"/>
          <w:sz w:val="28"/>
          <w:szCs w:val="28"/>
        </w:rPr>
        <w:lastRenderedPageBreak/>
        <w:t>2022年6月20日召开起草工作组首次会议，明确起草工作组主编人、成员分工、工作进度等事项。</w:t>
      </w:r>
    </w:p>
    <w:p w14:paraId="3F878D53" w14:textId="77777777" w:rsidR="00940200" w:rsidRDefault="00000000">
      <w:pPr>
        <w:pStyle w:val="3"/>
        <w:numPr>
          <w:ilvl w:val="0"/>
          <w:numId w:val="2"/>
        </w:numPr>
        <w:shd w:val="clear" w:color="auto" w:fill="FFFFFF"/>
        <w:tabs>
          <w:tab w:val="left" w:pos="1276"/>
        </w:tabs>
        <w:spacing w:before="0" w:beforeAutospacing="0" w:after="0" w:afterAutospacing="0"/>
        <w:ind w:left="0" w:firstLineChars="152" w:firstLine="426"/>
        <w:rPr>
          <w:rFonts w:cs="Times New Roman"/>
          <w:b w:val="0"/>
          <w:sz w:val="28"/>
          <w:szCs w:val="28"/>
        </w:rPr>
      </w:pPr>
      <w:r>
        <w:rPr>
          <w:rFonts w:hint="eastAsia"/>
          <w:b w:val="0"/>
          <w:sz w:val="28"/>
          <w:szCs w:val="28"/>
        </w:rPr>
        <w:t>2022年8月31日完成标准《草案稿》和《编制说明》的编写。</w:t>
      </w:r>
    </w:p>
    <w:p w14:paraId="4E457940" w14:textId="77777777" w:rsidR="00940200" w:rsidRDefault="00000000">
      <w:pPr>
        <w:pStyle w:val="3"/>
        <w:numPr>
          <w:ilvl w:val="0"/>
          <w:numId w:val="2"/>
        </w:numPr>
        <w:shd w:val="clear" w:color="auto" w:fill="FFFFFF"/>
        <w:tabs>
          <w:tab w:val="left" w:pos="1276"/>
        </w:tabs>
        <w:spacing w:before="0" w:beforeAutospacing="0" w:after="0" w:afterAutospacing="0"/>
        <w:ind w:left="0" w:firstLineChars="152" w:firstLine="426"/>
        <w:rPr>
          <w:rFonts w:cs="Times New Roman"/>
          <w:b w:val="0"/>
          <w:sz w:val="28"/>
          <w:szCs w:val="28"/>
        </w:rPr>
      </w:pPr>
      <w:r>
        <w:rPr>
          <w:rFonts w:hint="eastAsia"/>
          <w:b w:val="0"/>
          <w:sz w:val="28"/>
          <w:szCs w:val="28"/>
        </w:rPr>
        <w:t>2022年9月9日起草工作组汇同专家组讨论审阅修订标准《草案稿》，形成标准《征求意见稿》。</w:t>
      </w:r>
    </w:p>
    <w:p w14:paraId="5A496CC2" w14:textId="747045DD" w:rsidR="00940200" w:rsidRDefault="00000000">
      <w:pPr>
        <w:pStyle w:val="3"/>
        <w:numPr>
          <w:ilvl w:val="0"/>
          <w:numId w:val="2"/>
        </w:numPr>
        <w:shd w:val="clear" w:color="auto" w:fill="FFFFFF"/>
        <w:tabs>
          <w:tab w:val="left" w:pos="1276"/>
        </w:tabs>
        <w:spacing w:before="0" w:beforeAutospacing="0" w:after="0" w:afterAutospacing="0"/>
        <w:ind w:left="0" w:firstLineChars="152" w:firstLine="426"/>
        <w:rPr>
          <w:rFonts w:cs="Times New Roman"/>
          <w:b w:val="0"/>
          <w:sz w:val="28"/>
          <w:szCs w:val="28"/>
        </w:rPr>
      </w:pPr>
      <w:r>
        <w:rPr>
          <w:rFonts w:hint="eastAsia"/>
          <w:b w:val="0"/>
          <w:sz w:val="28"/>
          <w:szCs w:val="28"/>
        </w:rPr>
        <w:t>2022年9月15日-</w:t>
      </w:r>
      <w:r w:rsidR="00841A04">
        <w:rPr>
          <w:b w:val="0"/>
          <w:sz w:val="28"/>
          <w:szCs w:val="28"/>
        </w:rPr>
        <w:t>10</w:t>
      </w:r>
      <w:r>
        <w:rPr>
          <w:rFonts w:hint="eastAsia"/>
          <w:b w:val="0"/>
          <w:sz w:val="28"/>
          <w:szCs w:val="28"/>
        </w:rPr>
        <w:t>月</w:t>
      </w:r>
      <w:r w:rsidR="00841A04">
        <w:rPr>
          <w:b w:val="0"/>
          <w:sz w:val="28"/>
          <w:szCs w:val="28"/>
        </w:rPr>
        <w:t>1</w:t>
      </w:r>
      <w:r>
        <w:rPr>
          <w:rFonts w:hint="eastAsia"/>
          <w:b w:val="0"/>
          <w:sz w:val="28"/>
          <w:szCs w:val="28"/>
        </w:rPr>
        <w:t>5日在中国电力技术市场协会网站挂网公示，公开征求意见。</w:t>
      </w:r>
    </w:p>
    <w:p w14:paraId="4DDE2684" w14:textId="3ED5A522" w:rsidR="00940200" w:rsidRDefault="00841A04">
      <w:pPr>
        <w:pStyle w:val="3"/>
        <w:numPr>
          <w:ilvl w:val="0"/>
          <w:numId w:val="2"/>
        </w:numPr>
        <w:shd w:val="clear" w:color="auto" w:fill="FFFFFF"/>
        <w:tabs>
          <w:tab w:val="left" w:pos="1276"/>
        </w:tabs>
        <w:spacing w:before="0" w:beforeAutospacing="0" w:after="0" w:afterAutospacing="0"/>
        <w:ind w:left="0" w:firstLineChars="152" w:firstLine="426"/>
        <w:rPr>
          <w:b w:val="0"/>
          <w:sz w:val="28"/>
          <w:szCs w:val="28"/>
        </w:rPr>
      </w:pPr>
      <w:r>
        <w:rPr>
          <w:rFonts w:hint="eastAsia"/>
          <w:b w:val="0"/>
          <w:sz w:val="28"/>
          <w:szCs w:val="28"/>
        </w:rPr>
        <w:t>计划</w:t>
      </w:r>
      <w:r w:rsidR="00000000">
        <w:rPr>
          <w:rFonts w:hint="eastAsia"/>
          <w:b w:val="0"/>
          <w:sz w:val="28"/>
          <w:szCs w:val="28"/>
        </w:rPr>
        <w:t>2022年</w:t>
      </w:r>
      <w:r>
        <w:rPr>
          <w:b w:val="0"/>
          <w:sz w:val="28"/>
          <w:szCs w:val="28"/>
        </w:rPr>
        <w:t>10</w:t>
      </w:r>
      <w:r w:rsidR="00000000">
        <w:rPr>
          <w:rFonts w:hint="eastAsia"/>
          <w:b w:val="0"/>
          <w:sz w:val="28"/>
          <w:szCs w:val="28"/>
        </w:rPr>
        <w:t>月</w:t>
      </w:r>
      <w:r>
        <w:rPr>
          <w:b w:val="0"/>
          <w:sz w:val="28"/>
          <w:szCs w:val="28"/>
        </w:rPr>
        <w:t>18</w:t>
      </w:r>
      <w:r w:rsidR="00000000">
        <w:rPr>
          <w:rFonts w:hint="eastAsia"/>
          <w:b w:val="0"/>
          <w:sz w:val="28"/>
          <w:szCs w:val="28"/>
        </w:rPr>
        <w:t>日完成收集意见、征求专家意见、修改完善形成《送审稿》。</w:t>
      </w:r>
    </w:p>
    <w:p w14:paraId="5E788033" w14:textId="3C53D46B" w:rsidR="00940200" w:rsidRDefault="00841A04">
      <w:pPr>
        <w:pStyle w:val="3"/>
        <w:numPr>
          <w:ilvl w:val="0"/>
          <w:numId w:val="2"/>
        </w:numPr>
        <w:shd w:val="clear" w:color="auto" w:fill="FFFFFF"/>
        <w:tabs>
          <w:tab w:val="left" w:pos="1276"/>
        </w:tabs>
        <w:spacing w:before="0" w:beforeAutospacing="0" w:after="0" w:afterAutospacing="0"/>
        <w:ind w:left="0" w:firstLineChars="152" w:firstLine="426"/>
        <w:rPr>
          <w:rFonts w:cs="Times New Roman"/>
          <w:b w:val="0"/>
          <w:sz w:val="28"/>
          <w:szCs w:val="28"/>
        </w:rPr>
      </w:pPr>
      <w:r>
        <w:rPr>
          <w:rFonts w:cs="Times New Roman" w:hint="eastAsia"/>
          <w:b w:val="0"/>
          <w:sz w:val="28"/>
          <w:szCs w:val="28"/>
        </w:rPr>
        <w:t>计划</w:t>
      </w:r>
      <w:r w:rsidR="00000000">
        <w:rPr>
          <w:rFonts w:cs="Times New Roman" w:hint="eastAsia"/>
          <w:b w:val="0"/>
          <w:sz w:val="28"/>
          <w:szCs w:val="28"/>
        </w:rPr>
        <w:t>2022年10月</w:t>
      </w:r>
      <w:r>
        <w:rPr>
          <w:rFonts w:cs="Times New Roman"/>
          <w:b w:val="0"/>
          <w:sz w:val="28"/>
          <w:szCs w:val="28"/>
        </w:rPr>
        <w:t>20</w:t>
      </w:r>
      <w:r w:rsidR="00000000">
        <w:rPr>
          <w:rFonts w:cs="Times New Roman" w:hint="eastAsia"/>
          <w:b w:val="0"/>
          <w:sz w:val="28"/>
          <w:szCs w:val="28"/>
        </w:rPr>
        <w:t>日召开标准送审稿专家初审会议。</w:t>
      </w:r>
    </w:p>
    <w:p w14:paraId="4FDB1418" w14:textId="544F68CD" w:rsidR="00940200" w:rsidRDefault="00841A04">
      <w:pPr>
        <w:pStyle w:val="3"/>
        <w:numPr>
          <w:ilvl w:val="0"/>
          <w:numId w:val="2"/>
        </w:numPr>
        <w:shd w:val="clear" w:color="auto" w:fill="FFFFFF"/>
        <w:tabs>
          <w:tab w:val="left" w:pos="1276"/>
        </w:tabs>
        <w:spacing w:before="0" w:beforeAutospacing="0" w:after="0" w:afterAutospacing="0"/>
        <w:ind w:left="0" w:firstLineChars="152" w:firstLine="426"/>
        <w:rPr>
          <w:rFonts w:cs="Times New Roman"/>
          <w:b w:val="0"/>
          <w:sz w:val="28"/>
          <w:szCs w:val="28"/>
        </w:rPr>
      </w:pPr>
      <w:r>
        <w:rPr>
          <w:rFonts w:cs="Times New Roman" w:hint="eastAsia"/>
          <w:b w:val="0"/>
          <w:sz w:val="28"/>
          <w:szCs w:val="28"/>
        </w:rPr>
        <w:t>计划</w:t>
      </w:r>
      <w:r w:rsidR="00000000">
        <w:rPr>
          <w:rFonts w:cs="Times New Roman" w:hint="eastAsia"/>
          <w:b w:val="0"/>
          <w:sz w:val="28"/>
          <w:szCs w:val="28"/>
        </w:rPr>
        <w:t>2022年10月</w:t>
      </w:r>
      <w:r>
        <w:rPr>
          <w:rFonts w:cs="Times New Roman"/>
          <w:b w:val="0"/>
          <w:sz w:val="28"/>
          <w:szCs w:val="28"/>
        </w:rPr>
        <w:t>25</w:t>
      </w:r>
      <w:r w:rsidR="00000000">
        <w:rPr>
          <w:rFonts w:cs="Times New Roman" w:hint="eastAsia"/>
          <w:b w:val="0"/>
          <w:sz w:val="28"/>
          <w:szCs w:val="28"/>
        </w:rPr>
        <w:t>日完成送审稿修改，形成终审稿。</w:t>
      </w:r>
    </w:p>
    <w:p w14:paraId="229EC851" w14:textId="1ACBAD91" w:rsidR="00940200" w:rsidRDefault="00841A04">
      <w:pPr>
        <w:pStyle w:val="3"/>
        <w:numPr>
          <w:ilvl w:val="0"/>
          <w:numId w:val="2"/>
        </w:numPr>
        <w:shd w:val="clear" w:color="auto" w:fill="FFFFFF"/>
        <w:tabs>
          <w:tab w:val="left" w:pos="1276"/>
        </w:tabs>
        <w:spacing w:before="0" w:beforeAutospacing="0" w:after="0" w:afterAutospacing="0"/>
        <w:ind w:left="0" w:firstLineChars="152" w:firstLine="426"/>
        <w:rPr>
          <w:rFonts w:cs="Times New Roman"/>
          <w:b w:val="0"/>
          <w:sz w:val="28"/>
          <w:szCs w:val="28"/>
        </w:rPr>
      </w:pPr>
      <w:r>
        <w:rPr>
          <w:rFonts w:cs="Times New Roman" w:hint="eastAsia"/>
          <w:b w:val="0"/>
          <w:sz w:val="28"/>
          <w:szCs w:val="28"/>
        </w:rPr>
        <w:t>计划</w:t>
      </w:r>
      <w:r w:rsidR="00000000">
        <w:rPr>
          <w:rFonts w:cs="Times New Roman" w:hint="eastAsia"/>
          <w:b w:val="0"/>
          <w:sz w:val="28"/>
          <w:szCs w:val="28"/>
        </w:rPr>
        <w:t>2022年10月</w:t>
      </w:r>
      <w:r>
        <w:rPr>
          <w:rFonts w:cs="Times New Roman"/>
          <w:b w:val="0"/>
          <w:sz w:val="28"/>
          <w:szCs w:val="28"/>
        </w:rPr>
        <w:t>28</w:t>
      </w:r>
      <w:r w:rsidR="00000000">
        <w:rPr>
          <w:rFonts w:cs="Times New Roman" w:hint="eastAsia"/>
          <w:b w:val="0"/>
          <w:sz w:val="28"/>
          <w:szCs w:val="28"/>
        </w:rPr>
        <w:t>日召开标准送审稿专家初终审会议，通过终审稿专家审核。</w:t>
      </w:r>
    </w:p>
    <w:p w14:paraId="40779EF9" w14:textId="7DEBCA71" w:rsidR="00940200" w:rsidRDefault="00841A04">
      <w:pPr>
        <w:pStyle w:val="3"/>
        <w:numPr>
          <w:ilvl w:val="0"/>
          <w:numId w:val="2"/>
        </w:numPr>
        <w:shd w:val="clear" w:color="auto" w:fill="FFFFFF"/>
        <w:tabs>
          <w:tab w:val="left" w:pos="1276"/>
        </w:tabs>
        <w:spacing w:before="0" w:beforeAutospacing="0" w:after="0" w:afterAutospacing="0"/>
        <w:ind w:left="0" w:firstLineChars="152" w:firstLine="426"/>
        <w:rPr>
          <w:rFonts w:cs="Times New Roman"/>
          <w:b w:val="0"/>
          <w:sz w:val="28"/>
          <w:szCs w:val="28"/>
        </w:rPr>
      </w:pPr>
      <w:r>
        <w:rPr>
          <w:rFonts w:cs="Times New Roman" w:hint="eastAsia"/>
          <w:b w:val="0"/>
          <w:sz w:val="28"/>
          <w:szCs w:val="28"/>
        </w:rPr>
        <w:t>计划</w:t>
      </w:r>
      <w:r w:rsidR="00000000">
        <w:rPr>
          <w:rFonts w:cs="Times New Roman" w:hint="eastAsia"/>
          <w:b w:val="0"/>
          <w:sz w:val="28"/>
          <w:szCs w:val="28"/>
        </w:rPr>
        <w:t>2022年10月</w:t>
      </w:r>
      <w:r>
        <w:rPr>
          <w:rFonts w:cs="Times New Roman"/>
          <w:b w:val="0"/>
          <w:sz w:val="28"/>
          <w:szCs w:val="28"/>
        </w:rPr>
        <w:t>30</w:t>
      </w:r>
      <w:r w:rsidR="00000000">
        <w:rPr>
          <w:rFonts w:cs="Times New Roman" w:hint="eastAsia"/>
          <w:b w:val="0"/>
          <w:sz w:val="28"/>
          <w:szCs w:val="28"/>
        </w:rPr>
        <w:t>日提交报批稿。</w:t>
      </w:r>
    </w:p>
    <w:p w14:paraId="481A7E3D" w14:textId="77777777" w:rsidR="00940200" w:rsidRDefault="00000000">
      <w:pPr>
        <w:pStyle w:val="3"/>
        <w:numPr>
          <w:ilvl w:val="0"/>
          <w:numId w:val="1"/>
        </w:numPr>
        <w:shd w:val="clear" w:color="auto" w:fill="FFFFFF"/>
        <w:spacing w:line="315" w:lineRule="atLeast"/>
        <w:rPr>
          <w:rFonts w:ascii="Times New Roman" w:eastAsia="黑体" w:hAnsi="黑体" w:cs="Times New Roman"/>
          <w:b w:val="0"/>
          <w:sz w:val="28"/>
          <w:szCs w:val="28"/>
        </w:rPr>
      </w:pPr>
      <w:r>
        <w:rPr>
          <w:rFonts w:ascii="Times New Roman" w:eastAsia="黑体" w:hAnsi="黑体" w:cs="Times New Roman" w:hint="eastAsia"/>
          <w:b w:val="0"/>
          <w:sz w:val="28"/>
          <w:szCs w:val="28"/>
        </w:rPr>
        <w:t>标准</w:t>
      </w:r>
      <w:r>
        <w:rPr>
          <w:rFonts w:ascii="Times New Roman" w:eastAsia="黑体" w:hAnsi="黑体" w:cs="Times New Roman"/>
          <w:b w:val="0"/>
          <w:sz w:val="28"/>
          <w:szCs w:val="28"/>
        </w:rPr>
        <w:t>主要内容</w:t>
      </w:r>
    </w:p>
    <w:p w14:paraId="3B69C473" w14:textId="77777777" w:rsidR="00940200" w:rsidRDefault="00000000">
      <w:pPr>
        <w:pStyle w:val="3"/>
        <w:shd w:val="clear" w:color="auto" w:fill="FFFFFF"/>
        <w:spacing w:before="0" w:beforeAutospacing="0" w:after="0" w:afterAutospacing="0"/>
        <w:ind w:firstLineChars="200" w:firstLine="560"/>
        <w:rPr>
          <w:rFonts w:cs="Times New Roman"/>
          <w:b w:val="0"/>
          <w:sz w:val="28"/>
          <w:szCs w:val="28"/>
        </w:rPr>
      </w:pPr>
      <w:r>
        <w:rPr>
          <w:rFonts w:cs="Times New Roman" w:hint="eastAsia"/>
          <w:b w:val="0"/>
          <w:sz w:val="28"/>
          <w:szCs w:val="28"/>
        </w:rPr>
        <w:t>本标准</w:t>
      </w:r>
      <w:r>
        <w:rPr>
          <w:rFonts w:hint="eastAsia"/>
          <w:b w:val="0"/>
        </w:rPr>
        <w:t>规定了永磁同轴式减速齿轮的术语和定义、型式型号和标识、技术要求、试验方法与检验规则、标志、包装、运输及贮存的要求等。</w:t>
      </w:r>
    </w:p>
    <w:p w14:paraId="63A244E5" w14:textId="77777777" w:rsidR="00940200" w:rsidRDefault="00000000">
      <w:pPr>
        <w:pStyle w:val="3"/>
        <w:shd w:val="clear" w:color="auto" w:fill="FFFFFF"/>
        <w:spacing w:before="0" w:beforeAutospacing="0" w:after="0" w:afterAutospacing="0"/>
        <w:ind w:firstLineChars="200" w:firstLine="560"/>
        <w:rPr>
          <w:rFonts w:cs="Times New Roman"/>
          <w:b w:val="0"/>
          <w:sz w:val="28"/>
          <w:szCs w:val="28"/>
        </w:rPr>
      </w:pPr>
      <w:r>
        <w:rPr>
          <w:rFonts w:cs="Times New Roman" w:hint="eastAsia"/>
          <w:b w:val="0"/>
          <w:sz w:val="28"/>
          <w:szCs w:val="28"/>
        </w:rPr>
        <w:t>本标准主要内容包括：</w:t>
      </w:r>
    </w:p>
    <w:p w14:paraId="6339EC37" w14:textId="77777777" w:rsidR="00940200" w:rsidRDefault="00000000">
      <w:pPr>
        <w:pStyle w:val="ae"/>
        <w:numPr>
          <w:ilvl w:val="0"/>
          <w:numId w:val="3"/>
        </w:numPr>
        <w:tabs>
          <w:tab w:val="left" w:pos="1134"/>
          <w:tab w:val="left" w:pos="1418"/>
        </w:tabs>
        <w:ind w:left="0" w:firstLine="560"/>
        <w:jc w:val="left"/>
        <w:rPr>
          <w:sz w:val="28"/>
          <w:szCs w:val="28"/>
        </w:rPr>
      </w:pPr>
      <w:r>
        <w:rPr>
          <w:rFonts w:hint="eastAsia"/>
          <w:sz w:val="28"/>
          <w:szCs w:val="28"/>
        </w:rPr>
        <w:t>范围</w:t>
      </w:r>
    </w:p>
    <w:p w14:paraId="4027F0D1" w14:textId="77777777" w:rsidR="00940200" w:rsidRDefault="00000000">
      <w:pPr>
        <w:pStyle w:val="ae"/>
        <w:numPr>
          <w:ilvl w:val="0"/>
          <w:numId w:val="3"/>
        </w:numPr>
        <w:tabs>
          <w:tab w:val="left" w:pos="1134"/>
          <w:tab w:val="left" w:pos="1418"/>
        </w:tabs>
        <w:ind w:left="0" w:firstLine="560"/>
        <w:jc w:val="left"/>
        <w:rPr>
          <w:sz w:val="28"/>
          <w:szCs w:val="28"/>
        </w:rPr>
      </w:pPr>
      <w:r>
        <w:rPr>
          <w:rFonts w:hint="eastAsia"/>
          <w:sz w:val="28"/>
          <w:szCs w:val="28"/>
        </w:rPr>
        <w:t>规范性引用文件</w:t>
      </w:r>
    </w:p>
    <w:p w14:paraId="574E5EE9" w14:textId="77777777" w:rsidR="00940200" w:rsidRDefault="00000000">
      <w:pPr>
        <w:pStyle w:val="ae"/>
        <w:numPr>
          <w:ilvl w:val="0"/>
          <w:numId w:val="3"/>
        </w:numPr>
        <w:tabs>
          <w:tab w:val="left" w:pos="1134"/>
          <w:tab w:val="left" w:pos="1418"/>
        </w:tabs>
        <w:ind w:left="0" w:firstLine="560"/>
        <w:jc w:val="left"/>
        <w:rPr>
          <w:sz w:val="28"/>
          <w:szCs w:val="28"/>
        </w:rPr>
      </w:pPr>
      <w:r>
        <w:rPr>
          <w:rFonts w:hint="eastAsia"/>
          <w:sz w:val="28"/>
          <w:szCs w:val="28"/>
        </w:rPr>
        <w:lastRenderedPageBreak/>
        <w:t>术语和定义</w:t>
      </w:r>
    </w:p>
    <w:p w14:paraId="749BFA71" w14:textId="77777777" w:rsidR="00940200" w:rsidRDefault="00000000">
      <w:pPr>
        <w:pStyle w:val="ae"/>
        <w:numPr>
          <w:ilvl w:val="0"/>
          <w:numId w:val="3"/>
        </w:numPr>
        <w:tabs>
          <w:tab w:val="left" w:pos="1134"/>
          <w:tab w:val="left" w:pos="1418"/>
        </w:tabs>
        <w:ind w:left="0" w:firstLine="560"/>
        <w:jc w:val="left"/>
        <w:rPr>
          <w:sz w:val="28"/>
          <w:szCs w:val="28"/>
        </w:rPr>
      </w:pPr>
      <w:r>
        <w:rPr>
          <w:rFonts w:hint="eastAsia"/>
          <w:sz w:val="28"/>
          <w:szCs w:val="28"/>
        </w:rPr>
        <w:t>型式、标识及型号表示方法</w:t>
      </w:r>
    </w:p>
    <w:p w14:paraId="1EE3AD2D" w14:textId="77777777" w:rsidR="00940200" w:rsidRDefault="00000000">
      <w:pPr>
        <w:pStyle w:val="ae"/>
        <w:numPr>
          <w:ilvl w:val="0"/>
          <w:numId w:val="3"/>
        </w:numPr>
        <w:tabs>
          <w:tab w:val="left" w:pos="1134"/>
          <w:tab w:val="left" w:pos="1418"/>
        </w:tabs>
        <w:ind w:left="0" w:firstLine="560"/>
        <w:jc w:val="left"/>
        <w:rPr>
          <w:sz w:val="28"/>
          <w:szCs w:val="28"/>
        </w:rPr>
      </w:pPr>
      <w:r>
        <w:rPr>
          <w:rFonts w:hint="eastAsia"/>
          <w:sz w:val="28"/>
          <w:szCs w:val="28"/>
        </w:rPr>
        <w:t>技术要求</w:t>
      </w:r>
    </w:p>
    <w:p w14:paraId="1F774F06" w14:textId="77777777" w:rsidR="00940200" w:rsidRDefault="00000000">
      <w:pPr>
        <w:pStyle w:val="ae"/>
        <w:numPr>
          <w:ilvl w:val="0"/>
          <w:numId w:val="3"/>
        </w:numPr>
        <w:tabs>
          <w:tab w:val="left" w:pos="1134"/>
          <w:tab w:val="left" w:pos="1418"/>
        </w:tabs>
        <w:ind w:left="0" w:firstLine="560"/>
        <w:jc w:val="left"/>
        <w:rPr>
          <w:sz w:val="28"/>
          <w:szCs w:val="28"/>
        </w:rPr>
      </w:pPr>
      <w:r>
        <w:rPr>
          <w:rFonts w:hint="eastAsia"/>
          <w:sz w:val="28"/>
          <w:szCs w:val="28"/>
        </w:rPr>
        <w:t>试验方法</w:t>
      </w:r>
    </w:p>
    <w:p w14:paraId="3F1F4B15" w14:textId="77777777" w:rsidR="00940200" w:rsidRDefault="00000000">
      <w:pPr>
        <w:pStyle w:val="ae"/>
        <w:numPr>
          <w:ilvl w:val="0"/>
          <w:numId w:val="3"/>
        </w:numPr>
        <w:tabs>
          <w:tab w:val="left" w:pos="1134"/>
          <w:tab w:val="left" w:pos="1418"/>
        </w:tabs>
        <w:ind w:left="0" w:firstLine="560"/>
        <w:jc w:val="left"/>
        <w:rPr>
          <w:sz w:val="28"/>
          <w:szCs w:val="28"/>
        </w:rPr>
      </w:pPr>
      <w:r>
        <w:rPr>
          <w:rFonts w:hint="eastAsia"/>
          <w:sz w:val="28"/>
          <w:szCs w:val="28"/>
        </w:rPr>
        <w:t>检验规则</w:t>
      </w:r>
    </w:p>
    <w:p w14:paraId="2E903D6C" w14:textId="77777777" w:rsidR="00940200" w:rsidRDefault="00000000">
      <w:pPr>
        <w:pStyle w:val="ae"/>
        <w:numPr>
          <w:ilvl w:val="0"/>
          <w:numId w:val="3"/>
        </w:numPr>
        <w:tabs>
          <w:tab w:val="left" w:pos="1134"/>
          <w:tab w:val="left" w:pos="1418"/>
        </w:tabs>
        <w:ind w:left="0" w:firstLine="560"/>
        <w:jc w:val="left"/>
        <w:rPr>
          <w:sz w:val="28"/>
          <w:szCs w:val="28"/>
        </w:rPr>
      </w:pPr>
      <w:r>
        <w:rPr>
          <w:rFonts w:hint="eastAsia"/>
          <w:sz w:val="28"/>
          <w:szCs w:val="28"/>
        </w:rPr>
        <w:t>标志、包装和贮存</w:t>
      </w:r>
    </w:p>
    <w:p w14:paraId="6E911513" w14:textId="77777777" w:rsidR="00940200" w:rsidRDefault="00000000">
      <w:pPr>
        <w:pStyle w:val="ae"/>
        <w:numPr>
          <w:ilvl w:val="0"/>
          <w:numId w:val="3"/>
        </w:numPr>
        <w:tabs>
          <w:tab w:val="left" w:pos="1134"/>
          <w:tab w:val="left" w:pos="1418"/>
        </w:tabs>
        <w:ind w:left="0" w:firstLine="560"/>
        <w:jc w:val="left"/>
        <w:rPr>
          <w:sz w:val="28"/>
          <w:szCs w:val="28"/>
        </w:rPr>
      </w:pPr>
      <w:r>
        <w:rPr>
          <w:rFonts w:hint="eastAsia"/>
          <w:sz w:val="28"/>
          <w:szCs w:val="28"/>
        </w:rPr>
        <w:t>磁齿轮替换机械齿轮的工作建议</w:t>
      </w:r>
    </w:p>
    <w:p w14:paraId="4EE2669F" w14:textId="77777777" w:rsidR="00940200" w:rsidRDefault="00000000">
      <w:pPr>
        <w:pStyle w:val="ae"/>
        <w:numPr>
          <w:ilvl w:val="0"/>
          <w:numId w:val="3"/>
        </w:numPr>
        <w:tabs>
          <w:tab w:val="left" w:pos="1134"/>
          <w:tab w:val="left" w:pos="1418"/>
        </w:tabs>
        <w:ind w:left="0" w:firstLine="560"/>
        <w:jc w:val="left"/>
        <w:rPr>
          <w:sz w:val="28"/>
          <w:szCs w:val="28"/>
        </w:rPr>
      </w:pPr>
      <w:r>
        <w:rPr>
          <w:rFonts w:hint="eastAsia"/>
          <w:sz w:val="28"/>
          <w:szCs w:val="28"/>
        </w:rPr>
        <w:t>附录</w:t>
      </w:r>
      <w:r>
        <w:rPr>
          <w:rFonts w:hint="eastAsia"/>
          <w:sz w:val="28"/>
          <w:szCs w:val="28"/>
        </w:rPr>
        <w:t>A</w:t>
      </w:r>
      <w:r>
        <w:rPr>
          <w:rFonts w:hint="eastAsia"/>
          <w:sz w:val="28"/>
          <w:szCs w:val="28"/>
        </w:rPr>
        <w:t>（资料行附录）</w:t>
      </w:r>
      <w:r>
        <w:rPr>
          <w:rFonts w:hint="eastAsia"/>
          <w:sz w:val="28"/>
          <w:szCs w:val="28"/>
        </w:rPr>
        <w:t xml:space="preserve"> </w:t>
      </w:r>
      <w:r>
        <w:rPr>
          <w:rFonts w:hint="eastAsia"/>
          <w:sz w:val="28"/>
          <w:szCs w:val="28"/>
        </w:rPr>
        <w:t>点检明细参考表</w:t>
      </w:r>
    </w:p>
    <w:p w14:paraId="5E87D12E" w14:textId="77777777" w:rsidR="00940200" w:rsidRDefault="00000000">
      <w:pPr>
        <w:pStyle w:val="ae"/>
        <w:numPr>
          <w:ilvl w:val="0"/>
          <w:numId w:val="3"/>
        </w:numPr>
        <w:tabs>
          <w:tab w:val="left" w:pos="1134"/>
          <w:tab w:val="left" w:pos="1418"/>
        </w:tabs>
        <w:ind w:left="0" w:firstLine="560"/>
        <w:jc w:val="left"/>
        <w:rPr>
          <w:sz w:val="28"/>
          <w:szCs w:val="28"/>
        </w:rPr>
      </w:pPr>
      <w:r>
        <w:rPr>
          <w:rFonts w:hint="eastAsia"/>
          <w:sz w:val="28"/>
          <w:szCs w:val="28"/>
        </w:rPr>
        <w:t>附录</w:t>
      </w:r>
      <w:r>
        <w:rPr>
          <w:rFonts w:hint="eastAsia"/>
          <w:sz w:val="28"/>
          <w:szCs w:val="28"/>
        </w:rPr>
        <w:t>B</w:t>
      </w:r>
      <w:r>
        <w:rPr>
          <w:rFonts w:hint="eastAsia"/>
          <w:sz w:val="28"/>
          <w:szCs w:val="28"/>
        </w:rPr>
        <w:t>（资料行附录）</w:t>
      </w:r>
      <w:r>
        <w:rPr>
          <w:rFonts w:hint="eastAsia"/>
          <w:sz w:val="28"/>
          <w:szCs w:val="28"/>
        </w:rPr>
        <w:t xml:space="preserve"> </w:t>
      </w:r>
      <w:r>
        <w:rPr>
          <w:rFonts w:hint="eastAsia"/>
          <w:sz w:val="28"/>
          <w:szCs w:val="28"/>
        </w:rPr>
        <w:t>出厂检验项目表</w:t>
      </w:r>
    </w:p>
    <w:p w14:paraId="1B70AF60" w14:textId="77777777" w:rsidR="00940200" w:rsidRDefault="00000000">
      <w:pPr>
        <w:pStyle w:val="3"/>
        <w:numPr>
          <w:ilvl w:val="0"/>
          <w:numId w:val="1"/>
        </w:numPr>
        <w:shd w:val="clear" w:color="auto" w:fill="FFFFFF"/>
        <w:spacing w:line="315" w:lineRule="atLeast"/>
        <w:rPr>
          <w:rFonts w:ascii="Times New Roman" w:eastAsia="黑体" w:hAnsi="黑体" w:cs="Times New Roman"/>
          <w:b w:val="0"/>
          <w:sz w:val="28"/>
          <w:szCs w:val="28"/>
        </w:rPr>
      </w:pPr>
      <w:r>
        <w:rPr>
          <w:rFonts w:ascii="Times New Roman" w:eastAsia="黑体" w:hAnsi="黑体" w:cs="Times New Roman" w:hint="eastAsia"/>
          <w:b w:val="0"/>
          <w:sz w:val="28"/>
          <w:szCs w:val="28"/>
        </w:rPr>
        <w:t>验证试验的情况</w:t>
      </w:r>
    </w:p>
    <w:p w14:paraId="4D04AB4C" w14:textId="77777777" w:rsidR="00940200" w:rsidRDefault="00000000">
      <w:pPr>
        <w:ind w:firstLineChars="200" w:firstLine="560"/>
        <w:jc w:val="left"/>
        <w:rPr>
          <w:rFonts w:ascii="宋体" w:eastAsia="宋体" w:hAnsi="宋体"/>
          <w:sz w:val="28"/>
          <w:szCs w:val="28"/>
        </w:rPr>
      </w:pPr>
      <w:r>
        <w:rPr>
          <w:rFonts w:ascii="宋体" w:eastAsia="宋体" w:hAnsi="宋体" w:hint="eastAsia"/>
          <w:sz w:val="28"/>
          <w:szCs w:val="28"/>
        </w:rPr>
        <w:t>本标准的验证试验由天津金辰华林平衡机有限公司已开展部分验证试验。</w:t>
      </w:r>
    </w:p>
    <w:p w14:paraId="472C7001" w14:textId="77777777" w:rsidR="00940200" w:rsidRDefault="00000000">
      <w:pPr>
        <w:pStyle w:val="3"/>
        <w:numPr>
          <w:ilvl w:val="0"/>
          <w:numId w:val="1"/>
        </w:numPr>
        <w:shd w:val="clear" w:color="auto" w:fill="FFFFFF"/>
        <w:spacing w:line="315" w:lineRule="atLeast"/>
        <w:rPr>
          <w:rFonts w:ascii="Times New Roman" w:eastAsia="黑体" w:hAnsi="黑体" w:cs="Times New Roman"/>
          <w:b w:val="0"/>
          <w:sz w:val="28"/>
          <w:szCs w:val="28"/>
        </w:rPr>
      </w:pPr>
      <w:r>
        <w:rPr>
          <w:rFonts w:ascii="Times New Roman" w:eastAsia="黑体" w:hAnsi="黑体" w:cs="Times New Roman" w:hint="eastAsia"/>
          <w:b w:val="0"/>
          <w:sz w:val="28"/>
          <w:szCs w:val="28"/>
        </w:rPr>
        <w:t>采用国内和国外先进标准情况</w:t>
      </w:r>
    </w:p>
    <w:p w14:paraId="0ED1B7B3" w14:textId="77777777" w:rsidR="00940200" w:rsidRDefault="00000000">
      <w:pPr>
        <w:ind w:firstLineChars="200" w:firstLine="560"/>
        <w:jc w:val="left"/>
        <w:rPr>
          <w:rFonts w:ascii="宋体" w:eastAsia="宋体" w:hAnsi="宋体"/>
          <w:sz w:val="28"/>
          <w:szCs w:val="28"/>
        </w:rPr>
      </w:pPr>
      <w:r>
        <w:rPr>
          <w:rFonts w:ascii="宋体" w:eastAsia="宋体" w:hAnsi="宋体" w:hint="eastAsia"/>
          <w:sz w:val="28"/>
          <w:szCs w:val="28"/>
        </w:rPr>
        <w:t>无</w:t>
      </w:r>
    </w:p>
    <w:p w14:paraId="1E80FFA2" w14:textId="77777777" w:rsidR="00940200" w:rsidRDefault="00000000">
      <w:pPr>
        <w:pStyle w:val="3"/>
        <w:numPr>
          <w:ilvl w:val="0"/>
          <w:numId w:val="1"/>
        </w:numPr>
        <w:shd w:val="clear" w:color="auto" w:fill="FFFFFF"/>
        <w:spacing w:line="315" w:lineRule="atLeast"/>
        <w:rPr>
          <w:rFonts w:ascii="Times New Roman" w:eastAsia="黑体" w:hAnsi="黑体" w:cs="Times New Roman"/>
          <w:b w:val="0"/>
          <w:sz w:val="28"/>
          <w:szCs w:val="28"/>
        </w:rPr>
      </w:pPr>
      <w:r>
        <w:rPr>
          <w:rFonts w:ascii="Times New Roman" w:eastAsia="黑体" w:hAnsi="黑体" w:cs="Times New Roman" w:hint="eastAsia"/>
          <w:b w:val="0"/>
          <w:sz w:val="28"/>
          <w:szCs w:val="28"/>
        </w:rPr>
        <w:t>与现行法规标准的关系</w:t>
      </w:r>
    </w:p>
    <w:p w14:paraId="55DBA6C4" w14:textId="77777777" w:rsidR="00940200" w:rsidRDefault="00000000">
      <w:pPr>
        <w:ind w:firstLineChars="200" w:firstLine="560"/>
        <w:jc w:val="left"/>
        <w:rPr>
          <w:rFonts w:ascii="宋体" w:eastAsia="宋体" w:hAnsi="宋体"/>
          <w:sz w:val="28"/>
          <w:szCs w:val="28"/>
        </w:rPr>
      </w:pPr>
      <w:r>
        <w:rPr>
          <w:rFonts w:ascii="宋体" w:eastAsia="宋体" w:hAnsi="宋体" w:hint="eastAsia"/>
          <w:sz w:val="28"/>
          <w:szCs w:val="28"/>
        </w:rPr>
        <w:t>本标准的编制，遵循现行的国家标准、行业标准及法律法规。编制过程中，充分考虑国内外现有相关标准的统一和协调。</w:t>
      </w:r>
    </w:p>
    <w:p w14:paraId="6699A0E4" w14:textId="77777777" w:rsidR="00940200" w:rsidRDefault="00000000">
      <w:pPr>
        <w:ind w:firstLineChars="200" w:firstLine="560"/>
        <w:jc w:val="left"/>
        <w:rPr>
          <w:rFonts w:ascii="宋体" w:eastAsia="宋体" w:hAnsi="宋体"/>
          <w:sz w:val="28"/>
          <w:szCs w:val="28"/>
        </w:rPr>
      </w:pPr>
      <w:r>
        <w:rPr>
          <w:rFonts w:ascii="宋体" w:eastAsia="宋体" w:hAnsi="宋体" w:hint="eastAsia"/>
          <w:sz w:val="28"/>
          <w:szCs w:val="28"/>
        </w:rPr>
        <w:t>标准编制时，参考标准如下：</w:t>
      </w:r>
    </w:p>
    <w:p w14:paraId="2EBE360D" w14:textId="77777777" w:rsidR="00940200" w:rsidRDefault="00000000">
      <w:pPr>
        <w:pStyle w:val="af"/>
        <w:ind w:firstLine="560"/>
        <w:rPr>
          <w:sz w:val="28"/>
          <w:szCs w:val="28"/>
        </w:rPr>
      </w:pPr>
      <w:r>
        <w:rPr>
          <w:rFonts w:hint="eastAsia"/>
          <w:sz w:val="28"/>
          <w:szCs w:val="28"/>
        </w:rPr>
        <w:t>GB 275        滚动轴承 配合</w:t>
      </w:r>
    </w:p>
    <w:p w14:paraId="522C67CA" w14:textId="77777777" w:rsidR="00940200" w:rsidRDefault="00000000">
      <w:pPr>
        <w:pStyle w:val="af"/>
        <w:ind w:firstLine="560"/>
        <w:rPr>
          <w:sz w:val="28"/>
          <w:szCs w:val="28"/>
        </w:rPr>
      </w:pPr>
      <w:r>
        <w:rPr>
          <w:rFonts w:hint="eastAsia"/>
          <w:sz w:val="28"/>
          <w:szCs w:val="28"/>
        </w:rPr>
        <w:lastRenderedPageBreak/>
        <w:t>GB 1184</w:t>
      </w:r>
      <w:r>
        <w:rPr>
          <w:rFonts w:hint="eastAsia"/>
          <w:sz w:val="28"/>
          <w:szCs w:val="28"/>
        </w:rPr>
        <w:tab/>
        <w:t>形状和位置公差 未注公差值</w:t>
      </w:r>
    </w:p>
    <w:p w14:paraId="0C968CC6" w14:textId="77777777" w:rsidR="00940200" w:rsidRDefault="00000000">
      <w:pPr>
        <w:pStyle w:val="af"/>
        <w:ind w:firstLine="560"/>
        <w:rPr>
          <w:sz w:val="28"/>
          <w:szCs w:val="28"/>
        </w:rPr>
      </w:pPr>
      <w:r>
        <w:rPr>
          <w:rFonts w:hint="eastAsia"/>
          <w:sz w:val="28"/>
          <w:szCs w:val="28"/>
        </w:rPr>
        <w:t>GB/T 2900.26</w:t>
      </w:r>
      <w:r>
        <w:rPr>
          <w:rFonts w:hint="eastAsia"/>
          <w:sz w:val="28"/>
          <w:szCs w:val="28"/>
        </w:rPr>
        <w:tab/>
        <w:t>电工术语 控制电机</w:t>
      </w:r>
    </w:p>
    <w:p w14:paraId="06A339FC" w14:textId="77777777" w:rsidR="00940200" w:rsidRDefault="00000000">
      <w:pPr>
        <w:pStyle w:val="af"/>
        <w:ind w:firstLine="560"/>
        <w:rPr>
          <w:sz w:val="28"/>
          <w:szCs w:val="28"/>
        </w:rPr>
      </w:pPr>
      <w:r>
        <w:rPr>
          <w:rFonts w:hint="eastAsia"/>
          <w:sz w:val="28"/>
          <w:szCs w:val="28"/>
        </w:rPr>
        <w:t>GB/T 3836.1-2021</w:t>
      </w:r>
      <w:r>
        <w:rPr>
          <w:rFonts w:hint="eastAsia"/>
          <w:sz w:val="28"/>
          <w:szCs w:val="28"/>
        </w:rPr>
        <w:tab/>
        <w:t xml:space="preserve">  爆炸性环境 第1部分：设备 通用要求</w:t>
      </w:r>
    </w:p>
    <w:p w14:paraId="3EF438E9" w14:textId="77777777" w:rsidR="00940200" w:rsidRDefault="00000000">
      <w:pPr>
        <w:pStyle w:val="af"/>
        <w:ind w:firstLine="560"/>
        <w:rPr>
          <w:sz w:val="28"/>
          <w:szCs w:val="28"/>
        </w:rPr>
      </w:pPr>
      <w:r>
        <w:rPr>
          <w:rFonts w:hint="eastAsia"/>
          <w:sz w:val="28"/>
          <w:szCs w:val="28"/>
        </w:rPr>
        <w:t>GB/T 4208-2017</w:t>
      </w:r>
      <w:r>
        <w:rPr>
          <w:rFonts w:hint="eastAsia"/>
          <w:sz w:val="28"/>
          <w:szCs w:val="28"/>
        </w:rPr>
        <w:tab/>
        <w:t xml:space="preserve">    外壳防护等级（IP代码）</w:t>
      </w:r>
    </w:p>
    <w:p w14:paraId="3A381D9C" w14:textId="77777777" w:rsidR="00940200" w:rsidRDefault="00000000">
      <w:pPr>
        <w:pStyle w:val="af"/>
        <w:ind w:firstLine="560"/>
        <w:rPr>
          <w:sz w:val="28"/>
          <w:szCs w:val="28"/>
        </w:rPr>
      </w:pPr>
      <w:r>
        <w:rPr>
          <w:rFonts w:hint="eastAsia"/>
          <w:sz w:val="28"/>
          <w:szCs w:val="28"/>
        </w:rPr>
        <w:t>GB/T 4942</w:t>
      </w:r>
      <w:r>
        <w:rPr>
          <w:rFonts w:hint="eastAsia"/>
          <w:sz w:val="28"/>
          <w:szCs w:val="28"/>
        </w:rPr>
        <w:tab/>
        <w:t xml:space="preserve">      旋转电机整体结构的防护等级（IP代码） 分级</w:t>
      </w:r>
    </w:p>
    <w:p w14:paraId="15D4B0C8" w14:textId="77777777" w:rsidR="00940200" w:rsidRDefault="00000000">
      <w:pPr>
        <w:pStyle w:val="af"/>
        <w:ind w:firstLine="560"/>
        <w:rPr>
          <w:sz w:val="28"/>
          <w:szCs w:val="28"/>
        </w:rPr>
      </w:pPr>
      <w:r>
        <w:rPr>
          <w:rFonts w:hint="eastAsia"/>
          <w:sz w:val="28"/>
          <w:szCs w:val="28"/>
        </w:rPr>
        <w:t>GB/T 6404.1</w:t>
      </w:r>
      <w:r>
        <w:rPr>
          <w:rFonts w:hint="eastAsia"/>
          <w:sz w:val="28"/>
          <w:szCs w:val="28"/>
        </w:rPr>
        <w:tab/>
        <w:t xml:space="preserve">    齿轮装置的验收规范 第1部分：空气传播噪声的试验规范</w:t>
      </w:r>
    </w:p>
    <w:p w14:paraId="1B8EAA98" w14:textId="77777777" w:rsidR="00940200" w:rsidRDefault="00000000">
      <w:pPr>
        <w:pStyle w:val="af"/>
        <w:ind w:firstLine="560"/>
        <w:rPr>
          <w:sz w:val="28"/>
          <w:szCs w:val="28"/>
        </w:rPr>
      </w:pPr>
      <w:r>
        <w:rPr>
          <w:rFonts w:hint="eastAsia"/>
          <w:sz w:val="28"/>
          <w:szCs w:val="28"/>
        </w:rPr>
        <w:t>GB/T 6404.2</w:t>
      </w:r>
      <w:r>
        <w:rPr>
          <w:rFonts w:hint="eastAsia"/>
          <w:sz w:val="28"/>
          <w:szCs w:val="28"/>
        </w:rPr>
        <w:tab/>
        <w:t xml:space="preserve">    齿轮装置的验收规范 第2部分：验收试验中齿轮装置机械振动的测定</w:t>
      </w:r>
    </w:p>
    <w:p w14:paraId="4B335D10" w14:textId="77777777" w:rsidR="00940200" w:rsidRDefault="00000000">
      <w:pPr>
        <w:pStyle w:val="af"/>
        <w:ind w:firstLine="560"/>
        <w:rPr>
          <w:sz w:val="28"/>
          <w:szCs w:val="28"/>
        </w:rPr>
      </w:pPr>
      <w:r>
        <w:rPr>
          <w:rFonts w:hint="eastAsia"/>
          <w:sz w:val="28"/>
          <w:szCs w:val="28"/>
        </w:rPr>
        <w:t>GB/T 9239.1</w:t>
      </w:r>
      <w:r>
        <w:rPr>
          <w:rFonts w:hint="eastAsia"/>
          <w:sz w:val="28"/>
          <w:szCs w:val="28"/>
        </w:rPr>
        <w:tab/>
        <w:t xml:space="preserve">    机械振动 恒态(刚性)转子平衡品质要求 第1部分：规范与平衡允差的检验</w:t>
      </w:r>
    </w:p>
    <w:p w14:paraId="0C861278" w14:textId="77777777" w:rsidR="00940200" w:rsidRDefault="00000000">
      <w:pPr>
        <w:pStyle w:val="af"/>
        <w:ind w:firstLine="560"/>
        <w:rPr>
          <w:sz w:val="28"/>
          <w:szCs w:val="28"/>
        </w:rPr>
      </w:pPr>
      <w:r>
        <w:rPr>
          <w:rFonts w:hint="eastAsia"/>
          <w:sz w:val="28"/>
          <w:szCs w:val="28"/>
        </w:rPr>
        <w:t>GB 9439        灰铸铁件</w:t>
      </w:r>
    </w:p>
    <w:p w14:paraId="0E7F4F67" w14:textId="77777777" w:rsidR="00940200" w:rsidRDefault="00000000">
      <w:pPr>
        <w:pStyle w:val="af"/>
        <w:ind w:firstLine="560"/>
        <w:rPr>
          <w:sz w:val="28"/>
          <w:szCs w:val="28"/>
        </w:rPr>
      </w:pPr>
      <w:r>
        <w:rPr>
          <w:rFonts w:hint="eastAsia"/>
          <w:sz w:val="28"/>
          <w:szCs w:val="28"/>
        </w:rPr>
        <w:t>GB/T 11021-2007</w:t>
      </w:r>
      <w:r>
        <w:rPr>
          <w:rFonts w:hint="eastAsia"/>
          <w:sz w:val="28"/>
          <w:szCs w:val="28"/>
        </w:rPr>
        <w:tab/>
        <w:t>电气绝缘 耐热性分级</w:t>
      </w:r>
    </w:p>
    <w:p w14:paraId="4515D2AC" w14:textId="77777777" w:rsidR="00940200" w:rsidRDefault="00000000">
      <w:pPr>
        <w:pStyle w:val="af"/>
        <w:ind w:firstLine="560"/>
        <w:rPr>
          <w:sz w:val="28"/>
          <w:szCs w:val="28"/>
        </w:rPr>
      </w:pPr>
      <w:r>
        <w:rPr>
          <w:rFonts w:hint="eastAsia"/>
          <w:sz w:val="28"/>
          <w:szCs w:val="28"/>
        </w:rPr>
        <w:t>GB 12217        机器 轴高</w:t>
      </w:r>
    </w:p>
    <w:p w14:paraId="713FE96C" w14:textId="77777777" w:rsidR="00940200" w:rsidRDefault="00000000">
      <w:pPr>
        <w:pStyle w:val="af"/>
        <w:ind w:firstLine="560"/>
        <w:rPr>
          <w:sz w:val="28"/>
          <w:szCs w:val="28"/>
        </w:rPr>
      </w:pPr>
      <w:r>
        <w:rPr>
          <w:rFonts w:hint="eastAsia"/>
          <w:sz w:val="28"/>
          <w:szCs w:val="28"/>
        </w:rPr>
        <w:t>GB/T 13384</w:t>
      </w:r>
      <w:r>
        <w:rPr>
          <w:rFonts w:hint="eastAsia"/>
          <w:sz w:val="28"/>
          <w:szCs w:val="28"/>
        </w:rPr>
        <w:tab/>
        <w:t xml:space="preserve">     机电产品包装通用技术条件</w:t>
      </w:r>
    </w:p>
    <w:p w14:paraId="3BEAC560" w14:textId="77777777" w:rsidR="00940200" w:rsidRDefault="00000000">
      <w:pPr>
        <w:pStyle w:val="af"/>
        <w:ind w:firstLine="560"/>
        <w:rPr>
          <w:sz w:val="28"/>
          <w:szCs w:val="28"/>
        </w:rPr>
      </w:pPr>
      <w:r>
        <w:rPr>
          <w:rFonts w:hint="eastAsia"/>
          <w:sz w:val="28"/>
          <w:szCs w:val="28"/>
        </w:rPr>
        <w:t>GB/T 13560-2017</w:t>
      </w:r>
      <w:r>
        <w:rPr>
          <w:rFonts w:hint="eastAsia"/>
          <w:sz w:val="28"/>
          <w:szCs w:val="28"/>
        </w:rPr>
        <w:tab/>
        <w:t>烧结钕铁硼永磁材料</w:t>
      </w:r>
    </w:p>
    <w:p w14:paraId="38A2D881" w14:textId="77777777" w:rsidR="00940200" w:rsidRDefault="00000000">
      <w:pPr>
        <w:pStyle w:val="af"/>
        <w:ind w:firstLine="560"/>
        <w:rPr>
          <w:sz w:val="28"/>
          <w:szCs w:val="28"/>
        </w:rPr>
      </w:pPr>
      <w:r>
        <w:rPr>
          <w:rFonts w:hint="eastAsia"/>
          <w:sz w:val="28"/>
          <w:szCs w:val="28"/>
        </w:rPr>
        <w:t>GB/T 20160</w:t>
      </w:r>
      <w:r>
        <w:rPr>
          <w:rFonts w:hint="eastAsia"/>
          <w:sz w:val="28"/>
          <w:szCs w:val="28"/>
        </w:rPr>
        <w:tab/>
        <w:t xml:space="preserve"> 旋转电机绝缘电阻测试</w:t>
      </w:r>
    </w:p>
    <w:p w14:paraId="5A58A487" w14:textId="77777777" w:rsidR="00940200" w:rsidRDefault="00000000">
      <w:pPr>
        <w:pStyle w:val="af"/>
        <w:ind w:firstLine="560"/>
        <w:rPr>
          <w:sz w:val="28"/>
          <w:szCs w:val="28"/>
        </w:rPr>
      </w:pPr>
      <w:r>
        <w:rPr>
          <w:rFonts w:hint="eastAsia"/>
          <w:sz w:val="28"/>
          <w:szCs w:val="28"/>
        </w:rPr>
        <w:t>JB/T 5558-2015</w:t>
      </w:r>
      <w:r>
        <w:rPr>
          <w:rFonts w:hint="eastAsia"/>
          <w:sz w:val="28"/>
          <w:szCs w:val="28"/>
        </w:rPr>
        <w:tab/>
        <w:t xml:space="preserve"> 减（增）速器试验方法</w:t>
      </w:r>
    </w:p>
    <w:p w14:paraId="15ACBCD1" w14:textId="77777777" w:rsidR="00940200" w:rsidRDefault="00000000">
      <w:pPr>
        <w:pStyle w:val="3"/>
        <w:numPr>
          <w:ilvl w:val="0"/>
          <w:numId w:val="1"/>
        </w:numPr>
        <w:shd w:val="clear" w:color="auto" w:fill="FFFFFF"/>
        <w:spacing w:line="315" w:lineRule="atLeast"/>
        <w:rPr>
          <w:rFonts w:ascii="Times New Roman" w:eastAsia="黑体" w:hAnsi="黑体" w:cs="Times New Roman"/>
          <w:b w:val="0"/>
          <w:sz w:val="28"/>
          <w:szCs w:val="28"/>
        </w:rPr>
      </w:pPr>
      <w:r>
        <w:rPr>
          <w:rFonts w:ascii="Times New Roman" w:eastAsia="黑体" w:hAnsi="黑体" w:cs="Times New Roman" w:hint="eastAsia"/>
          <w:b w:val="0"/>
          <w:sz w:val="28"/>
          <w:szCs w:val="28"/>
        </w:rPr>
        <w:t>实施标准的要求和措施的建议</w:t>
      </w:r>
    </w:p>
    <w:p w14:paraId="1ED45560" w14:textId="77777777" w:rsidR="00940200" w:rsidRDefault="00000000">
      <w:pPr>
        <w:ind w:firstLineChars="200" w:firstLine="560"/>
        <w:jc w:val="left"/>
        <w:rPr>
          <w:rFonts w:ascii="宋体" w:eastAsia="宋体" w:hAnsi="宋体"/>
          <w:sz w:val="28"/>
          <w:szCs w:val="28"/>
        </w:rPr>
      </w:pPr>
      <w:r>
        <w:rPr>
          <w:rFonts w:ascii="宋体" w:eastAsia="宋体" w:hAnsi="宋体" w:hint="eastAsia"/>
          <w:sz w:val="28"/>
          <w:szCs w:val="28"/>
        </w:rPr>
        <w:t>本标准可以作为电力行业的一种推荐标准实施。</w:t>
      </w:r>
    </w:p>
    <w:p w14:paraId="52DC073C" w14:textId="77777777" w:rsidR="00940200" w:rsidRDefault="00000000">
      <w:pPr>
        <w:pStyle w:val="3"/>
        <w:numPr>
          <w:ilvl w:val="0"/>
          <w:numId w:val="1"/>
        </w:numPr>
        <w:shd w:val="clear" w:color="auto" w:fill="FFFFFF"/>
        <w:spacing w:line="315" w:lineRule="atLeast"/>
        <w:rPr>
          <w:rFonts w:ascii="Times New Roman" w:eastAsia="黑体" w:hAnsi="黑体" w:cs="Times New Roman"/>
          <w:b w:val="0"/>
          <w:sz w:val="28"/>
          <w:szCs w:val="28"/>
        </w:rPr>
      </w:pPr>
      <w:r>
        <w:rPr>
          <w:rFonts w:ascii="Times New Roman" w:eastAsia="黑体" w:hAnsi="黑体" w:cs="Times New Roman" w:hint="eastAsia"/>
          <w:b w:val="0"/>
          <w:sz w:val="28"/>
          <w:szCs w:val="28"/>
        </w:rPr>
        <w:t>废止现行有关标准的建议</w:t>
      </w:r>
    </w:p>
    <w:p w14:paraId="5E0E6DF3" w14:textId="77777777" w:rsidR="00940200" w:rsidRDefault="00000000">
      <w:pPr>
        <w:ind w:firstLineChars="200" w:firstLine="560"/>
        <w:jc w:val="left"/>
        <w:rPr>
          <w:rFonts w:ascii="宋体" w:eastAsia="宋体" w:hAnsi="宋体"/>
          <w:sz w:val="28"/>
          <w:szCs w:val="28"/>
        </w:rPr>
      </w:pPr>
      <w:r>
        <w:rPr>
          <w:rFonts w:ascii="宋体" w:eastAsia="宋体" w:hAnsi="宋体" w:hint="eastAsia"/>
          <w:sz w:val="28"/>
          <w:szCs w:val="28"/>
        </w:rPr>
        <w:lastRenderedPageBreak/>
        <w:t>无</w:t>
      </w:r>
    </w:p>
    <w:p w14:paraId="6A9CE55B" w14:textId="77777777" w:rsidR="00940200" w:rsidRDefault="00000000">
      <w:pPr>
        <w:pStyle w:val="3"/>
        <w:numPr>
          <w:ilvl w:val="0"/>
          <w:numId w:val="1"/>
        </w:numPr>
        <w:shd w:val="clear" w:color="auto" w:fill="FFFFFF"/>
        <w:spacing w:line="315" w:lineRule="atLeast"/>
        <w:rPr>
          <w:rFonts w:ascii="Times New Roman" w:eastAsia="黑体" w:hAnsi="黑体" w:cs="Times New Roman"/>
          <w:b w:val="0"/>
          <w:sz w:val="28"/>
          <w:szCs w:val="28"/>
        </w:rPr>
      </w:pPr>
      <w:r>
        <w:rPr>
          <w:rFonts w:ascii="Times New Roman" w:eastAsia="黑体" w:hAnsi="黑体" w:cs="Times New Roman" w:hint="eastAsia"/>
          <w:b w:val="0"/>
          <w:sz w:val="28"/>
          <w:szCs w:val="28"/>
        </w:rPr>
        <w:t>其他要说明的事项</w:t>
      </w:r>
    </w:p>
    <w:p w14:paraId="2017CB59" w14:textId="77777777" w:rsidR="00940200" w:rsidRDefault="00000000">
      <w:pPr>
        <w:ind w:firstLineChars="200" w:firstLine="560"/>
        <w:jc w:val="left"/>
        <w:rPr>
          <w:rFonts w:ascii="宋体" w:eastAsia="宋体" w:hAnsi="宋体"/>
          <w:sz w:val="28"/>
          <w:szCs w:val="28"/>
        </w:rPr>
      </w:pPr>
      <w:r>
        <w:rPr>
          <w:rFonts w:ascii="宋体" w:eastAsia="宋体" w:hAnsi="宋体" w:hint="eastAsia"/>
          <w:sz w:val="28"/>
          <w:szCs w:val="28"/>
        </w:rPr>
        <w:t>无</w:t>
      </w:r>
    </w:p>
    <w:sectPr w:rsidR="00940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626"/>
    <w:multiLevelType w:val="multilevel"/>
    <w:tmpl w:val="0113662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6C77D42"/>
    <w:multiLevelType w:val="multilevel"/>
    <w:tmpl w:val="16C77D42"/>
    <w:lvl w:ilvl="0">
      <w:start w:val="1"/>
      <w:numFmt w:val="decimal"/>
      <w:lvlText w:val="（%1）"/>
      <w:lvlJc w:val="left"/>
      <w:pPr>
        <w:ind w:left="1697"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D63595"/>
    <w:multiLevelType w:val="multilevel"/>
    <w:tmpl w:val="43D63595"/>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511262008">
    <w:abstractNumId w:val="0"/>
  </w:num>
  <w:num w:numId="2" w16cid:durableId="1248733549">
    <w:abstractNumId w:val="2"/>
  </w:num>
  <w:num w:numId="3" w16cid:durableId="1392969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FA9"/>
    <w:rsid w:val="000062C1"/>
    <w:rsid w:val="0002253F"/>
    <w:rsid w:val="00050424"/>
    <w:rsid w:val="00063278"/>
    <w:rsid w:val="00065B36"/>
    <w:rsid w:val="00086D64"/>
    <w:rsid w:val="000A7D9F"/>
    <w:rsid w:val="00105269"/>
    <w:rsid w:val="00132152"/>
    <w:rsid w:val="00140960"/>
    <w:rsid w:val="00162EE1"/>
    <w:rsid w:val="001976A2"/>
    <w:rsid w:val="001B5155"/>
    <w:rsid w:val="001D0D1B"/>
    <w:rsid w:val="001E4F94"/>
    <w:rsid w:val="001F762E"/>
    <w:rsid w:val="002035B8"/>
    <w:rsid w:val="00230013"/>
    <w:rsid w:val="002661CA"/>
    <w:rsid w:val="00295EF6"/>
    <w:rsid w:val="0029694C"/>
    <w:rsid w:val="002A0C67"/>
    <w:rsid w:val="002C05D1"/>
    <w:rsid w:val="002C1DA8"/>
    <w:rsid w:val="002F3A65"/>
    <w:rsid w:val="00302F10"/>
    <w:rsid w:val="00344AB7"/>
    <w:rsid w:val="0035586E"/>
    <w:rsid w:val="00394E09"/>
    <w:rsid w:val="003B1D6A"/>
    <w:rsid w:val="003C0378"/>
    <w:rsid w:val="003F418F"/>
    <w:rsid w:val="004230A4"/>
    <w:rsid w:val="00430175"/>
    <w:rsid w:val="004875AA"/>
    <w:rsid w:val="004A0688"/>
    <w:rsid w:val="004B4D6D"/>
    <w:rsid w:val="004F2F12"/>
    <w:rsid w:val="005366B9"/>
    <w:rsid w:val="005404BE"/>
    <w:rsid w:val="00540BF3"/>
    <w:rsid w:val="005701D2"/>
    <w:rsid w:val="00583A9A"/>
    <w:rsid w:val="0058677B"/>
    <w:rsid w:val="005A0959"/>
    <w:rsid w:val="005B5498"/>
    <w:rsid w:val="005B67CA"/>
    <w:rsid w:val="005C36AF"/>
    <w:rsid w:val="005C3E57"/>
    <w:rsid w:val="005F497D"/>
    <w:rsid w:val="0063795A"/>
    <w:rsid w:val="0064508F"/>
    <w:rsid w:val="00654227"/>
    <w:rsid w:val="00671D6F"/>
    <w:rsid w:val="006A4D61"/>
    <w:rsid w:val="006B31E7"/>
    <w:rsid w:val="006D4FC8"/>
    <w:rsid w:val="006F4C27"/>
    <w:rsid w:val="00713ADD"/>
    <w:rsid w:val="0072178C"/>
    <w:rsid w:val="00722E54"/>
    <w:rsid w:val="0073171A"/>
    <w:rsid w:val="0078538E"/>
    <w:rsid w:val="00793665"/>
    <w:rsid w:val="007A0B27"/>
    <w:rsid w:val="007E00ED"/>
    <w:rsid w:val="0081200E"/>
    <w:rsid w:val="00822C70"/>
    <w:rsid w:val="00841A04"/>
    <w:rsid w:val="0084509A"/>
    <w:rsid w:val="008810AB"/>
    <w:rsid w:val="008900DB"/>
    <w:rsid w:val="008A4129"/>
    <w:rsid w:val="008D4596"/>
    <w:rsid w:val="008D5FA9"/>
    <w:rsid w:val="0090268F"/>
    <w:rsid w:val="00940200"/>
    <w:rsid w:val="00947107"/>
    <w:rsid w:val="009A3DD4"/>
    <w:rsid w:val="009B772F"/>
    <w:rsid w:val="00A32AF4"/>
    <w:rsid w:val="00A93676"/>
    <w:rsid w:val="00AC14B0"/>
    <w:rsid w:val="00AD3CDA"/>
    <w:rsid w:val="00AF4BF9"/>
    <w:rsid w:val="00AF779B"/>
    <w:rsid w:val="00B12945"/>
    <w:rsid w:val="00B90430"/>
    <w:rsid w:val="00B977AA"/>
    <w:rsid w:val="00BA4953"/>
    <w:rsid w:val="00BD1105"/>
    <w:rsid w:val="00BE6DA2"/>
    <w:rsid w:val="00C00FA2"/>
    <w:rsid w:val="00C13973"/>
    <w:rsid w:val="00C37774"/>
    <w:rsid w:val="00C623BA"/>
    <w:rsid w:val="00CE0A4B"/>
    <w:rsid w:val="00CE6096"/>
    <w:rsid w:val="00D019D0"/>
    <w:rsid w:val="00D10A2C"/>
    <w:rsid w:val="00D224A1"/>
    <w:rsid w:val="00D26016"/>
    <w:rsid w:val="00D451B1"/>
    <w:rsid w:val="00D51DAB"/>
    <w:rsid w:val="00DB384B"/>
    <w:rsid w:val="00DB4B83"/>
    <w:rsid w:val="00DC3E5A"/>
    <w:rsid w:val="00DD0638"/>
    <w:rsid w:val="00DD617B"/>
    <w:rsid w:val="00DE0BB9"/>
    <w:rsid w:val="00DE712C"/>
    <w:rsid w:val="00E125E0"/>
    <w:rsid w:val="00E501BB"/>
    <w:rsid w:val="00E53C1A"/>
    <w:rsid w:val="00E80CEE"/>
    <w:rsid w:val="00EB5437"/>
    <w:rsid w:val="00EB78BF"/>
    <w:rsid w:val="00ED5732"/>
    <w:rsid w:val="00ED69A6"/>
    <w:rsid w:val="00EE3AF1"/>
    <w:rsid w:val="00F00B5B"/>
    <w:rsid w:val="00F01F50"/>
    <w:rsid w:val="00F17DC7"/>
    <w:rsid w:val="00F36D6C"/>
    <w:rsid w:val="00F43BCE"/>
    <w:rsid w:val="00F600BB"/>
    <w:rsid w:val="00F85989"/>
    <w:rsid w:val="00FB59C3"/>
    <w:rsid w:val="00FC6885"/>
    <w:rsid w:val="00FE033D"/>
    <w:rsid w:val="00FF2B23"/>
    <w:rsid w:val="13FF410A"/>
    <w:rsid w:val="17B5657E"/>
    <w:rsid w:val="17F56EDD"/>
    <w:rsid w:val="3207013C"/>
    <w:rsid w:val="511B5FC8"/>
    <w:rsid w:val="52707ABC"/>
    <w:rsid w:val="52EE387E"/>
    <w:rsid w:val="588D2D25"/>
    <w:rsid w:val="6EC866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737E"/>
  <w15:docId w15:val="{A6AF35B3-2EF5-4103-83A9-9C6438D7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uiPriority w:val="99"/>
    <w:semiHidden/>
    <w:unhideWhenUsed/>
    <w:pPr>
      <w:jc w:val="left"/>
    </w:p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pPr>
      <w:tabs>
        <w:tab w:val="left" w:pos="7360"/>
      </w:tabs>
      <w:spacing w:line="580" w:lineRule="exact"/>
      <w:jc w:val="center"/>
    </w:pPr>
    <w:rPr>
      <w:rFonts w:ascii="方正小标宋_GBK" w:eastAsia="方正小标宋_GBK" w:hAnsi="宋体" w:cs="Times New Roman"/>
      <w:color w:val="000000"/>
      <w:sz w:val="44"/>
      <w:szCs w:val="20"/>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rPr>
      <w:sz w:val="21"/>
      <w:szCs w:val="21"/>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4">
    <w:name w:val="文档结构图 字符"/>
    <w:basedOn w:val="a0"/>
    <w:link w:val="a3"/>
    <w:uiPriority w:val="99"/>
    <w:semiHidden/>
    <w:qFormat/>
    <w:rPr>
      <w:rFonts w:ascii="宋体" w:eastAsia="宋体"/>
      <w:sz w:val="18"/>
      <w:szCs w:val="18"/>
    </w:rPr>
  </w:style>
  <w:style w:type="paragraph" w:styleId="ae">
    <w:name w:val="List Paragraph"/>
    <w:basedOn w:val="a"/>
    <w:uiPriority w:val="34"/>
    <w:qFormat/>
    <w:pPr>
      <w:ind w:firstLineChars="200" w:firstLine="420"/>
    </w:p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customStyle="1" w:styleId="af">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
    <w:qFormat/>
    <w:rPr>
      <w:rFonts w:ascii="宋体" w:eastAsia="宋体" w:hAnsi="Times New Roman" w:cs="Times New Roman"/>
      <w:kern w:val="0"/>
      <w:szCs w:val="20"/>
    </w:rPr>
  </w:style>
  <w:style w:type="character" w:customStyle="1" w:styleId="a7">
    <w:name w:val="批注框文本 字符"/>
    <w:basedOn w:val="a0"/>
    <w:link w:val="a6"/>
    <w:uiPriority w:val="99"/>
    <w:semiHidden/>
    <w:qFormat/>
    <w:rPr>
      <w:sz w:val="18"/>
      <w:szCs w:val="18"/>
    </w:rPr>
  </w:style>
  <w:style w:type="character" w:customStyle="1" w:styleId="20">
    <w:name w:val="正文文本 2 字符"/>
    <w:basedOn w:val="a0"/>
    <w:link w:val="2"/>
    <w:rPr>
      <w:rFonts w:ascii="方正小标宋_GBK" w:eastAsia="方正小标宋_GBK" w:hAnsi="宋体" w:cs="Times New Roman"/>
      <w:color w:val="000000"/>
      <w:sz w:val="44"/>
      <w:szCs w:val="20"/>
    </w:rPr>
  </w:style>
  <w:style w:type="paragraph" w:customStyle="1" w:styleId="af0">
    <w:name w:val="标准正文"/>
    <w:link w:val="af1"/>
    <w:qFormat/>
    <w:pPr>
      <w:spacing w:line="312" w:lineRule="auto"/>
      <w:ind w:firstLineChars="200" w:firstLine="420"/>
      <w:jc w:val="both"/>
    </w:pPr>
    <w:rPr>
      <w:rFonts w:ascii="宋体" w:eastAsia="宋体" w:hAnsi="宋体" w:cs="Times New Roman"/>
      <w:kern w:val="2"/>
      <w:sz w:val="21"/>
      <w:szCs w:val="24"/>
    </w:rPr>
  </w:style>
  <w:style w:type="character" w:customStyle="1" w:styleId="af1">
    <w:name w:val="标准正文 字符"/>
    <w:link w:val="af0"/>
    <w:qFormat/>
    <w:rPr>
      <w:rFonts w:ascii="宋体" w:eastAsia="宋体" w:hAnsi="宋体" w:cs="Times New Roman"/>
      <w:szCs w:val="24"/>
    </w:rPr>
  </w:style>
  <w:style w:type="paragraph" w:customStyle="1" w:styleId="GB">
    <w:name w:val="标准称谓GB"/>
    <w:next w:val="a"/>
    <w:qFormat/>
    <w:pPr>
      <w:widowControl w:val="0"/>
      <w:kinsoku w:val="0"/>
      <w:overflowPunct w:val="0"/>
      <w:autoSpaceDE w:val="0"/>
      <w:autoSpaceDN w:val="0"/>
      <w:spacing w:line="0" w:lineRule="atLeast"/>
      <w:jc w:val="distribute"/>
    </w:pPr>
    <w:rPr>
      <w:rFonts w:ascii="宋体" w:hAnsi="Times New Roman" w:cs="Times New Roman"/>
      <w:b/>
      <w:bCs/>
      <w:w w:val="135"/>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wang gaser</cp:lastModifiedBy>
  <cp:revision>44</cp:revision>
  <dcterms:created xsi:type="dcterms:W3CDTF">2018-10-25T01:32:00Z</dcterms:created>
  <dcterms:modified xsi:type="dcterms:W3CDTF">2022-09-13T07:49:00Z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