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both"/>
        <w:textAlignment w:val="baseline"/>
        <w:rPr>
          <w:rFonts w:ascii="黑体" w:hAnsi="黑体" w:eastAsia="黑体" w:cs="黑体"/>
          <w:sz w:val="21"/>
          <w:szCs w:val="21"/>
          <w:lang w:val="en-US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bidi="ar-SA"/>
        </w:rPr>
        <w:t>ICS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 xml:space="preserve"> 6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5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.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02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0.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2</w:t>
      </w:r>
      <w:r>
        <w:rPr>
          <w:rFonts w:ascii="黑体" w:hAnsi="黑体" w:eastAsia="黑体" w:cs="黑体"/>
          <w:sz w:val="21"/>
          <w:szCs w:val="21"/>
          <w:lang w:val="en-US" w:bidi="ar-SA"/>
        </w:rPr>
        <w:t>0</w:t>
      </w:r>
    </w:p>
    <w:p>
      <w:pPr>
        <w:widowControl/>
        <w:snapToGrid w:val="0"/>
        <w:spacing w:line="288" w:lineRule="auto"/>
        <w:jc w:val="both"/>
        <w:textAlignment w:val="baseline"/>
        <w:rPr>
          <w:rFonts w:hint="default" w:ascii="黑体" w:hAnsi="黑体" w:eastAsia="黑体" w:cs="黑体"/>
          <w:sz w:val="21"/>
          <w:szCs w:val="21"/>
          <w:lang w:val="en-US" w:eastAsia="zh-CN" w:bidi="ar-SA"/>
        </w:rPr>
      </w:pPr>
      <w:r>
        <w:rPr>
          <w:rFonts w:ascii="黑体" w:hAnsi="黑体" w:eastAsia="黑体" w:cs="黑体"/>
          <w:b/>
          <w:bCs/>
          <w:sz w:val="21"/>
          <w:szCs w:val="21"/>
          <w:lang w:val="en-US" w:bidi="ar-SA"/>
        </w:rPr>
        <w:t xml:space="preserve">B 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22</w:t>
      </w:r>
    </w:p>
    <w:p>
      <w:pPr>
        <w:tabs>
          <w:tab w:val="left" w:pos="9680"/>
        </w:tabs>
        <w:snapToGrid w:val="0"/>
        <w:spacing w:line="1930" w:lineRule="exact"/>
        <w:ind w:right="275"/>
        <w:jc w:val="distribute"/>
        <w:textAlignment w:val="baseline"/>
        <w:rPr>
          <w:rFonts w:ascii="黑体" w:eastAsia="黑体"/>
          <w:spacing w:val="-73"/>
          <w:sz w:val="72"/>
          <w:szCs w:val="72"/>
        </w:rPr>
      </w:pPr>
      <w:r>
        <w:rPr>
          <w:rFonts w:hint="eastAsia" w:ascii="黑体" w:eastAsia="黑体"/>
          <w:spacing w:val="-73"/>
          <w:sz w:val="72"/>
          <w:szCs w:val="72"/>
        </w:rPr>
        <w:t>团体标准</w:t>
      </w:r>
    </w:p>
    <w:p>
      <w:pPr>
        <w:snapToGrid w:val="0"/>
        <w:spacing w:before="307"/>
        <w:ind w:right="55"/>
        <w:jc w:val="right"/>
        <w:textAlignment w:val="baseline"/>
        <w:rPr>
          <w:rFonts w:hint="eastAsia" w:ascii="黑体" w:hAnsi="黑体" w:eastAsia="黑体"/>
          <w:b/>
          <w:bCs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lang w:val="en-US"/>
        </w:rPr>
        <w:t xml:space="preserve">  </w:t>
      </w:r>
      <w:r>
        <w:rPr>
          <w:rFonts w:ascii="Times New Roman" w:hAnsi="Times New Roman" w:eastAsia="黑体" w:cs="Times New Roman"/>
          <w:b/>
          <w:bCs/>
          <w:sz w:val="28"/>
          <w:lang w:val="en-US"/>
        </w:rPr>
        <w:t>T/CAI</w:t>
      </w:r>
      <w:r>
        <w:rPr>
          <w:rFonts w:ascii="Times New Roman" w:hAnsi="Times New Roman" w:eastAsia="黑体" w:cs="Times New Roman"/>
          <w:sz w:val="28"/>
          <w:lang w:val="en-US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lang w:val="en-US"/>
        </w:rPr>
        <w:t xml:space="preserve"> xx</w:t>
      </w:r>
      <w:r>
        <w:rPr>
          <w:rFonts w:hint="eastAsia" w:ascii="黑体" w:hAnsi="黑体" w:eastAsia="黑体" w:cs="黑体"/>
          <w:sz w:val="28"/>
          <w:lang w:val="en-US"/>
        </w:rPr>
        <w:t>-202</w:t>
      </w:r>
      <w:r>
        <w:rPr>
          <w:rFonts w:hint="eastAsia" w:ascii="黑体" w:hAnsi="黑体" w:eastAsia="黑体" w:cs="黑体"/>
          <w:sz w:val="28"/>
          <w:lang w:val="en-US" w:eastAsia="zh-CN"/>
        </w:rPr>
        <w:t>2</w:t>
      </w:r>
    </w:p>
    <w:p>
      <w:pPr>
        <w:pStyle w:val="5"/>
        <w:snapToGrid w:val="0"/>
        <w:spacing w:before="2"/>
        <w:textAlignment w:val="baseline"/>
        <w:rPr>
          <w:rFonts w:ascii="黑体"/>
          <w:sz w:val="30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266700</wp:posOffset>
                </wp:positionV>
                <wp:extent cx="6120130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15pt;margin-top:21pt;height:0pt;width:481.9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CO0D9YAAAAKAQAADwAA&#10;AAAAAAABACAAAAAiAAAAZHJzL2Rvd25yZXYueG1sUEsBAhQAFAAAAAgAh07iQErfIjr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napToGrid w:val="0"/>
        <w:spacing w:before="2268" w:after="200"/>
        <w:ind w:left="-6" w:firstLine="6"/>
        <w:jc w:val="center"/>
        <w:textAlignment w:val="baseline"/>
        <w:rPr>
          <w:rFonts w:hint="eastAsia" w:ascii="黑体" w:hAnsi="黑体" w:eastAsia="黑体" w:cs="黑体"/>
          <w:sz w:val="52"/>
          <w:szCs w:val="52"/>
          <w:lang w:val="en-US" w:eastAsia="zh-CN" w:bidi="ar-SA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 w:bidi="ar-SA"/>
        </w:rPr>
        <w:t>稻、麦两熟化学农药减量增效技术规范</w:t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hint="eastAsia" w:ascii="黑体" w:eastAsia="黑体"/>
          <w:sz w:val="40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bidi="ar-SA"/>
        </w:rPr>
        <w:t>Technical specification for reduc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ing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 xml:space="preserve"> and increas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 xml:space="preserve">ing 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 xml:space="preserve">efficiency  of chemical pesticides 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in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 xml:space="preserve"> rice and wheat double cropping</w:t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ascii="黑体" w:eastAsia="黑体"/>
          <w:sz w:val="40"/>
          <w:lang w:val="en-US"/>
        </w:rPr>
      </w:pPr>
      <w:r>
        <w:rPr>
          <w:rFonts w:hint="eastAsia" w:ascii="黑体" w:eastAsia="黑体"/>
          <w:sz w:val="40"/>
          <w:lang w:val="en-US"/>
        </w:rPr>
        <w:t>（</w:t>
      </w:r>
      <w:r>
        <w:rPr>
          <w:rFonts w:hint="eastAsia" w:ascii="黑体" w:eastAsia="黑体"/>
          <w:sz w:val="40"/>
          <w:lang w:val="en-US" w:eastAsia="zh-CN"/>
        </w:rPr>
        <w:t>初</w:t>
      </w:r>
      <w:r>
        <w:rPr>
          <w:rFonts w:hint="eastAsia" w:ascii="黑体" w:eastAsia="黑体"/>
          <w:sz w:val="40"/>
          <w:lang w:val="en-US"/>
        </w:rPr>
        <w:t>稿）</w:t>
      </w: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tabs>
          <w:tab w:val="left" w:pos="7283"/>
        </w:tabs>
        <w:snapToGrid w:val="0"/>
        <w:spacing w:after="59"/>
        <w:ind w:right="55"/>
        <w:jc w:val="both"/>
        <w:textAlignment w:val="baseline"/>
        <w:rPr>
          <w:rFonts w:ascii="黑体" w:eastAsia="黑体"/>
          <w:sz w:val="28"/>
          <w:lang w:val="en-US"/>
        </w:rPr>
      </w:pPr>
      <w:r>
        <w:rPr>
          <w:rFonts w:hint="eastAsia" w:ascii="黑体" w:eastAsia="黑体"/>
          <w:sz w:val="28"/>
          <w:lang w:val="en-US"/>
        </w:rPr>
        <w:t>202</w:t>
      </w:r>
      <w:r>
        <w:rPr>
          <w:rFonts w:hint="eastAsia" w:ascii="黑体" w:eastAsia="黑体"/>
          <w:sz w:val="28"/>
          <w:lang w:val="en-US" w:eastAsia="zh-CN"/>
        </w:rPr>
        <w:t>2</w:t>
      </w:r>
      <w:r>
        <w:rPr>
          <w:rFonts w:hint="eastAsia" w:ascii="黑体" w:eastAsia="黑体"/>
          <w:spacing w:val="-70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  <w:lang w:val="en-US"/>
        </w:rPr>
        <w:t>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z w:val="28"/>
        </w:rPr>
        <w:t>发布</w:t>
      </w:r>
      <w:r>
        <w:rPr>
          <w:rFonts w:hint="eastAsia" w:ascii="黑体" w:eastAsia="黑体"/>
          <w:sz w:val="28"/>
          <w:lang w:val="en-US"/>
        </w:rPr>
        <w:t xml:space="preserve">                              202</w:t>
      </w:r>
      <w:r>
        <w:rPr>
          <w:rFonts w:hint="eastAsia" w:ascii="黑体" w:eastAsia="黑体"/>
          <w:sz w:val="28"/>
          <w:lang w:val="en-US" w:eastAsia="zh-CN"/>
        </w:rPr>
        <w:t>2</w:t>
      </w:r>
      <w:r>
        <w:rPr>
          <w:rFonts w:hint="eastAsia" w:ascii="黑体" w:eastAsia="黑体"/>
          <w:sz w:val="28"/>
          <w:lang w:val="en-US"/>
        </w:rPr>
        <w:t xml:space="preserve"> 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pacing w:val="-72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</w:rPr>
        <w:t>实施</w:t>
      </w:r>
    </w:p>
    <w:p>
      <w:pPr>
        <w:pStyle w:val="5"/>
        <w:snapToGrid w:val="0"/>
        <w:spacing w:line="20" w:lineRule="exact"/>
        <w:ind w:left="-80"/>
        <w:textAlignment w:val="baseline"/>
        <w:rPr>
          <w:rFonts w:ascii="黑体"/>
          <w:sz w:val="24"/>
        </w:rPr>
      </w:pPr>
      <w:r>
        <w:rPr>
          <w:rFonts w:ascii="黑体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795645" cy="76200"/>
                <wp:effectExtent l="0" t="0" r="0" b="0"/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645" cy="76200"/>
                          <a:chOff x="0" y="0"/>
                          <a:chExt cx="9638" cy="15"/>
                        </a:xfrm>
                      </wpg:grpSpPr>
                      <wps:wsp>
                        <wps:cNvPr id="5" name="直线 5"/>
                        <wps:cNvCnPr/>
                        <wps:spPr>
                          <a:xfrm>
                            <a:off x="0" y="8"/>
                            <a:ext cx="96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6pt;width:456.35pt;" coordsize="9638,15" o:gfxdata="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hN0kTVAAAABAEAAA8AAAAAAAAAAQAgAAAA&#10;IgAAAGRycy9kb3ducmV2LnhtbFBLAQIUABQAAAAIAIdO4kD3gf0aRwIAAPMEAAAOAAAAAAAAAAEA&#10;IAAAACQBAABkcnMvZTJvRG9jLnhtbFBLBQYAAAAABgAGAFkBAADdBQAAAAA=&#10;">
                <o:lock v:ext="edit" aspectratio="f"/>
                <v:line id="直线 5" o:spid="_x0000_s1026" o:spt="20" style="position:absolute;left:0;top:8;height:0;width:9638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</w:p>
    <w:p>
      <w:pPr>
        <w:pStyle w:val="5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中国农业国际合作促进会    发  布</w:t>
      </w:r>
    </w:p>
    <w:p>
      <w:pPr>
        <w:snapToGrid w:val="0"/>
        <w:textAlignment w:val="baseline"/>
        <w:rPr>
          <w:rFonts w:ascii="黑体" w:eastAsia="黑体"/>
          <w:sz w:val="28"/>
        </w:rPr>
        <w:sectPr>
          <w:headerReference r:id="rId3" w:type="default"/>
          <w:headerReference r:id="rId4" w:type="even"/>
          <w:type w:val="continuous"/>
          <w:pgSz w:w="11910" w:h="16840"/>
          <w:pgMar w:top="1134" w:right="1134" w:bottom="1134" w:left="1701" w:header="1228" w:footer="720" w:gutter="0"/>
          <w:cols w:space="720" w:num="1"/>
        </w:sectPr>
      </w:pPr>
    </w:p>
    <w:p>
      <w:pPr>
        <w:pStyle w:val="3"/>
        <w:tabs>
          <w:tab w:val="left" w:pos="638"/>
        </w:tabs>
        <w:snapToGrid w:val="0"/>
        <w:spacing w:before="850" w:after="680"/>
        <w:ind w:right="731"/>
        <w:jc w:val="center"/>
        <w:textAlignment w:val="baseline"/>
      </w:pPr>
      <w:r>
        <w:t>前</w:t>
      </w:r>
      <w:r>
        <w:tab/>
      </w:r>
      <w:r>
        <w:t>言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highlight w:val="none"/>
          <w:lang w:val="en-US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本文件按照GB/T 1.1—2020《标准化工作导则  第1部分：标准化文件的结构和起草规则》的规定起草。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请注意本文件的某些内容可能涉及专利。本文件的发布机构不承担识别专利的责任。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  <w:highlight w:val="none"/>
        </w:rPr>
      </w:pPr>
      <w:r>
        <w:rPr>
          <w:rFonts w:hint="eastAsia"/>
          <w:highlight w:val="none"/>
        </w:rPr>
        <w:t>本文件由兴化市广盛粮食专业合作社提出。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  <w:highlight w:val="none"/>
          <w:lang w:val="en-US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val="en-US"/>
        </w:rPr>
        <w:t>文件</w:t>
      </w:r>
      <w:r>
        <w:rPr>
          <w:rFonts w:hint="eastAsia"/>
          <w:highlight w:val="none"/>
        </w:rPr>
        <w:t>由中国农业国际合作促进会归口。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  <w:highlight w:val="none"/>
        </w:rPr>
      </w:pPr>
      <w:r>
        <w:rPr>
          <w:rFonts w:hint="eastAsia"/>
          <w:highlight w:val="none"/>
        </w:rPr>
        <w:t>本文件起草单位：兴化市广盛粮食专业合作社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sectPr>
          <w:headerReference r:id="rId5" w:type="default"/>
          <w:footerReference r:id="rId6" w:type="default"/>
          <w:footerReference r:id="rId7" w:type="even"/>
          <w:pgSz w:w="11910" w:h="16840"/>
          <w:pgMar w:top="1134" w:right="1134" w:bottom="1134" w:left="1701" w:header="1077" w:footer="907" w:gutter="0"/>
          <w:pgNumType w:start="1"/>
          <w:cols w:space="720" w:num="1"/>
        </w:sectPr>
      </w:pPr>
      <w:r>
        <w:rPr>
          <w:rFonts w:hint="eastAsia"/>
          <w:highlight w:val="none"/>
        </w:rPr>
        <w:t xml:space="preserve">本文件主要起草人：     </w:t>
      </w:r>
      <w:r>
        <w:rPr>
          <w:rFonts w:hint="eastAsia"/>
        </w:rPr>
        <w:t xml:space="preserve">         </w:t>
      </w:r>
    </w:p>
    <w:p>
      <w:pPr>
        <w:pStyle w:val="3"/>
        <w:snapToGrid w:val="0"/>
        <w:spacing w:before="468" w:after="468"/>
        <w:ind w:left="283" w:right="215"/>
        <w:jc w:val="center"/>
        <w:textAlignment w:val="baseline"/>
        <w:rPr>
          <w:lang w:val="en-US" w:bidi="en-US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 w:bidi="en-US"/>
        </w:rPr>
        <w:t>稻、麦两熟化学农药减量增效技术规范</w:t>
      </w:r>
    </w:p>
    <w:p>
      <w:pPr>
        <w:pStyle w:val="3"/>
        <w:keepNext w:val="0"/>
        <w:keepLines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范围</w:t>
      </w:r>
    </w:p>
    <w:p>
      <w:pPr>
        <w:pStyle w:val="5"/>
        <w:snapToGrid w:val="0"/>
        <w:spacing w:before="7"/>
        <w:ind w:right="495" w:firstLine="558" w:firstLineChars="300"/>
        <w:textAlignment w:val="baseline"/>
        <w:rPr>
          <w:spacing w:val="-12"/>
          <w:lang w:val="en-US"/>
        </w:rPr>
      </w:pPr>
      <w:r>
        <w:rPr>
          <w:rFonts w:hint="eastAsia"/>
          <w:spacing w:val="-12"/>
          <w:lang w:val="en-US"/>
        </w:rPr>
        <w:t>本文件规定了稻、麦两熟化学农药减量增效技术的术语和定义、</w:t>
      </w:r>
      <w:r>
        <w:rPr>
          <w:rFonts w:hint="eastAsia"/>
          <w:spacing w:val="-12"/>
          <w:lang w:val="en-US" w:eastAsia="zh-CN"/>
        </w:rPr>
        <w:t>产地环境</w:t>
      </w:r>
      <w:r>
        <w:rPr>
          <w:rFonts w:hint="eastAsia"/>
          <w:spacing w:val="-12"/>
          <w:lang w:val="en-US"/>
        </w:rPr>
        <w:t>、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品种</w:t>
      </w:r>
      <w:r>
        <w:rPr>
          <w:rFonts w:hint="eastAsia"/>
          <w:spacing w:val="-12"/>
          <w:lang w:val="en-US"/>
        </w:rPr>
        <w:t>、</w:t>
      </w:r>
      <w:r>
        <w:rPr>
          <w:rFonts w:hint="eastAsia"/>
          <w:spacing w:val="-12"/>
          <w:lang w:val="en-US" w:eastAsia="zh-CN"/>
        </w:rPr>
        <w:t>种植管理、病虫害防治和收获贮藏要求、档案记录</w:t>
      </w:r>
      <w:r>
        <w:rPr>
          <w:rFonts w:hint="eastAsia"/>
          <w:spacing w:val="-12"/>
          <w:lang w:val="en-US"/>
        </w:rPr>
        <w:t>。</w:t>
      </w:r>
    </w:p>
    <w:p>
      <w:pPr>
        <w:pStyle w:val="5"/>
        <w:snapToGrid w:val="0"/>
        <w:spacing w:before="7"/>
        <w:ind w:right="495" w:firstLine="558" w:firstLineChars="300"/>
        <w:textAlignment w:val="baseline"/>
        <w:rPr>
          <w:spacing w:val="-7"/>
        </w:rPr>
      </w:pPr>
      <w:r>
        <w:rPr>
          <w:rFonts w:hint="eastAsia"/>
          <w:spacing w:val="-12"/>
          <w:lang w:val="en-US"/>
        </w:rPr>
        <w:t>本文件适用于</w:t>
      </w:r>
      <w:r>
        <w:rPr>
          <w:rFonts w:hint="eastAsia"/>
          <w:spacing w:val="-12"/>
          <w:lang w:val="en-US" w:eastAsia="zh-CN"/>
        </w:rPr>
        <w:t>江苏省兴化市区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域范围内</w:t>
      </w:r>
      <w:r>
        <w:rPr>
          <w:rFonts w:hint="eastAsia"/>
          <w:spacing w:val="-12"/>
          <w:lang w:val="en-US"/>
        </w:rPr>
        <w:t>稻、麦</w:t>
      </w:r>
      <w:r>
        <w:rPr>
          <w:rFonts w:hint="eastAsia"/>
          <w:spacing w:val="-12"/>
          <w:lang w:val="en-US" w:eastAsia="zh-CN"/>
        </w:rPr>
        <w:t>的栽培和生产</w:t>
      </w:r>
      <w:r>
        <w:rPr>
          <w:rFonts w:hint="eastAsia"/>
          <w:spacing w:val="-12"/>
          <w:lang w:val="en-US"/>
        </w:rPr>
        <w:t>。</w:t>
      </w:r>
    </w:p>
    <w:p>
      <w:pPr>
        <w:pStyle w:val="3"/>
        <w:keepNext w:val="0"/>
        <w:keepLines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0" w:after="0" w:afterLines="100"/>
        <w:ind w:left="283" w:hanging="283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规范性引用文件</w:t>
      </w:r>
    </w:p>
    <w:p>
      <w:pPr>
        <w:pStyle w:val="5"/>
        <w:snapToGrid w:val="0"/>
        <w:spacing w:before="1" w:line="278" w:lineRule="auto"/>
        <w:ind w:left="138" w:firstLine="420"/>
        <w:textAlignment w:val="baseline"/>
        <w:rPr>
          <w:color w:val="000000"/>
          <w:spacing w:val="-3"/>
        </w:rPr>
      </w:pPr>
      <w:r>
        <w:rPr>
          <w:color w:val="000000"/>
          <w:spacing w:val="-13"/>
        </w:rPr>
        <w:t>下列文件</w:t>
      </w:r>
      <w:r>
        <w:rPr>
          <w:rFonts w:hint="eastAsia"/>
          <w:color w:val="000000"/>
          <w:spacing w:val="-13"/>
        </w:rPr>
        <w:t>的内容通过文字的规范性引用而构成本文件必不可少的条款。其中，注日期的引用文件，仅该日期对应的版本适用于本文件；不注日期的引用文件，其最新版本</w:t>
      </w:r>
      <w:r>
        <w:rPr>
          <w:color w:val="000000"/>
          <w:spacing w:val="-3"/>
        </w:rPr>
        <w:t>（包括所有的修改单）适用于本文件。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GB1350 稻谷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GB4404.1  粮食作物种子第1部分禾谷类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 5084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农田灌溉水质标准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>GB/T8321（所有部分）农药合理使用准则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>GB15618  土壤环境质量 农用地土壤污染风险管控标准（试行）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>GB/T 17320  小麦品种品质分类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>NY/T496  肥料合理使用准则  通则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>NY/T1534  水稻工厂化育秧技术规程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>NY/T1922  机插育秧技术规程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>DB32/T4136  水稻机插缓混一次施肥技术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术语和定义</w:t>
      </w:r>
    </w:p>
    <w:p>
      <w:pPr>
        <w:pStyle w:val="23"/>
        <w:widowControl w:val="0"/>
        <w:ind w:firstLine="420"/>
        <w:rPr>
          <w:rFonts w:ascii="Times New Roman" w:hAnsi="Times New Roman" w:cs="Times New Roman"/>
          <w:sz w:val="21"/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下列术语和定义适用于本文件。</w:t>
      </w:r>
    </w:p>
    <w:p>
      <w:pPr>
        <w:pStyle w:val="3"/>
        <w:keepNext w:val="0"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/>
        <w:ind w:left="567" w:leftChars="0" w:hanging="567" w:firstLineChars="0"/>
        <w:textAlignment w:val="baseline"/>
        <w:rPr>
          <w:rFonts w:hint="eastAsia" w:ascii="黑体" w:hAnsi="黑体" w:eastAsia="黑体" w:cs="黑体"/>
          <w:kern w:val="44"/>
          <w:sz w:val="21"/>
          <w:szCs w:val="22"/>
          <w:lang w:val="en-US" w:bidi="ar-SA"/>
        </w:rPr>
      </w:pPr>
    </w:p>
    <w:p>
      <w:pPr>
        <w:pStyle w:val="3"/>
        <w:keepNext w:val="0"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/>
        <w:ind w:leftChars="0" w:firstLine="420" w:firstLineChars="200"/>
        <w:textAlignment w:val="baseline"/>
        <w:rPr>
          <w:rFonts w:hint="eastAsia" w:ascii="黑体" w:hAnsi="黑体" w:eastAsia="黑体" w:cs="黑体"/>
          <w:kern w:val="44"/>
          <w:sz w:val="21"/>
          <w:szCs w:val="22"/>
          <w:lang w:val="en-US" w:bidi="ar-SA"/>
        </w:rPr>
      </w:pPr>
      <w:r>
        <w:rPr>
          <w:rFonts w:hint="eastAsia" w:ascii="黑体" w:hAnsi="黑体" w:eastAsia="黑体" w:cs="黑体"/>
          <w:kern w:val="44"/>
          <w:sz w:val="21"/>
          <w:szCs w:val="22"/>
          <w:lang w:val="en-US" w:eastAsia="zh-CN" w:bidi="ar-SA"/>
        </w:rPr>
        <w:t>优质强（中强）筋小麦品种 high quality strong（med-stromg）gluten wheat varieties</w:t>
      </w:r>
    </w:p>
    <w:p>
      <w:pPr>
        <w:pStyle w:val="23"/>
        <w:ind w:firstLine="420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小麦品质指标符合GB/T17320规定的强筋或中强筋小麦品种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/>
        <w:ind w:left="567" w:leftChars="0" w:hanging="567" w:firstLineChars="0"/>
        <w:textAlignment w:val="baseline"/>
        <w:rPr>
          <w:rFonts w:hint="eastAsia" w:ascii="黑体" w:hAnsi="黑体" w:eastAsia="黑体" w:cs="黑体"/>
          <w:kern w:val="44"/>
          <w:sz w:val="21"/>
          <w:szCs w:val="22"/>
          <w:lang w:val="en-US" w:eastAsia="zh-CN" w:bidi="ar-SA"/>
        </w:rPr>
      </w:pPr>
    </w:p>
    <w:p>
      <w:pPr>
        <w:pStyle w:val="3"/>
        <w:keepNext w:val="0"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/>
        <w:ind w:leftChars="0" w:firstLine="420" w:firstLineChars="200"/>
        <w:textAlignment w:val="baseline"/>
        <w:rPr>
          <w:rFonts w:hint="eastAsia" w:ascii="黑体" w:hAnsi="黑体" w:eastAsia="黑体" w:cs="黑体"/>
          <w:kern w:val="44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kern w:val="44"/>
          <w:sz w:val="21"/>
          <w:szCs w:val="22"/>
          <w:lang w:val="en-US" w:eastAsia="zh-CN" w:bidi="ar-SA"/>
        </w:rPr>
        <w:t>粳稻  japonica rice</w:t>
      </w:r>
    </w:p>
    <w:p>
      <w:pPr>
        <w:pStyle w:val="23"/>
        <w:widowControl w:val="0"/>
        <w:ind w:firstLine="420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禾本科、稻属、水稻种、粳亚种 （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Oryza sativa subsp.Keng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）的水稻作物</w:t>
      </w:r>
      <w:r>
        <w:rPr>
          <w:rFonts w:hint="default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0" w:beforeLines="100" w:after="0" w:afterLines="100"/>
        <w:ind w:left="283" w:hanging="283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产地环境</w:t>
      </w:r>
    </w:p>
    <w:p>
      <w:pPr>
        <w:pStyle w:val="23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产地的土壤环境应符合GB15618的规定，农田灌溉水质应符合GB5084的规定，选择土壤肥力水平中上、地势平坦、排灌方便的地块</w:t>
      </w: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品种选择</w:t>
      </w:r>
    </w:p>
    <w:p>
      <w:pPr>
        <w:pStyle w:val="23"/>
        <w:widowControl w:val="0"/>
        <w:ind w:firstLine="42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小麦选择春性中熟类型、籽粒品质符合GB/T17320的优质强（中强）筋小麦品种</w:t>
      </w:r>
      <w:r>
        <w:rPr>
          <w:rFonts w:hint="eastAsia" w:ascii="Times New Roman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如镇麦10 号、镇麦12号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。水稻选择早（中）熟晚粳类型、谷粒品质符合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GB1350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稻谷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品种</w:t>
      </w:r>
      <w:r>
        <w:rPr>
          <w:rFonts w:hint="eastAsia" w:ascii="Times New Roman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如苏香粳100、常香粳1813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肥料、农药使用要求</w:t>
      </w:r>
    </w:p>
    <w:p>
      <w:pPr>
        <w:pStyle w:val="23"/>
        <w:widowControl w:val="0"/>
        <w:ind w:firstLine="42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肥料、农药合理使用按GB/T8321（所有部分）、NY/T496要求执行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312" w:after="312"/>
        <w:ind w:left="283" w:leftChars="0" w:hanging="283" w:firstLineChars="0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籽粒产量和群体质量指标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产量及产量结构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textAlignment w:val="baseline"/>
        <w:rPr>
          <w:rFonts w:hint="eastAsia"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</w:rPr>
        <w:t>小麦</w:t>
      </w:r>
    </w:p>
    <w:p>
      <w:pPr>
        <w:pStyle w:val="23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亩产量380kg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450kg，产量结构为每亩穗数24万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28万，每穗36粒以上，千粒重43g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50g。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水稻</w:t>
      </w:r>
    </w:p>
    <w:p>
      <w:pPr>
        <w:pStyle w:val="3"/>
        <w:keepLines/>
        <w:widowControl/>
        <w:numPr>
          <w:ilvl w:val="-1"/>
          <w:numId w:val="0"/>
        </w:numPr>
        <w:snapToGrid w:val="0"/>
        <w:spacing w:before="0" w:line="288" w:lineRule="auto"/>
        <w:ind w:left="0" w:firstLine="420" w:firstLineChars="200"/>
        <w:textAlignment w:val="baseline"/>
        <w:rPr>
          <w:rFonts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亩产量620kg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Times New Roman" w:hAnsi="Times New Roman" w:eastAsia="宋体" w:cs="Times New Roman"/>
          <w:sz w:val="21"/>
        </w:rPr>
        <w:t>650kg，每亩穗数20万左右，每穗实粒数125粒以上，千粒重25g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Times New Roman" w:hAnsi="Times New Roman" w:eastAsia="宋体" w:cs="Times New Roman"/>
          <w:sz w:val="21"/>
        </w:rPr>
        <w:t>28g</w:t>
      </w:r>
      <w:r>
        <w:rPr>
          <w:rFonts w:ascii="Times New Roman" w:hAnsi="Times New Roman" w:eastAsia="宋体" w:cs="Times New Roman"/>
          <w:sz w:val="21"/>
        </w:rPr>
        <w:t>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hanging="567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群体质量指标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小麦</w:t>
      </w:r>
    </w:p>
    <w:p>
      <w:pPr>
        <w:pStyle w:val="3"/>
        <w:keepLines/>
        <w:widowControl/>
        <w:numPr>
          <w:ilvl w:val="-1"/>
          <w:numId w:val="0"/>
        </w:numPr>
        <w:snapToGrid w:val="0"/>
        <w:spacing w:before="312" w:after="312"/>
        <w:ind w:left="0" w:firstLine="420" w:firstLineChars="200"/>
        <w:textAlignment w:val="baseline"/>
        <w:rPr>
          <w:rFonts w:hint="eastAsia" w:ascii="Times New Roman" w:hAnsi="Times New Roman" w:eastAsia="宋体" w:cs="Times New Roman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>适期播种，每亩基本苗18万左右；小麦越冬期（12月22日左右）主茎叶龄4.0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eastAsia="zh-CN"/>
        </w:rPr>
        <w:t>叶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~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>4.5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>叶，群体茎蘖数每亩40万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>50万；返青期（2月25日左右）主茎叶齿6.0叶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>7.0叶，群体茎瓣数每亩50万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>60万拔节期（2月底至3月初）主茎叶齿10.0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>叶左右，群体茎蘖数每亩40万~50万；抽穗扬花期（4月上旬）主茎叶龄12.0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>叶左右，群体茎蘖数（穗数）24万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>28万；成熟收获期5月25日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>5月31日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eastAsia="zh-CN"/>
        </w:rPr>
        <w:t>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水稻</w:t>
      </w:r>
    </w:p>
    <w:p>
      <w:pPr>
        <w:pStyle w:val="3"/>
        <w:keepLines/>
        <w:widowControl/>
        <w:numPr>
          <w:ilvl w:val="-1"/>
          <w:numId w:val="0"/>
        </w:numPr>
        <w:snapToGrid w:val="0"/>
        <w:spacing w:before="0" w:line="288" w:lineRule="auto"/>
        <w:ind w:left="0" w:firstLine="420" w:firstLineChars="200"/>
        <w:jc w:val="both"/>
        <w:textAlignment w:val="baseline"/>
        <w:rPr>
          <w:rFonts w:hint="eastAsia" w:ascii="Times New Roman" w:hAnsi="Times New Roman" w:eastAsia="宋体" w:cs="Times New Roman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lang w:val="en-US" w:eastAsia="zh-CN"/>
        </w:rPr>
        <w:t>适龄移栽，亩栽基本苗6万~8万；7月15日~7月20日，水稻处于有效分蘖临界叶龄期（主茎叶龄9 叶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10叶期），</w:t>
      </w:r>
      <w:r>
        <w:rPr>
          <w:rFonts w:hint="eastAsia" w:ascii="Times New Roman" w:hAnsi="Times New Roman" w:eastAsia="宋体" w:cs="Times New Roman"/>
          <w:sz w:val="21"/>
          <w:highlight w:val="none"/>
          <w:lang w:val="en-US" w:eastAsia="zh-CN"/>
        </w:rPr>
        <w:t>每亩田间茎蘖苗数达穗数；7月底至8月初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，水稻进入拔节期（主茎叶参12叶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13叶），田间总茎蘖苗数（高峰苗）控制在每亩30万以内；8月底至9月初进入抽穗扬花期，总茎蘖数（成穗数）</w:t>
      </w:r>
      <w:r>
        <w:rPr>
          <w:rFonts w:hint="eastAsia" w:ascii="Times New Roman" w:hAnsi="Times New Roman" w:eastAsia="宋体" w:cs="Times New Roman"/>
          <w:sz w:val="21"/>
          <w:highlight w:val="none"/>
          <w:lang w:val="en-US" w:eastAsia="zh-CN"/>
        </w:rPr>
        <w:t>每亩20万左右；10月25日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Times New Roman" w:hAnsi="Times New Roman" w:eastAsia="宋体" w:cs="Times New Roman"/>
          <w:sz w:val="21"/>
          <w:highlight w:val="none"/>
          <w:lang w:val="en-US" w:eastAsia="zh-CN"/>
        </w:rPr>
        <w:t>11月5日成熟收获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312" w:after="312"/>
        <w:ind w:left="283" w:leftChars="0" w:hanging="283" w:firstLineChars="0"/>
        <w:textAlignment w:val="baseline"/>
        <w:rPr>
          <w:rFonts w:hint="default" w:ascii="Times New Roman" w:hAnsi="Times New Roman" w:cs="Times New Roman"/>
          <w:sz w:val="21"/>
          <w:lang w:val="en-US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小麦栽培管理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播前准备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种子准备</w:t>
      </w:r>
    </w:p>
    <w:p>
      <w:pPr>
        <w:pStyle w:val="23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种子质量符合GB4404.1，测定种子的发芽率、千粒重与田间出苗率，计算播种量。播前晒种1d~2 d，可采用药剂拌种防治小麦腥黑穗病 </w:t>
      </w: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整地</w:t>
      </w:r>
    </w:p>
    <w:p>
      <w:pPr>
        <w:pStyle w:val="23"/>
        <w:widowControl w:val="0"/>
        <w:ind w:firstLine="420"/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提倡秸秆全量还田，采用型号在750以上的大型拖拉机带动的反转灭茬机进行反转灭茬，耕深在25 cm左右，耕地后及时耙田，做到耙透、耙平、耙实，消灭明暗坷垃，达到上松下实。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播种</w:t>
      </w:r>
    </w:p>
    <w:p>
      <w:pPr>
        <w:pStyle w:val="23"/>
        <w:widowControl w:val="0"/>
        <w:ind w:firstLine="420"/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播种期以11月1日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11月20日为宜，播量控制基本苗18万左右，采用为机条（撒）播，播深2cm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-3 cm，深浅一致，出苗均匀，苗量合理。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开沟</w:t>
      </w:r>
    </w:p>
    <w:p>
      <w:pPr>
        <w:pStyle w:val="23"/>
        <w:widowControl w:val="0"/>
        <w:ind w:firstLine="420"/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内外三沟配套，确保灌得讲、排得出、降得下，排水通畅，雨止田干。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施肥</w:t>
      </w:r>
    </w:p>
    <w:p>
      <w:pPr>
        <w:pStyle w:val="23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采用“氮肥适当后移”的施肥原则</w:t>
      </w: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肥料用量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260" w:line="307" w:lineRule="exact"/>
        <w:ind w:left="0" w:right="0" w:firstLine="420"/>
        <w:jc w:val="both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纯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16kg~18kg/667㎡；P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 xml:space="preserve"> 8kg~10kg/667㎡； K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 xml:space="preserve">O 8kg~10kg/667㎡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比例为N：P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∶K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O=1∶0.6∶0.6</w:t>
      </w:r>
      <w:r>
        <w:rPr>
          <w:rFonts w:hint="eastAsia" w:ascii="Times New Roman" w:hAnsi="Times New Roman" w:cs="Times New Roman"/>
          <w:color w:val="000000" w:themeColor="text1"/>
          <w:spacing w:val="0"/>
          <w:w w:val="100"/>
          <w:positio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highlight w:val="none"/>
          <w:lang w:val="en-US" w:eastAsia="zh-CN"/>
        </w:rPr>
        <w:t>施肥比例</w:t>
      </w:r>
    </w:p>
    <w:p>
      <w:pPr>
        <w:pStyle w:val="23"/>
        <w:widowControl w:val="0"/>
        <w:ind w:firstLine="420"/>
        <w:rPr>
          <w:rFonts w:hint="eastAsia" w:ascii="Times New Roman" w:hAnsi="Times New Roman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氮肥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施肥比例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为基肥：壮蘖肥：拔节肥：孕穗肥=4：1：3：2；磷、钾肥基肥与追肥的比例为6∶4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highlight w:val="none"/>
          <w:lang w:val="en-US" w:eastAsia="zh-CN"/>
        </w:rPr>
        <w:t>施肥方法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highlight w:val="none"/>
          <w:lang w:val="en-US" w:eastAsia="zh-CN"/>
        </w:rPr>
        <w:t>基肥</w:t>
      </w:r>
    </w:p>
    <w:p>
      <w:pPr>
        <w:pStyle w:val="23"/>
        <w:widowControl w:val="0"/>
        <w:ind w:firstLine="420"/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667㎡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施有机肥500kg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1000kg、小麦专用配方复合肥30kg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35kg，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要求施撒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均匀，耕翻地下。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highlight w:val="none"/>
          <w:lang w:val="en-US" w:eastAsia="zh-CN"/>
        </w:rPr>
        <w:t>壮蘖肥</w:t>
      </w:r>
    </w:p>
    <w:p>
      <w:pPr>
        <w:pStyle w:val="23"/>
        <w:widowControl w:val="0"/>
        <w:ind w:firstLine="420"/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于11月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下旬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左右施入，施尿素5kg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/667㎡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；拔节肥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，在小麦基部第一节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间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定长，主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茎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叶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龄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数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约2.5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叶时，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每667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 xml:space="preserve">㎡ 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施用小麦专用配方复合肥30kg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配合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尿素5kg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highlight w:val="none"/>
          <w:lang w:val="en-US" w:eastAsia="zh-CN"/>
        </w:rPr>
        <w:t>孕穗肥</w:t>
      </w:r>
    </w:p>
    <w:p>
      <w:pPr>
        <w:pStyle w:val="23"/>
        <w:widowControl w:val="0"/>
        <w:ind w:firstLine="420"/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在小麦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主茎叶龄余数为0.5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叶~1.0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叶时，施尿素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5kg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/667㎡。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highlight w:val="none"/>
          <w:lang w:val="en-US" w:eastAsia="zh-CN"/>
        </w:rPr>
        <w:t>叶面喷肥</w:t>
      </w:r>
    </w:p>
    <w:p>
      <w:pPr>
        <w:pStyle w:val="23"/>
        <w:widowControl w:val="0"/>
        <w:ind w:firstLine="420"/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小麦灌浆期叶面喷施0.2%~0.3%磷酸二氢钾+1%尿素，延长小麦功能叶光合高值持续期，提高小麦抗干热风的能力，防止早衰。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灌排水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灌水</w:t>
      </w:r>
    </w:p>
    <w:p>
      <w:pPr>
        <w:pStyle w:val="23"/>
        <w:widowControl w:val="0"/>
        <w:ind w:firstLine="420"/>
        <w:rPr>
          <w:rFonts w:hint="default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齐苗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水，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播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后1d~2d，田间含水量低于60%应进行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窨灌；越冬水，底墒不足或秋冬干早时应进行窨灌，弱苗早灌，旺苗迟灌；拔节孕穗水，结合拔节孕穗肥的施用，在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月中旬灌好拔节孕穗水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 xml:space="preserve">排水 </w:t>
      </w:r>
    </w:p>
    <w:p>
      <w:pPr>
        <w:pStyle w:val="23"/>
        <w:widowControl w:val="0"/>
        <w:ind w:firstLine="420"/>
        <w:rPr>
          <w:rFonts w:hint="default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冬春注意清沟理墒，雍根培土，保持沟系畅通无阻，并做好镇压工作，达到排水顺畅，雨止田干。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病虫害防治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防治原则</w:t>
      </w:r>
    </w:p>
    <w:p>
      <w:pPr>
        <w:pStyle w:val="23"/>
        <w:widowControl w:val="0"/>
        <w:ind w:firstLine="420"/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按照“预防为主，综合防治”的原则，做好科学测报、精准施药，实施</w:t>
      </w:r>
      <w:r>
        <w:rPr>
          <w:rFonts w:hint="eastAsia" w:asci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农业防治、物理防治、生物 防治、化学防治</w:t>
      </w:r>
      <w:r>
        <w:rPr>
          <w:rFonts w:hint="eastAsia" w:asci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相结合。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化学除草</w:t>
      </w:r>
    </w:p>
    <w:p>
      <w:pPr>
        <w:pStyle w:val="23"/>
        <w:widowControl w:val="0"/>
        <w:ind w:firstLine="420"/>
        <w:rPr>
          <w:rFonts w:hint="eastAsia" w:ascii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化学除草应根据草相、草龄、墒情等适期使用对路药剂，重点抓好冬前化除，早春根据草情做好春季化除。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病虫害防治</w:t>
      </w:r>
    </w:p>
    <w:p>
      <w:pPr>
        <w:pStyle w:val="23"/>
        <w:widowControl w:val="0"/>
        <w:ind w:firstLine="420"/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根据田间病虫发生的特点，选准对口药剂，适时适量防治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落实好专业化统防统治，做好“一喷三防”。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收获贮藏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收获</w:t>
      </w:r>
    </w:p>
    <w:p>
      <w:pPr>
        <w:pStyle w:val="23"/>
        <w:widowControl w:val="0"/>
        <w:ind w:firstLine="420"/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小麦蜡熟末期及时收割脱粒。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贮藏</w:t>
      </w:r>
    </w:p>
    <w:p>
      <w:pPr>
        <w:pStyle w:val="23"/>
        <w:widowControl w:val="0"/>
        <w:ind w:firstLine="420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脱粒后及时烘干或晾晒，保证籽粒水分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≤12.5%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进仓，贮藏于通风干燥处。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312" w:after="312"/>
        <w:ind w:left="283" w:leftChars="0" w:hanging="283" w:firstLineChars="0"/>
        <w:textAlignment w:val="baseline"/>
        <w:rPr>
          <w:rFonts w:hint="default" w:ascii="Times New Roman" w:hAnsi="Times New Roman" w:cs="Times New Roman"/>
          <w:sz w:val="21"/>
          <w:lang w:val="en-US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水稻栽培管理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播前准备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 xml:space="preserve"> 种子准备 </w:t>
      </w:r>
    </w:p>
    <w:p>
      <w:pPr>
        <w:pStyle w:val="23"/>
        <w:widowControl w:val="0"/>
        <w:ind w:firstLine="420"/>
        <w:rPr>
          <w:rFonts w:hint="eastAsia" w:ascii="Times New Roman" w:hAnsi="Times New Roman" w:eastAsia="黑体" w:cs="Times New Roman"/>
          <w:sz w:val="21"/>
          <w:szCs w:val="32"/>
          <w:lang w:val="en-US" w:eastAsia="zh-CN" w:bidi="zh-CN"/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选择商品良种，种子质量符合GB4404.1的要求，播前晒种1d~2d，再浸种催芽，做好药剂浸种。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育秧</w:t>
      </w:r>
    </w:p>
    <w:p>
      <w:pPr>
        <w:pStyle w:val="23"/>
        <w:widowControl w:val="0"/>
        <w:ind w:firstLine="420"/>
        <w:rPr>
          <w:rFonts w:hint="eastAsia"/>
          <w:lang w:val="en-US" w:eastAsia="zh-CN"/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毯苗机插秧5月10日~30日育秧，播量每亩大田4.0kg，秧龄18d。推广基质育秧，每亩用秧盘25张， 秧大田比1:100，每盘用干种100g或湿种145g。水稻秧田管理：塑盘育秧应符合NY/T 1922的要求、工厂 化育秧应符合NY/T 1534的要求，宜硬地硬盘育秧。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栽插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时间</w:t>
      </w:r>
    </w:p>
    <w:p>
      <w:pPr>
        <w:pStyle w:val="23"/>
        <w:widowControl w:val="0"/>
        <w:ind w:firstLine="420"/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适宜栽插期在6月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上旬至中旬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密度</w:t>
      </w:r>
    </w:p>
    <w:p>
      <w:pPr>
        <w:pStyle w:val="23"/>
        <w:widowControl w:val="0"/>
        <w:ind w:firstLine="420"/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栽基本苗6~8万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/667㎡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，栽插时要调整送秧器，保证栽插深浅一致，深度适宜，栽后及时查漏补缺，保证匀苗。 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施肥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施肥原则</w:t>
      </w:r>
    </w:p>
    <w:p>
      <w:pPr>
        <w:pStyle w:val="23"/>
        <w:widowControl w:val="0"/>
        <w:ind w:firstLine="420"/>
        <w:rPr>
          <w:rFonts w:hint="eastAsia"/>
          <w:lang w:val="en-US" w:eastAsia="zh-CN"/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采用“前重、中控、后补”的施肥原则。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肥料用量</w:t>
      </w:r>
    </w:p>
    <w:p>
      <w:pPr>
        <w:pStyle w:val="23"/>
        <w:widowControl w:val="0"/>
        <w:ind w:firstLine="420"/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纯N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18kg/667㎡；P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8kg~10kg/667㎡；K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O 8kg/667㎡。 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施肥比例</w:t>
      </w:r>
    </w:p>
    <w:p>
      <w:pPr>
        <w:pStyle w:val="23"/>
        <w:widowControl w:val="0"/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氮肥，基蘖肥和穗肥之比为7:3。 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施肥方法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基肥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采用全层施肥法，耙前施商品有机肥300kg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lang w:val="en-US" w:eastAsia="zh-CN"/>
        </w:rPr>
        <w:t>500kg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/667㎡</w:t>
      </w:r>
      <w:r>
        <w:rPr>
          <w:rFonts w:hint="default" w:ascii="Times New Roman" w:hAnsi="Times New Roman" w:cs="Times New Roman"/>
          <w:lang w:val="en-US" w:eastAsia="zh-CN"/>
        </w:rPr>
        <w:t>，耙翻后采用机插侧深施肥，施缓释复合肥30kg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lang w:val="en-US" w:eastAsia="zh-CN"/>
        </w:rPr>
        <w:t>40kg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/667㎡</w:t>
      </w:r>
      <w:r>
        <w:rPr>
          <w:rFonts w:hint="default" w:ascii="Times New Roman" w:hAnsi="Times New Roman" w:cs="Times New Roman"/>
          <w:lang w:val="en-US" w:eastAsia="zh-CN"/>
        </w:rPr>
        <w:t>、控失尿素10kg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/667㎡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分蘖肥</w:t>
      </w:r>
    </w:p>
    <w:p>
      <w:pPr>
        <w:pStyle w:val="23"/>
        <w:widowControl w:val="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栽后10d，一次性施尿素15kg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/667㎡。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穗肥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倒4叶期，视田间长势酌情施促花肥，用N-K2O总养分30%左右的含硅复合肥15kg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lang w:val="en-US" w:eastAsia="zh-CN"/>
        </w:rPr>
        <w:t>20kg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/667㎡</w:t>
      </w:r>
      <w:r>
        <w:rPr>
          <w:rFonts w:hint="default" w:ascii="Times New Roman" w:hAnsi="Times New Roman" w:cs="Times New Roman"/>
          <w:lang w:val="en-US" w:eastAsia="zh-CN"/>
        </w:rPr>
        <w:t>，不施保花肥。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叶面肥</w:t>
      </w:r>
    </w:p>
    <w:p>
      <w:pPr>
        <w:pStyle w:val="23"/>
        <w:widowContro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喷施磷酸二氢钾等叶面肥，提高水稻结实率与粒重。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水浆管理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移栽期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水稻田薄水栽插水层深度1cm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lang w:val="en-US" w:eastAsia="zh-CN"/>
        </w:rPr>
        <w:t>2cm。寸水活棵，栽后建立3cm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lang w:val="en-US" w:eastAsia="zh-CN"/>
        </w:rPr>
        <w:t>4cm水层。活棵后应浅水勤灌，灌水水深以3cm为宜，待其自然落干，再上新水。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 xml:space="preserve">搁田期 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在预计穗数80%左右时开始搁田，做到早搁、轻搁、多次搁，由轻到重，搁至田中不陷脚、叶色落黄褪淡即可。控制高峰苗，抑制无效分蘖发生。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 xml:space="preserve">灌浆结实期 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间歇上水。 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病虫害防治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防治原则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同8.</w:t>
      </w:r>
      <w:r>
        <w:rPr>
          <w:rFonts w:hint="eastAsia" w:asci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.1。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 xml:space="preserve"> 秧田</w:t>
      </w:r>
      <w:r>
        <w:rPr>
          <w:rFonts w:hint="eastAsia" w:ascii="Times New Roman" w:hAnsi="Times New Roman" w:cs="Times New Roman"/>
          <w:sz w:val="21"/>
          <w:lang w:val="en-US" w:eastAsia="zh-CN"/>
        </w:rPr>
        <w:t>防治</w:t>
      </w:r>
      <w:bookmarkStart w:id="0" w:name="_GoBack"/>
      <w:bookmarkEnd w:id="0"/>
    </w:p>
    <w:p>
      <w:pPr>
        <w:pStyle w:val="23"/>
        <w:widowControl w:val="0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播前进行药剂浸种，防治水稻恶苗病、干尖线虫病，控制病毒病。水稻秧田期做好灰飞虱防治工作，秧田期进行无纺布覆盖防治灰飞虱，移栽前2d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lang w:val="en-US" w:eastAsia="zh-CN"/>
        </w:rPr>
        <w:t>3d用好送嫁药，实行带药移栽。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大田</w:t>
      </w:r>
      <w:r>
        <w:rPr>
          <w:rFonts w:hint="eastAsia" w:ascii="Times New Roman" w:hAnsi="Times New Roman" w:cs="Times New Roman"/>
          <w:sz w:val="21"/>
          <w:lang w:val="en-US" w:eastAsia="zh-CN"/>
        </w:rPr>
        <w:t>防治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强化专业化统防统治。初期做好稻二代灰飞虱、叶稻瘟防治工作。中期做好稻纵卷叶螟、稻飞虱、纹枯病、稻叶瘟病防治工作。后期做好水稻穗期病虫防治工作，开展二次防治，第一次为水稻破口初期，主治穗颈瘟、稻曲病、二代二化螟、褐飞虱、纹枯病，兼治其他病虫；第二次为水稻齐穗期，复治穗颈瘟，查治其它病虫。 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物理防治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可投放性诱捕器诱杀稻纵卷叶螟和螟虫，或田埂边种植香根草诱杀螟虫，或安装频振式杀虫灯(2000m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左右1盏）诱杀田间趋光性害虫。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 xml:space="preserve">生物防治 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利用自然天敌控制有害生物的种群数量，或人工释放稻螟赤眼蜂控制鳞翅目害虫。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收获贮藏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收获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水稻在完熟期（稻谷颖壳95%以上变黄)及时脱粒、晾晒。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贮藏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脱粒后及时烘干或晾晒，保证籽粒水分14.5%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lang w:val="en-US" w:eastAsia="zh-CN"/>
        </w:rPr>
        <w:t>15.5%进仓，贮藏于通风干燥处，储存库温度控制在20℃以下。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312" w:after="312"/>
        <w:ind w:left="283" w:leftChars="0" w:hanging="283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记录档案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建立生产档案，全过程记录稻、麦周年生产过程中的气象条件、品种、生育进程、农药化肥的使用时间及用量、收获时间、产量等，生产档案保存不少于2年</w:t>
      </w:r>
      <w:r>
        <w:rPr>
          <w:rFonts w:hint="eastAsia" w:ascii="Times New Roman" w:cs="Times New Roman"/>
          <w:lang w:val="en-US" w:eastAsia="zh-CN"/>
        </w:rPr>
        <w:t>。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352425</wp:posOffset>
                </wp:positionV>
                <wp:extent cx="1923415" cy="0"/>
                <wp:effectExtent l="0" t="0" r="1968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3pt;margin-top:27.75pt;height:0pt;width:151.45pt;z-index:251666432;mso-width-relative:page;mso-height-relative:page;" filled="f" stroked="t" coordsize="21600,21600" o:gfxdata="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0LN0/WAAAACQEAAA8AAAAAAAAAAQAgAAAAIgAAAGRycy9kb3ducmV2LnhtbFBLAQIUABQAAAAI&#10;AIdO4kCyB3JP7wEAANM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0" w:type="first"/>
      <w:footerReference r:id="rId8" w:type="default"/>
      <w:footerReference r:id="rId9" w:type="even"/>
      <w:pgSz w:w="11910" w:h="16840"/>
      <w:pgMar w:top="1134" w:right="1134" w:bottom="1134" w:left="1701" w:header="1077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hint="eastAsia" w:eastAsia="黑体"/>
        <w:lang w:val="en-US" w:eastAsia="zh-CN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1xx-202</w:t>
    </w:r>
    <w:r>
      <w:rPr>
        <w:rFonts w:hint="eastAsia" w:ascii="黑体" w:hAnsi="黑体" w:eastAsia="黑体" w:cs="黑体"/>
        <w:lang w:val="en-US" w:eastAsia="zh-CN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hint="eastAsia" w:eastAsia="黑体"/>
        <w:lang w:val="en-US" w:eastAsia="zh-CN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1xx-202</w:t>
    </w:r>
    <w:r>
      <w:rPr>
        <w:rFonts w:hint="eastAsia" w:ascii="黑体" w:hAnsi="黑体" w:eastAsia="黑体" w:cs="黑体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A3011"/>
    <w:multiLevelType w:val="multilevel"/>
    <w:tmpl w:val="3C3A3011"/>
    <w:lvl w:ilvl="0" w:tentative="0">
      <w:start w:val="1"/>
      <w:numFmt w:val="decimal"/>
      <w:lvlText w:val="%1"/>
      <w:lvlJc w:val="left"/>
      <w:pPr>
        <w:ind w:left="283" w:hanging="283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567" w:hanging="567"/>
      </w:pPr>
      <w:rPr>
        <w:rFonts w:hint="default" w:ascii="黑体" w:hAnsi="黑体" w:eastAsia="宋体" w:cs="宋体"/>
      </w:rPr>
    </w:lvl>
    <w:lvl w:ilvl="2" w:tentative="0">
      <w:start w:val="1"/>
      <w:numFmt w:val="decimal"/>
      <w:lvlText w:val="%1.%2.%3 "/>
      <w:lvlJc w:val="left"/>
      <w:pPr>
        <w:ind w:left="709" w:hanging="709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iNzY1MGZhMmJiMGE4MTA1NWY0YTEwMGU4NjNmNDEifQ=="/>
  </w:docVars>
  <w:rsids>
    <w:rsidRoot w:val="00D364DE"/>
    <w:rsid w:val="0004284E"/>
    <w:rsid w:val="001E5ADC"/>
    <w:rsid w:val="002A752B"/>
    <w:rsid w:val="00406A4C"/>
    <w:rsid w:val="00477A17"/>
    <w:rsid w:val="004D5AC9"/>
    <w:rsid w:val="004F411E"/>
    <w:rsid w:val="00630687"/>
    <w:rsid w:val="00714220"/>
    <w:rsid w:val="007C0AED"/>
    <w:rsid w:val="008340D0"/>
    <w:rsid w:val="0085151A"/>
    <w:rsid w:val="008956B2"/>
    <w:rsid w:val="00962A8E"/>
    <w:rsid w:val="00B446D7"/>
    <w:rsid w:val="00CC0BFD"/>
    <w:rsid w:val="00CC3303"/>
    <w:rsid w:val="00D364DE"/>
    <w:rsid w:val="00E6420A"/>
    <w:rsid w:val="00EC32A1"/>
    <w:rsid w:val="00F64FA7"/>
    <w:rsid w:val="00FF5B27"/>
    <w:rsid w:val="022B6E18"/>
    <w:rsid w:val="04BB5134"/>
    <w:rsid w:val="081845CB"/>
    <w:rsid w:val="09854107"/>
    <w:rsid w:val="09D34D6F"/>
    <w:rsid w:val="0ACF15A0"/>
    <w:rsid w:val="0BE758F2"/>
    <w:rsid w:val="0D6C3070"/>
    <w:rsid w:val="0E127FC5"/>
    <w:rsid w:val="0E9301A8"/>
    <w:rsid w:val="10A9041C"/>
    <w:rsid w:val="11A34771"/>
    <w:rsid w:val="12C23ECB"/>
    <w:rsid w:val="12CA0FEC"/>
    <w:rsid w:val="137A5709"/>
    <w:rsid w:val="14971E50"/>
    <w:rsid w:val="17D84F21"/>
    <w:rsid w:val="1824437E"/>
    <w:rsid w:val="197C7533"/>
    <w:rsid w:val="1CDA6BC9"/>
    <w:rsid w:val="1DA0266A"/>
    <w:rsid w:val="1E030D9D"/>
    <w:rsid w:val="2003405C"/>
    <w:rsid w:val="20641098"/>
    <w:rsid w:val="22214155"/>
    <w:rsid w:val="22603664"/>
    <w:rsid w:val="23BF7F9C"/>
    <w:rsid w:val="270353AD"/>
    <w:rsid w:val="27662B90"/>
    <w:rsid w:val="278F7FEF"/>
    <w:rsid w:val="27C67CA3"/>
    <w:rsid w:val="27E81DFA"/>
    <w:rsid w:val="2814256A"/>
    <w:rsid w:val="288F0069"/>
    <w:rsid w:val="291A7EA0"/>
    <w:rsid w:val="2A22335B"/>
    <w:rsid w:val="2A860B19"/>
    <w:rsid w:val="2E6017DC"/>
    <w:rsid w:val="2EC43A58"/>
    <w:rsid w:val="30874C00"/>
    <w:rsid w:val="31F82598"/>
    <w:rsid w:val="3270618F"/>
    <w:rsid w:val="362832D4"/>
    <w:rsid w:val="375463A2"/>
    <w:rsid w:val="3868691E"/>
    <w:rsid w:val="389E2510"/>
    <w:rsid w:val="38FF582C"/>
    <w:rsid w:val="3B052DA0"/>
    <w:rsid w:val="3BAB16A2"/>
    <w:rsid w:val="3C791F1A"/>
    <w:rsid w:val="3D5D17E8"/>
    <w:rsid w:val="3E2F3E8B"/>
    <w:rsid w:val="413E2BF1"/>
    <w:rsid w:val="41E67444"/>
    <w:rsid w:val="435B3B47"/>
    <w:rsid w:val="44713FD6"/>
    <w:rsid w:val="469466BC"/>
    <w:rsid w:val="48CF7937"/>
    <w:rsid w:val="4A277EA5"/>
    <w:rsid w:val="4A887025"/>
    <w:rsid w:val="4E3534CA"/>
    <w:rsid w:val="4E67647C"/>
    <w:rsid w:val="4EB36A7E"/>
    <w:rsid w:val="51617B94"/>
    <w:rsid w:val="519002C4"/>
    <w:rsid w:val="545210D7"/>
    <w:rsid w:val="54A138AB"/>
    <w:rsid w:val="56917052"/>
    <w:rsid w:val="57A72AE1"/>
    <w:rsid w:val="584C0CC1"/>
    <w:rsid w:val="5A311229"/>
    <w:rsid w:val="5DD302CC"/>
    <w:rsid w:val="5E9610C7"/>
    <w:rsid w:val="5FED74E2"/>
    <w:rsid w:val="61685B93"/>
    <w:rsid w:val="62A14545"/>
    <w:rsid w:val="634C3F48"/>
    <w:rsid w:val="64E20C1D"/>
    <w:rsid w:val="679D6E26"/>
    <w:rsid w:val="67D003E3"/>
    <w:rsid w:val="684A4F30"/>
    <w:rsid w:val="69942FD0"/>
    <w:rsid w:val="69CB0A19"/>
    <w:rsid w:val="6B304859"/>
    <w:rsid w:val="6C132D0C"/>
    <w:rsid w:val="6C7C15D3"/>
    <w:rsid w:val="6CE6660F"/>
    <w:rsid w:val="6D6D72B0"/>
    <w:rsid w:val="6DFD4E15"/>
    <w:rsid w:val="6F370705"/>
    <w:rsid w:val="71747CA4"/>
    <w:rsid w:val="72AA3F34"/>
    <w:rsid w:val="784D2EB8"/>
    <w:rsid w:val="7A6F4495"/>
    <w:rsid w:val="7D253FDF"/>
    <w:rsid w:val="7D8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55"/>
      <w:outlineLvl w:val="0"/>
    </w:pPr>
    <w:rPr>
      <w:rFonts w:ascii="黑体" w:hAnsi="黑体" w:eastAsia="黑体" w:cs="黑体"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0" w:firstLineChars="0"/>
      <w:jc w:val="left"/>
      <w:outlineLvl w:val="2"/>
    </w:pPr>
    <w:rPr>
      <w:rFonts w:ascii="Times New Roman" w:hAnsi="Times New Roman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link w:val="19"/>
    <w:qFormat/>
    <w:uiPriority w:val="0"/>
    <w:rPr>
      <w:b/>
      <w:bCs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873" w:hanging="736"/>
    </w:pPr>
  </w:style>
  <w:style w:type="paragraph" w:customStyle="1" w:styleId="17">
    <w:name w:val="Table Paragraph"/>
    <w:basedOn w:val="1"/>
    <w:qFormat/>
    <w:uiPriority w:val="1"/>
    <w:pPr>
      <w:spacing w:before="38"/>
      <w:jc w:val="center"/>
    </w:pPr>
  </w:style>
  <w:style w:type="character" w:customStyle="1" w:styleId="18">
    <w:name w:val="批注文字 字符"/>
    <w:basedOn w:val="13"/>
    <w:link w:val="4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9">
    <w:name w:val="批注主题 字符"/>
    <w:basedOn w:val="18"/>
    <w:link w:val="11"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20">
    <w:name w:val="批注框文本 字符"/>
    <w:basedOn w:val="13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21">
    <w:name w:val="二级条标题"/>
    <w:basedOn w:val="22"/>
    <w:next w:val="23"/>
    <w:qFormat/>
    <w:uiPriority w:val="0"/>
    <w:pPr>
      <w:numPr>
        <w:numId w:val="0"/>
      </w:numPr>
      <w:outlineLvl w:val="3"/>
    </w:pPr>
  </w:style>
  <w:style w:type="paragraph" w:customStyle="1" w:styleId="22">
    <w:name w:val="一级条标题"/>
    <w:next w:val="23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三级条标题"/>
    <w:basedOn w:val="21"/>
    <w:next w:val="23"/>
    <w:qFormat/>
    <w:uiPriority w:val="0"/>
    <w:pPr>
      <w:outlineLvl w:val="4"/>
    </w:pPr>
  </w:style>
  <w:style w:type="paragraph" w:customStyle="1" w:styleId="25">
    <w:name w:val="Body text|1"/>
    <w:basedOn w:val="1"/>
    <w:qFormat/>
    <w:uiPriority w:val="0"/>
    <w:pPr>
      <w:widowControl w:val="0"/>
      <w:shd w:val="clear" w:color="auto" w:fill="auto"/>
      <w:spacing w:line="324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0F109-85E6-4F30-A64C-E3238B3B8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3138</Words>
  <Characters>3871</Characters>
  <Lines>16</Lines>
  <Paragraphs>4</Paragraphs>
  <TotalTime>21</TotalTime>
  <ScaleCrop>false</ScaleCrop>
  <LinksUpToDate>false</LinksUpToDate>
  <CharactersWithSpaces>4031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2021-01-07T01:17:00Z</dcterms:created>
  <dc:creator>WIN-10</dc:creator>
  <cp:lastModifiedBy>ICCAW</cp:lastModifiedBy>
  <dcterms:modified xsi:type="dcterms:W3CDTF">2022-09-13T06:25:28Z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2069DE23CC5B41A9B2D51E8B2D93958E</vt:lpwstr>
  </property>
</Properties>
</file>