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847" w:rsidRDefault="00802847">
      <w:pPr>
        <w:spacing w:before="9" w:line="360" w:lineRule="auto"/>
        <w:jc w:val="center"/>
        <w:rPr>
          <w:rFonts w:ascii="黑体" w:eastAsia="黑体" w:hAnsi="黑体"/>
          <w:sz w:val="96"/>
          <w:szCs w:val="21"/>
        </w:rPr>
      </w:pPr>
      <w:bookmarkStart w:id="0" w:name="_GoBack"/>
      <w:bookmarkEnd w:id="0"/>
    </w:p>
    <w:p w:rsidR="00802847" w:rsidRDefault="00353001">
      <w:pPr>
        <w:spacing w:before="9" w:line="360" w:lineRule="auto"/>
        <w:jc w:val="center"/>
        <w:rPr>
          <w:rFonts w:ascii="黑体" w:eastAsia="黑体" w:hAnsi="黑体"/>
          <w:sz w:val="72"/>
          <w:szCs w:val="21"/>
        </w:rPr>
      </w:pPr>
      <w:r>
        <w:rPr>
          <w:rFonts w:ascii="黑体" w:eastAsia="黑体" w:hAnsi="黑体" w:hint="eastAsia"/>
          <w:sz w:val="72"/>
          <w:szCs w:val="21"/>
        </w:rPr>
        <w:t>团</w:t>
      </w:r>
      <w:r>
        <w:rPr>
          <w:rFonts w:ascii="黑体" w:eastAsia="黑体" w:hAnsi="黑体" w:hint="eastAsia"/>
          <w:sz w:val="72"/>
          <w:szCs w:val="21"/>
        </w:rPr>
        <w:t xml:space="preserve"> </w:t>
      </w:r>
      <w:r>
        <w:rPr>
          <w:rFonts w:ascii="黑体" w:eastAsia="黑体" w:hAnsi="黑体" w:hint="eastAsia"/>
          <w:sz w:val="72"/>
          <w:szCs w:val="21"/>
        </w:rPr>
        <w:t>体</w:t>
      </w:r>
      <w:r>
        <w:rPr>
          <w:rFonts w:ascii="黑体" w:eastAsia="黑体" w:hAnsi="黑体" w:hint="eastAsia"/>
          <w:sz w:val="72"/>
          <w:szCs w:val="21"/>
        </w:rPr>
        <w:t xml:space="preserve"> </w:t>
      </w:r>
      <w:r>
        <w:rPr>
          <w:rFonts w:ascii="黑体" w:eastAsia="黑体" w:hAnsi="黑体" w:hint="eastAsia"/>
          <w:sz w:val="72"/>
          <w:szCs w:val="21"/>
        </w:rPr>
        <w:t>标</w:t>
      </w:r>
      <w:r>
        <w:rPr>
          <w:rFonts w:ascii="黑体" w:eastAsia="黑体" w:hAnsi="黑体" w:hint="eastAsia"/>
          <w:sz w:val="72"/>
          <w:szCs w:val="21"/>
        </w:rPr>
        <w:t xml:space="preserve"> </w:t>
      </w:r>
      <w:r>
        <w:rPr>
          <w:rFonts w:ascii="黑体" w:eastAsia="黑体" w:hAnsi="黑体" w:hint="eastAsia"/>
          <w:sz w:val="72"/>
          <w:szCs w:val="21"/>
        </w:rPr>
        <w:t>准</w:t>
      </w:r>
    </w:p>
    <w:p w:rsidR="00802847" w:rsidRDefault="00353001">
      <w:pPr>
        <w:spacing w:before="9" w:line="360" w:lineRule="auto"/>
        <w:rPr>
          <w:rFonts w:ascii="Times New Roman" w:eastAsia="黑体" w:hAnsi="Times New Roman" w:cs="Times New Roman"/>
          <w:sz w:val="24"/>
          <w:szCs w:val="21"/>
        </w:rPr>
      </w:pPr>
      <w:r>
        <w:rPr>
          <w:rFonts w:ascii="Times New Roman" w:eastAsia="黑体" w:hAnsi="Times New Roman" w:cs="Times New Roman"/>
          <w:sz w:val="24"/>
          <w:szCs w:val="21"/>
        </w:rPr>
        <w:t xml:space="preserve">                                                               </w:t>
      </w:r>
    </w:p>
    <w:p w:rsidR="00802847" w:rsidRDefault="00353001">
      <w:pPr>
        <w:spacing w:before="9" w:line="360" w:lineRule="auto"/>
        <w:jc w:val="center"/>
        <w:rPr>
          <w:rFonts w:ascii="黑体" w:eastAsia="黑体" w:hAnsi="黑体" w:cs="微软雅黑"/>
          <w:sz w:val="40"/>
          <w:szCs w:val="40"/>
        </w:rPr>
      </w:pPr>
      <w:r>
        <w:rPr>
          <w:rFonts w:ascii="Times New Roman" w:eastAsia="黑体" w:hAnsi="Times New Roman" w:cs="Times New Roman" w:hint="eastAsia"/>
          <w:sz w:val="40"/>
          <w:szCs w:val="40"/>
        </w:rPr>
        <w:t>《</w:t>
      </w:r>
      <w:r>
        <w:rPr>
          <w:rFonts w:ascii="黑体" w:eastAsia="黑体" w:hAnsi="黑体" w:cs="微软雅黑" w:hint="eastAsia"/>
          <w:sz w:val="40"/>
          <w:szCs w:val="40"/>
        </w:rPr>
        <w:t>村镇垃圾移动热解气化装备设计及运行指南</w:t>
      </w:r>
      <w:r>
        <w:rPr>
          <w:rFonts w:ascii="Times New Roman" w:eastAsia="黑体" w:hAnsi="Times New Roman" w:cs="Times New Roman" w:hint="eastAsia"/>
          <w:sz w:val="40"/>
          <w:szCs w:val="40"/>
        </w:rPr>
        <w:t>》</w:t>
      </w:r>
    </w:p>
    <w:p w:rsidR="00802847" w:rsidRDefault="00802847">
      <w:pPr>
        <w:jc w:val="center"/>
        <w:rPr>
          <w:rFonts w:ascii="Times New Roman" w:eastAsia="宋体-简" w:hAnsi="Times New Roman" w:cs="Times New Roman"/>
          <w:sz w:val="28"/>
          <w:szCs w:val="32"/>
          <w:lang w:val="en-US"/>
        </w:rPr>
      </w:pPr>
    </w:p>
    <w:p w:rsidR="00802847" w:rsidRDefault="00802847">
      <w:pPr>
        <w:jc w:val="center"/>
        <w:rPr>
          <w:rFonts w:ascii="Times New Roman" w:eastAsia="宋体-简" w:hAnsi="Times New Roman" w:cs="Times New Roman"/>
          <w:sz w:val="24"/>
          <w:szCs w:val="28"/>
          <w:lang w:val="en-US"/>
        </w:rPr>
      </w:pPr>
    </w:p>
    <w:p w:rsidR="00802847" w:rsidRDefault="00802847">
      <w:pPr>
        <w:jc w:val="center"/>
        <w:rPr>
          <w:rFonts w:ascii="黑体" w:eastAsia="黑体" w:hAnsi="黑体"/>
          <w:sz w:val="36"/>
        </w:rPr>
      </w:pPr>
    </w:p>
    <w:p w:rsidR="00802847" w:rsidRDefault="00802847">
      <w:pPr>
        <w:jc w:val="center"/>
        <w:rPr>
          <w:rFonts w:ascii="黑体" w:eastAsia="黑体" w:hAnsi="黑体"/>
          <w:sz w:val="36"/>
        </w:rPr>
      </w:pPr>
    </w:p>
    <w:p w:rsidR="00802847" w:rsidRDefault="00353001">
      <w:pPr>
        <w:jc w:val="center"/>
        <w:rPr>
          <w:rFonts w:ascii="黑体" w:eastAsia="黑体" w:hAnsi="黑体"/>
          <w:sz w:val="48"/>
        </w:rPr>
      </w:pPr>
      <w:r>
        <w:rPr>
          <w:rFonts w:ascii="黑体" w:eastAsia="黑体" w:hAnsi="黑体" w:hint="eastAsia"/>
          <w:sz w:val="48"/>
        </w:rPr>
        <w:t>编</w:t>
      </w:r>
      <w:r>
        <w:rPr>
          <w:rFonts w:ascii="黑体" w:eastAsia="黑体" w:hAnsi="黑体" w:hint="eastAsia"/>
          <w:sz w:val="48"/>
        </w:rPr>
        <w:t xml:space="preserve"> </w:t>
      </w:r>
      <w:r>
        <w:rPr>
          <w:rFonts w:ascii="黑体" w:eastAsia="黑体" w:hAnsi="黑体" w:hint="eastAsia"/>
          <w:sz w:val="48"/>
        </w:rPr>
        <w:t>制</w:t>
      </w:r>
      <w:r>
        <w:rPr>
          <w:rFonts w:ascii="黑体" w:eastAsia="黑体" w:hAnsi="黑体" w:hint="eastAsia"/>
          <w:sz w:val="48"/>
        </w:rPr>
        <w:t xml:space="preserve"> </w:t>
      </w:r>
      <w:r>
        <w:rPr>
          <w:rFonts w:ascii="黑体" w:eastAsia="黑体" w:hAnsi="黑体" w:hint="eastAsia"/>
          <w:sz w:val="48"/>
        </w:rPr>
        <w:t>说</w:t>
      </w:r>
      <w:r>
        <w:rPr>
          <w:rFonts w:ascii="黑体" w:eastAsia="黑体" w:hAnsi="黑体" w:hint="eastAsia"/>
          <w:sz w:val="48"/>
        </w:rPr>
        <w:t xml:space="preserve"> </w:t>
      </w:r>
      <w:r>
        <w:rPr>
          <w:rFonts w:ascii="黑体" w:eastAsia="黑体" w:hAnsi="黑体" w:hint="eastAsia"/>
          <w:sz w:val="48"/>
        </w:rPr>
        <w:t>明</w:t>
      </w:r>
    </w:p>
    <w:p w:rsidR="00802847" w:rsidRDefault="00802847">
      <w:pPr>
        <w:jc w:val="center"/>
        <w:rPr>
          <w:rFonts w:ascii="黑体" w:eastAsia="黑体" w:hAnsi="黑体"/>
          <w:sz w:val="48"/>
        </w:rPr>
      </w:pPr>
    </w:p>
    <w:p w:rsidR="00802847" w:rsidRDefault="00802847">
      <w:pPr>
        <w:jc w:val="center"/>
        <w:rPr>
          <w:rFonts w:ascii="黑体" w:eastAsia="黑体" w:hAnsi="黑体"/>
          <w:sz w:val="48"/>
        </w:rPr>
      </w:pPr>
    </w:p>
    <w:p w:rsidR="00802847" w:rsidRDefault="00802847">
      <w:pPr>
        <w:jc w:val="center"/>
        <w:rPr>
          <w:rFonts w:ascii="黑体" w:eastAsia="黑体" w:hAnsi="黑体"/>
          <w:sz w:val="48"/>
        </w:rPr>
      </w:pPr>
    </w:p>
    <w:p w:rsidR="00802847" w:rsidRDefault="00802847">
      <w:pPr>
        <w:jc w:val="center"/>
        <w:rPr>
          <w:rFonts w:ascii="黑体" w:eastAsia="黑体" w:hAnsi="黑体"/>
          <w:sz w:val="48"/>
        </w:rPr>
      </w:pPr>
    </w:p>
    <w:p w:rsidR="00802847" w:rsidRDefault="00802847">
      <w:pPr>
        <w:jc w:val="center"/>
        <w:rPr>
          <w:rFonts w:ascii="黑体" w:eastAsia="黑体" w:hAnsi="黑体"/>
          <w:sz w:val="48"/>
        </w:rPr>
      </w:pPr>
    </w:p>
    <w:p w:rsidR="00802847" w:rsidRDefault="00802847">
      <w:pPr>
        <w:jc w:val="center"/>
        <w:rPr>
          <w:rFonts w:ascii="黑体" w:eastAsia="黑体" w:hAnsi="黑体"/>
          <w:sz w:val="48"/>
        </w:rPr>
      </w:pPr>
    </w:p>
    <w:p w:rsidR="00802847" w:rsidRDefault="00802847">
      <w:pPr>
        <w:jc w:val="center"/>
        <w:rPr>
          <w:rFonts w:ascii="黑体" w:eastAsia="黑体" w:hAnsi="黑体"/>
          <w:sz w:val="48"/>
        </w:rPr>
      </w:pPr>
    </w:p>
    <w:p w:rsidR="00802847" w:rsidRDefault="00802847">
      <w:pPr>
        <w:jc w:val="center"/>
        <w:rPr>
          <w:rFonts w:ascii="黑体" w:eastAsia="黑体" w:hAnsi="黑体"/>
          <w:sz w:val="48"/>
        </w:rPr>
      </w:pPr>
    </w:p>
    <w:p w:rsidR="00802847" w:rsidRDefault="00802847">
      <w:pPr>
        <w:jc w:val="center"/>
        <w:rPr>
          <w:rFonts w:ascii="黑体" w:eastAsia="黑体" w:hAnsi="黑体"/>
          <w:sz w:val="48"/>
        </w:rPr>
      </w:pPr>
    </w:p>
    <w:p w:rsidR="00802847" w:rsidRDefault="00353001">
      <w:pPr>
        <w:widowControl/>
        <w:autoSpaceDE/>
        <w:autoSpaceDN/>
        <w:jc w:val="center"/>
        <w:rPr>
          <w:rFonts w:ascii="黑体" w:eastAsia="黑体" w:hAnsi="黑体"/>
          <w:sz w:val="36"/>
          <w:lang w:val="en-US"/>
        </w:rPr>
      </w:pPr>
      <w:r>
        <w:rPr>
          <w:rFonts w:ascii="黑体" w:eastAsia="黑体" w:hAnsi="黑体" w:hint="eastAsia"/>
          <w:sz w:val="36"/>
          <w:lang w:val="en-US"/>
        </w:rPr>
        <w:t>2022</w:t>
      </w:r>
      <w:r>
        <w:rPr>
          <w:rFonts w:ascii="黑体" w:eastAsia="黑体" w:hAnsi="黑体" w:hint="eastAsia"/>
          <w:sz w:val="36"/>
          <w:lang w:val="en-US"/>
        </w:rPr>
        <w:t>年</w:t>
      </w:r>
      <w:r>
        <w:rPr>
          <w:rFonts w:ascii="黑体" w:eastAsia="黑体" w:hAnsi="黑体" w:hint="eastAsia"/>
          <w:sz w:val="36"/>
          <w:lang w:val="en-US"/>
        </w:rPr>
        <w:t>5</w:t>
      </w:r>
      <w:r>
        <w:rPr>
          <w:rFonts w:ascii="黑体" w:eastAsia="黑体" w:hAnsi="黑体" w:hint="eastAsia"/>
          <w:sz w:val="36"/>
          <w:lang w:val="en-US"/>
        </w:rPr>
        <w:t>月</w:t>
      </w:r>
    </w:p>
    <w:p w:rsidR="00802847" w:rsidRDefault="00802847">
      <w:pPr>
        <w:widowControl/>
        <w:autoSpaceDE/>
        <w:autoSpaceDN/>
        <w:rPr>
          <w:rFonts w:ascii="黑体" w:eastAsia="黑体" w:hAnsi="黑体"/>
          <w:sz w:val="36"/>
          <w:lang w:val="en-US"/>
        </w:rPr>
      </w:pPr>
    </w:p>
    <w:p w:rsidR="00802847" w:rsidRDefault="00802847">
      <w:pPr>
        <w:widowControl/>
        <w:autoSpaceDE/>
        <w:autoSpaceDN/>
        <w:rPr>
          <w:rFonts w:ascii="黑体" w:eastAsia="黑体" w:hAnsi="黑体"/>
          <w:sz w:val="36"/>
          <w:lang w:val="en-US"/>
        </w:rPr>
      </w:pPr>
    </w:p>
    <w:p w:rsidR="00802847" w:rsidRDefault="00353001">
      <w:pPr>
        <w:pStyle w:val="2"/>
        <w:numPr>
          <w:ilvl w:val="0"/>
          <w:numId w:val="1"/>
        </w:numPr>
        <w:spacing w:before="40" w:line="360" w:lineRule="auto"/>
        <w:ind w:left="0" w:firstLine="0"/>
        <w:rPr>
          <w:rFonts w:ascii="黑体" w:hAnsi="黑体" w:cstheme="minorEastAsia"/>
          <w:b w:val="0"/>
          <w:sz w:val="28"/>
        </w:rPr>
      </w:pPr>
      <w:r>
        <w:rPr>
          <w:rFonts w:ascii="黑体" w:hAnsi="黑体" w:cstheme="minorEastAsia" w:hint="eastAsia"/>
          <w:b w:val="0"/>
          <w:sz w:val="28"/>
        </w:rPr>
        <w:lastRenderedPageBreak/>
        <w:t>标准制定的必要性</w:t>
      </w:r>
    </w:p>
    <w:p w:rsidR="00802847" w:rsidRDefault="00353001">
      <w:pPr>
        <w:spacing w:line="360" w:lineRule="auto"/>
        <w:ind w:leftChars="74" w:left="163" w:firstLineChars="200" w:firstLine="480"/>
        <w:jc w:val="both"/>
        <w:rPr>
          <w:rFonts w:ascii="Times New Roman" w:hAnsi="Times New Roman" w:cs="Times New Roman"/>
          <w:sz w:val="24"/>
          <w:lang w:val="en-US"/>
        </w:rPr>
      </w:pPr>
      <w:r>
        <w:rPr>
          <w:rFonts w:ascii="Times New Roman" w:hAnsi="Times New Roman" w:cs="Times New Roman" w:hint="eastAsia"/>
          <w:sz w:val="24"/>
          <w:lang w:val="en-US"/>
        </w:rPr>
        <w:t>村镇垃圾治理是全面贯彻党的十九大“实施乡村振兴战略”，落实“产业兴旺、生态宜居”总要求的重要举措。由于我国村镇垃圾源广量大、组分构成差异显著、技术基础薄弱，其处理水平严重滞后。据《全国农村环境综合整治“十三五”规划》显示，我国</w:t>
      </w:r>
      <w:r>
        <w:rPr>
          <w:rFonts w:ascii="Times New Roman" w:hAnsi="Times New Roman" w:cs="Times New Roman"/>
          <w:sz w:val="24"/>
          <w:lang w:val="en-US"/>
        </w:rPr>
        <w:t>40%</w:t>
      </w:r>
      <w:r>
        <w:rPr>
          <w:rFonts w:ascii="Times New Roman" w:hAnsi="Times New Roman" w:cs="Times New Roman"/>
          <w:sz w:val="24"/>
          <w:lang w:val="en-US"/>
        </w:rPr>
        <w:t>的建制村垃圾收集处理设施缺失。与城市生活垃圾相比，村镇垃圾日产量小、处理收运成本高、耐污染冲击负荷差、处理环节协同性弱。目前我国村镇垃圾处理仍以集中收集、转运至县一级填埋场处理为主，处理成本高、</w:t>
      </w:r>
      <w:r>
        <w:rPr>
          <w:rFonts w:ascii="Times New Roman" w:hAnsi="Times New Roman" w:cs="Times New Roman"/>
          <w:sz w:val="24"/>
          <w:lang w:val="en-US"/>
        </w:rPr>
        <w:t>“</w:t>
      </w:r>
      <w:r>
        <w:rPr>
          <w:rFonts w:ascii="Times New Roman" w:hAnsi="Times New Roman" w:cs="Times New Roman"/>
          <w:sz w:val="24"/>
          <w:lang w:val="en-US"/>
        </w:rPr>
        <w:t>跑冒滴漏</w:t>
      </w:r>
      <w:r>
        <w:rPr>
          <w:rFonts w:ascii="Times New Roman" w:hAnsi="Times New Roman" w:cs="Times New Roman"/>
          <w:sz w:val="24"/>
          <w:lang w:val="en-US"/>
        </w:rPr>
        <w:t>”</w:t>
      </w:r>
      <w:r>
        <w:rPr>
          <w:rFonts w:ascii="Times New Roman" w:hAnsi="Times New Roman" w:cs="Times New Roman"/>
          <w:sz w:val="24"/>
          <w:lang w:val="en-US"/>
        </w:rPr>
        <w:t>现象严重、缺乏灵活性、难以实现村镇垃圾的资源化利用。</w:t>
      </w:r>
    </w:p>
    <w:p w:rsidR="00802847" w:rsidRDefault="00353001">
      <w:pPr>
        <w:spacing w:line="360" w:lineRule="auto"/>
        <w:ind w:leftChars="74" w:left="163" w:firstLineChars="200" w:firstLine="480"/>
        <w:jc w:val="both"/>
        <w:rPr>
          <w:rFonts w:ascii="Times New Roman" w:hAnsi="Times New Roman" w:cs="Times New Roman"/>
          <w:sz w:val="24"/>
          <w:lang w:val="en-US"/>
        </w:rPr>
      </w:pPr>
      <w:r>
        <w:rPr>
          <w:rFonts w:ascii="Times New Roman" w:hAnsi="Times New Roman" w:cs="Times New Roman"/>
          <w:sz w:val="24"/>
          <w:lang w:val="en-US"/>
        </w:rPr>
        <w:t>移动热解气化技术为村镇</w:t>
      </w:r>
      <w:r>
        <w:rPr>
          <w:rFonts w:ascii="Times New Roman" w:hAnsi="Times New Roman" w:cs="Times New Roman" w:hint="eastAsia"/>
          <w:sz w:val="24"/>
          <w:lang w:val="en-US"/>
        </w:rPr>
        <w:t>垃圾处理提供了可行方案。热解气化技术在村镇垃圾处理过程中体现出规模匹配、过程清洁、就地减量、资源回收的特点，其移动化则为村镇垃圾处理提供了更高的灵活性和更强的机动应急性。</w:t>
      </w:r>
    </w:p>
    <w:p w:rsidR="00802847" w:rsidRDefault="00353001">
      <w:pPr>
        <w:spacing w:line="360" w:lineRule="auto"/>
        <w:ind w:leftChars="74" w:left="163" w:firstLineChars="200" w:firstLine="480"/>
        <w:jc w:val="both"/>
        <w:rPr>
          <w:rFonts w:ascii="Times New Roman" w:hAnsi="Times New Roman" w:cs="Times New Roman"/>
          <w:sz w:val="24"/>
          <w:lang w:val="en-US"/>
        </w:rPr>
      </w:pPr>
      <w:r>
        <w:rPr>
          <w:rFonts w:ascii="Times New Roman" w:hAnsi="Times New Roman" w:cs="Times New Roman" w:hint="eastAsia"/>
          <w:sz w:val="24"/>
          <w:lang w:val="en-US"/>
        </w:rPr>
        <w:t>因此，制定村镇垃圾移动热解气化设备设计及运行指南，对</w:t>
      </w:r>
      <w:r>
        <w:rPr>
          <w:rFonts w:ascii="Times New Roman" w:hAnsi="Times New Roman" w:cs="Times New Roman" w:hint="eastAsia"/>
          <w:sz w:val="24"/>
          <w:lang w:val="en-US"/>
        </w:rPr>
        <w:t>我国村镇垃圾处理具有重要现实意义，对垃圾处理行业规范、以及垃圾处理设备的标准化生产具有重要的指导意义。</w:t>
      </w:r>
    </w:p>
    <w:p w:rsidR="00802847" w:rsidRDefault="00353001">
      <w:pPr>
        <w:pStyle w:val="2"/>
        <w:numPr>
          <w:ilvl w:val="0"/>
          <w:numId w:val="1"/>
        </w:numPr>
        <w:spacing w:before="120" w:line="360" w:lineRule="auto"/>
        <w:ind w:left="0" w:firstLine="0"/>
        <w:rPr>
          <w:rFonts w:ascii="黑体" w:hAnsi="黑体" w:cstheme="minorEastAsia"/>
          <w:b w:val="0"/>
          <w:sz w:val="28"/>
        </w:rPr>
      </w:pPr>
      <w:r>
        <w:rPr>
          <w:rFonts w:ascii="黑体" w:hAnsi="黑体" w:cstheme="minorEastAsia" w:hint="eastAsia"/>
          <w:b w:val="0"/>
          <w:sz w:val="28"/>
        </w:rPr>
        <w:t>标准编制原则及依据</w:t>
      </w:r>
    </w:p>
    <w:p w:rsidR="00802847" w:rsidRDefault="00353001">
      <w:pPr>
        <w:tabs>
          <w:tab w:val="left" w:pos="1078"/>
        </w:tabs>
        <w:spacing w:line="360" w:lineRule="auto"/>
        <w:ind w:leftChars="74" w:left="163" w:firstLineChars="200" w:firstLine="480"/>
        <w:jc w:val="both"/>
        <w:rPr>
          <w:rFonts w:ascii="Times New Roman" w:hAnsi="Times New Roman" w:cs="Times New Roman"/>
          <w:sz w:val="24"/>
          <w:lang w:val="en-US"/>
        </w:rPr>
      </w:pPr>
      <w:r>
        <w:rPr>
          <w:rFonts w:ascii="Times New Roman" w:hAnsi="Times New Roman" w:cs="Times New Roman"/>
          <w:sz w:val="24"/>
          <w:lang w:val="en-US"/>
        </w:rPr>
        <w:t>1</w:t>
      </w:r>
      <w:r>
        <w:rPr>
          <w:rFonts w:ascii="Times New Roman" w:hAnsi="Times New Roman" w:cs="Times New Roman"/>
          <w:sz w:val="24"/>
          <w:lang w:val="en-US"/>
        </w:rPr>
        <w:t>、按照</w:t>
      </w:r>
      <w:r>
        <w:rPr>
          <w:rFonts w:ascii="Times New Roman" w:hAnsi="Times New Roman" w:cs="Times New Roman"/>
          <w:sz w:val="24"/>
          <w:lang w:val="en-US"/>
        </w:rPr>
        <w:t>GB/T 1.1</w:t>
      </w:r>
      <w:r>
        <w:rPr>
          <w:rFonts w:ascii="Times New Roman" w:hAnsi="Times New Roman" w:cs="Times New Roman"/>
          <w:sz w:val="24"/>
          <w:lang w:val="en-US"/>
        </w:rPr>
        <w:t>－</w:t>
      </w:r>
      <w:r>
        <w:rPr>
          <w:rFonts w:ascii="Times New Roman" w:hAnsi="Times New Roman" w:cs="Times New Roman"/>
          <w:sz w:val="24"/>
          <w:lang w:val="en-US"/>
        </w:rPr>
        <w:t>2020</w:t>
      </w:r>
      <w:r>
        <w:rPr>
          <w:rFonts w:ascii="Times New Roman" w:hAnsi="Times New Roman" w:cs="Times New Roman"/>
          <w:sz w:val="24"/>
          <w:lang w:val="en-US"/>
        </w:rPr>
        <w:t>《标准化工作导则第</w:t>
      </w:r>
      <w:r>
        <w:rPr>
          <w:rFonts w:ascii="Times New Roman" w:hAnsi="Times New Roman" w:cs="Times New Roman"/>
          <w:sz w:val="24"/>
          <w:lang w:val="en-US"/>
        </w:rPr>
        <w:t>1</w:t>
      </w:r>
      <w:r>
        <w:rPr>
          <w:rFonts w:ascii="Times New Roman" w:hAnsi="Times New Roman" w:cs="Times New Roman"/>
          <w:sz w:val="24"/>
          <w:lang w:val="en-US"/>
        </w:rPr>
        <w:t>部分：标准化文件的结构和起草规则》要求进行</w:t>
      </w:r>
      <w:r>
        <w:rPr>
          <w:rFonts w:ascii="Times New Roman" w:hAnsi="Times New Roman" w:cs="Times New Roman" w:hint="eastAsia"/>
          <w:sz w:val="24"/>
          <w:lang w:val="en-US"/>
        </w:rPr>
        <w:t>编制；</w:t>
      </w:r>
    </w:p>
    <w:p w:rsidR="00802847" w:rsidRDefault="00353001">
      <w:pPr>
        <w:tabs>
          <w:tab w:val="left" w:pos="1078"/>
        </w:tabs>
        <w:spacing w:line="360" w:lineRule="auto"/>
        <w:ind w:leftChars="74" w:left="163" w:firstLineChars="200" w:firstLine="480"/>
        <w:jc w:val="both"/>
        <w:rPr>
          <w:rFonts w:ascii="Times New Roman" w:hAnsi="Times New Roman" w:cs="Times New Roman"/>
          <w:sz w:val="24"/>
          <w:lang w:val="en-US"/>
        </w:rPr>
      </w:pPr>
      <w:r>
        <w:rPr>
          <w:rFonts w:ascii="Times New Roman" w:hAnsi="Times New Roman" w:cs="Times New Roman"/>
          <w:sz w:val="24"/>
          <w:lang w:val="en-US"/>
        </w:rPr>
        <w:t>2</w:t>
      </w:r>
      <w:r>
        <w:rPr>
          <w:rFonts w:ascii="Times New Roman" w:hAnsi="Times New Roman" w:cs="Times New Roman"/>
          <w:sz w:val="24"/>
          <w:lang w:val="en-US"/>
        </w:rPr>
        <w:t>、参照相关法律、法规</w:t>
      </w:r>
      <w:r>
        <w:rPr>
          <w:rFonts w:ascii="Times New Roman" w:hAnsi="Times New Roman" w:cs="Times New Roman" w:hint="eastAsia"/>
          <w:sz w:val="24"/>
          <w:lang w:val="en-US"/>
        </w:rPr>
        <w:t>和</w:t>
      </w:r>
      <w:r>
        <w:rPr>
          <w:rFonts w:ascii="Times New Roman" w:hAnsi="Times New Roman" w:cs="Times New Roman"/>
          <w:sz w:val="24"/>
          <w:lang w:val="en-US"/>
        </w:rPr>
        <w:t>标准规范</w:t>
      </w:r>
      <w:r>
        <w:rPr>
          <w:rFonts w:ascii="Times New Roman" w:hAnsi="Times New Roman" w:cs="Times New Roman" w:hint="eastAsia"/>
          <w:sz w:val="24"/>
          <w:lang w:val="en-US"/>
        </w:rPr>
        <w:t>的</w:t>
      </w:r>
      <w:r>
        <w:rPr>
          <w:rFonts w:ascii="Times New Roman" w:hAnsi="Times New Roman" w:cs="Times New Roman"/>
          <w:sz w:val="24"/>
          <w:lang w:val="en-US"/>
        </w:rPr>
        <w:t>规定，在编制过程中着重考虑</w:t>
      </w:r>
      <w:r>
        <w:rPr>
          <w:rFonts w:ascii="Times New Roman" w:hAnsi="Times New Roman" w:cs="Times New Roman" w:hint="eastAsia"/>
          <w:sz w:val="24"/>
          <w:lang w:val="en-US"/>
        </w:rPr>
        <w:t>条文</w:t>
      </w:r>
      <w:r>
        <w:rPr>
          <w:rFonts w:ascii="Times New Roman" w:hAnsi="Times New Roman" w:cs="Times New Roman"/>
          <w:sz w:val="24"/>
          <w:lang w:val="en-US"/>
        </w:rPr>
        <w:t>的科学性、适用性和可操作性。</w:t>
      </w:r>
    </w:p>
    <w:p w:rsidR="00802847" w:rsidRDefault="00802847">
      <w:pPr>
        <w:tabs>
          <w:tab w:val="left" w:pos="1078"/>
        </w:tabs>
        <w:spacing w:line="360" w:lineRule="auto"/>
        <w:ind w:leftChars="74" w:left="163" w:firstLineChars="200" w:firstLine="480"/>
        <w:jc w:val="both"/>
        <w:rPr>
          <w:rFonts w:ascii="Times New Roman" w:hAnsi="Times New Roman" w:cs="Times New Roman"/>
          <w:sz w:val="24"/>
          <w:lang w:val="en-US"/>
        </w:rPr>
      </w:pPr>
    </w:p>
    <w:p w:rsidR="00802847" w:rsidRDefault="00353001">
      <w:pPr>
        <w:pStyle w:val="2"/>
        <w:numPr>
          <w:ilvl w:val="0"/>
          <w:numId w:val="1"/>
        </w:numPr>
        <w:spacing w:before="120" w:line="360" w:lineRule="auto"/>
        <w:ind w:left="0" w:firstLine="0"/>
        <w:rPr>
          <w:rFonts w:ascii="黑体" w:hAnsi="黑体" w:cstheme="minorEastAsia"/>
          <w:b w:val="0"/>
          <w:sz w:val="28"/>
        </w:rPr>
      </w:pPr>
      <w:r>
        <w:rPr>
          <w:rFonts w:ascii="黑体" w:hAnsi="黑体" w:cstheme="minorEastAsia" w:hint="eastAsia"/>
          <w:b w:val="0"/>
          <w:sz w:val="28"/>
        </w:rPr>
        <w:t>项目背景及工作情况</w:t>
      </w:r>
    </w:p>
    <w:p w:rsidR="00802847" w:rsidRDefault="00353001">
      <w:pPr>
        <w:spacing w:before="86" w:line="360" w:lineRule="auto"/>
        <w:ind w:left="420"/>
        <w:rPr>
          <w:rFonts w:cstheme="minorEastAsia"/>
          <w:b/>
          <w:sz w:val="24"/>
          <w:szCs w:val="28"/>
        </w:rPr>
      </w:pPr>
      <w:r>
        <w:rPr>
          <w:rFonts w:cstheme="minorEastAsia" w:hint="eastAsia"/>
          <w:b/>
          <w:sz w:val="24"/>
          <w:szCs w:val="28"/>
        </w:rPr>
        <w:t>（一）任务来源</w:t>
      </w:r>
    </w:p>
    <w:p w:rsidR="00802847" w:rsidRDefault="00353001">
      <w:pPr>
        <w:tabs>
          <w:tab w:val="left" w:pos="1078"/>
        </w:tabs>
        <w:spacing w:line="360" w:lineRule="auto"/>
        <w:ind w:leftChars="74" w:left="163" w:firstLineChars="200" w:firstLine="480"/>
        <w:jc w:val="both"/>
        <w:rPr>
          <w:rFonts w:ascii="Times New Roman" w:hAnsi="Times New Roman" w:cs="Times New Roman"/>
          <w:sz w:val="24"/>
          <w:lang w:val="en-US"/>
        </w:rPr>
      </w:pPr>
      <w:r>
        <w:rPr>
          <w:rFonts w:ascii="Times New Roman" w:hAnsi="Times New Roman" w:cs="Times New Roman" w:hint="eastAsia"/>
          <w:sz w:val="24"/>
          <w:lang w:val="en-US"/>
        </w:rPr>
        <w:t>根据《中国国际科技促进会标准化工作委员会团体标准管理办法》的有关规定，经中国国际科技促进会标准化工作委员会及相关专家技术审核，批准《村镇垃圾移动热解气化</w:t>
      </w:r>
      <w:r>
        <w:rPr>
          <w:rFonts w:ascii="Times New Roman" w:hAnsi="Times New Roman" w:cs="Times New Roman" w:hint="eastAsia"/>
          <w:sz w:val="24"/>
          <w:lang w:val="en-US"/>
        </w:rPr>
        <w:t>装备设计及运行指南》团体标准制定计划，计划编号为：</w:t>
      </w:r>
      <w:r>
        <w:rPr>
          <w:rFonts w:ascii="Times New Roman" w:hAnsi="Times New Roman" w:cs="Times New Roman" w:hint="eastAsia"/>
          <w:sz w:val="24"/>
          <w:lang w:val="en-US"/>
        </w:rPr>
        <w:t>CI</w:t>
      </w:r>
      <w:r>
        <w:rPr>
          <w:rFonts w:ascii="Times New Roman" w:hAnsi="Times New Roman" w:cs="Times New Roman"/>
          <w:sz w:val="24"/>
          <w:lang w:val="en-US"/>
        </w:rPr>
        <w:t>2022073</w:t>
      </w:r>
      <w:r>
        <w:rPr>
          <w:rFonts w:ascii="Times New Roman" w:hAnsi="Times New Roman" w:cs="Times New Roman"/>
          <w:sz w:val="24"/>
          <w:lang w:val="en-US"/>
        </w:rPr>
        <w:t>。</w:t>
      </w:r>
    </w:p>
    <w:p w:rsidR="00802847" w:rsidRDefault="00353001">
      <w:pPr>
        <w:tabs>
          <w:tab w:val="left" w:pos="1078"/>
        </w:tabs>
        <w:spacing w:line="360" w:lineRule="auto"/>
        <w:ind w:leftChars="74" w:left="163" w:firstLineChars="200" w:firstLine="480"/>
        <w:jc w:val="both"/>
        <w:rPr>
          <w:rFonts w:ascii="Times New Roman" w:hAnsi="Times New Roman" w:cs="Times New Roman"/>
          <w:sz w:val="24"/>
          <w:lang w:val="en-US"/>
        </w:rPr>
      </w:pPr>
      <w:r>
        <w:rPr>
          <w:rFonts w:ascii="Times New Roman" w:hAnsi="Times New Roman" w:cs="Times New Roman"/>
          <w:sz w:val="24"/>
          <w:lang w:val="en-US"/>
        </w:rPr>
        <w:t>本标准由</w:t>
      </w:r>
      <w:r>
        <w:rPr>
          <w:rFonts w:ascii="Times New Roman" w:hAnsi="Times New Roman" w:cs="Times New Roman" w:hint="eastAsia"/>
          <w:sz w:val="24"/>
          <w:lang w:val="en-US"/>
        </w:rPr>
        <w:t>天津</w:t>
      </w:r>
      <w:r>
        <w:rPr>
          <w:rFonts w:ascii="Times New Roman" w:hAnsi="Times New Roman" w:cs="Times New Roman"/>
          <w:sz w:val="24"/>
          <w:lang w:val="en-US"/>
        </w:rPr>
        <w:t>大学提出，中国国际科技促进会归口。</w:t>
      </w:r>
    </w:p>
    <w:p w:rsidR="00802847" w:rsidRDefault="00353001">
      <w:pPr>
        <w:tabs>
          <w:tab w:val="left" w:pos="1078"/>
        </w:tabs>
        <w:spacing w:line="360" w:lineRule="auto"/>
        <w:ind w:leftChars="74" w:left="163" w:firstLineChars="200" w:firstLine="480"/>
        <w:jc w:val="both"/>
        <w:rPr>
          <w:rFonts w:ascii="Times New Roman" w:hAnsi="Times New Roman" w:cs="Times New Roman"/>
          <w:sz w:val="24"/>
          <w:lang w:val="en-US"/>
        </w:rPr>
      </w:pPr>
      <w:r>
        <w:rPr>
          <w:rFonts w:ascii="Times New Roman" w:hAnsi="Times New Roman" w:cs="Times New Roman" w:hint="eastAsia"/>
          <w:sz w:val="24"/>
          <w:lang w:val="en-US"/>
        </w:rPr>
        <w:t>根据计划要求，本标准完成时限为</w:t>
      </w:r>
      <w:r>
        <w:rPr>
          <w:rFonts w:ascii="Times New Roman" w:hAnsi="Times New Roman" w:cs="Times New Roman" w:hint="eastAsia"/>
          <w:sz w:val="24"/>
          <w:lang w:val="en-US"/>
        </w:rPr>
        <w:t>7</w:t>
      </w:r>
      <w:r>
        <w:rPr>
          <w:rFonts w:ascii="Times New Roman" w:hAnsi="Times New Roman" w:cs="Times New Roman"/>
          <w:sz w:val="24"/>
          <w:lang w:val="en-US"/>
        </w:rPr>
        <w:t>个月。</w:t>
      </w:r>
    </w:p>
    <w:p w:rsidR="00802847" w:rsidRDefault="00353001">
      <w:pPr>
        <w:spacing w:before="86" w:line="360" w:lineRule="auto"/>
        <w:ind w:left="420"/>
        <w:rPr>
          <w:rFonts w:cstheme="minorEastAsia"/>
          <w:b/>
          <w:sz w:val="24"/>
          <w:szCs w:val="28"/>
        </w:rPr>
      </w:pPr>
      <w:r>
        <w:rPr>
          <w:rFonts w:cstheme="minorEastAsia" w:hint="eastAsia"/>
          <w:b/>
          <w:sz w:val="24"/>
          <w:szCs w:val="28"/>
        </w:rPr>
        <w:lastRenderedPageBreak/>
        <w:t>（二）标准起草单位</w:t>
      </w:r>
    </w:p>
    <w:p w:rsidR="00802847" w:rsidRDefault="00353001">
      <w:pPr>
        <w:tabs>
          <w:tab w:val="left" w:pos="1078"/>
        </w:tabs>
        <w:spacing w:line="360" w:lineRule="auto"/>
        <w:ind w:leftChars="74" w:left="163" w:firstLineChars="200" w:firstLine="480"/>
        <w:jc w:val="both"/>
        <w:rPr>
          <w:rFonts w:ascii="Times New Roman" w:hAnsi="Times New Roman" w:cs="Times New Roman"/>
          <w:sz w:val="24"/>
          <w:lang w:val="en-US"/>
        </w:rPr>
      </w:pPr>
      <w:r>
        <w:rPr>
          <w:rFonts w:ascii="Times New Roman" w:hAnsi="Times New Roman" w:cs="Times New Roman" w:hint="eastAsia"/>
          <w:sz w:val="24"/>
          <w:lang w:val="en-US"/>
        </w:rPr>
        <w:t>本标准的主要起草单位是天津大学，负责标准文档起草及相关文件的编制。天津商业大学、江苏中车环保设备有限公司、中节能（北京）节能环保工程有限公司、河南九域智能新型材料环保科技有限公司为</w:t>
      </w:r>
      <w:r>
        <w:rPr>
          <w:rFonts w:ascii="Times New Roman" w:hAnsi="Times New Roman" w:cs="Times New Roman"/>
          <w:sz w:val="24"/>
          <w:lang w:val="en-US"/>
        </w:rPr>
        <w:t>主要参与单位，负责标准中重要技术点的研究和建议，并参与标准内容的讨论</w:t>
      </w:r>
      <w:r>
        <w:rPr>
          <w:rFonts w:ascii="Times New Roman" w:hAnsi="Times New Roman" w:cs="Times New Roman" w:hint="eastAsia"/>
          <w:sz w:val="24"/>
          <w:lang w:val="en-US"/>
        </w:rPr>
        <w:t>。</w:t>
      </w:r>
    </w:p>
    <w:p w:rsidR="00802847" w:rsidRDefault="00353001">
      <w:pPr>
        <w:spacing w:before="86" w:line="360" w:lineRule="auto"/>
        <w:ind w:left="420"/>
        <w:rPr>
          <w:rFonts w:cstheme="minorEastAsia"/>
          <w:b/>
          <w:sz w:val="24"/>
          <w:szCs w:val="28"/>
        </w:rPr>
      </w:pPr>
      <w:r>
        <w:rPr>
          <w:rFonts w:cstheme="minorEastAsia" w:hint="eastAsia"/>
          <w:b/>
          <w:sz w:val="24"/>
          <w:szCs w:val="28"/>
        </w:rPr>
        <w:t>（三）标准研制过程及相关工作计划</w:t>
      </w:r>
    </w:p>
    <w:p w:rsidR="00802847" w:rsidRDefault="00353001">
      <w:pPr>
        <w:tabs>
          <w:tab w:val="left" w:pos="1078"/>
        </w:tabs>
        <w:spacing w:line="360" w:lineRule="auto"/>
        <w:ind w:leftChars="74" w:left="163" w:firstLineChars="200" w:firstLine="480"/>
        <w:jc w:val="both"/>
        <w:rPr>
          <w:rFonts w:ascii="Times New Roman" w:hAnsi="Times New Roman" w:cs="Times New Roman"/>
          <w:sz w:val="24"/>
          <w:lang w:val="en-US"/>
        </w:rPr>
      </w:pPr>
      <w:r>
        <w:rPr>
          <w:rFonts w:ascii="Times New Roman" w:hAnsi="Times New Roman" w:cs="Times New Roman"/>
          <w:sz w:val="24"/>
          <w:lang w:val="en-US"/>
        </w:rPr>
        <w:t xml:space="preserve">1) </w:t>
      </w:r>
      <w:r>
        <w:rPr>
          <w:rFonts w:ascii="Times New Roman" w:hAnsi="Times New Roman" w:cs="Times New Roman"/>
          <w:sz w:val="24"/>
          <w:lang w:val="en-US"/>
        </w:rPr>
        <w:t>征求意见稿编制阶段：</w:t>
      </w:r>
    </w:p>
    <w:p w:rsidR="00802847" w:rsidRDefault="00353001">
      <w:pPr>
        <w:tabs>
          <w:tab w:val="left" w:pos="1078"/>
        </w:tabs>
        <w:spacing w:line="360" w:lineRule="auto"/>
        <w:ind w:leftChars="74" w:left="163" w:firstLineChars="200" w:firstLine="480"/>
        <w:jc w:val="both"/>
        <w:rPr>
          <w:rFonts w:ascii="Times New Roman" w:hAnsi="Times New Roman" w:cs="Times New Roman"/>
          <w:color w:val="000000" w:themeColor="text1"/>
          <w:sz w:val="24"/>
          <w:lang w:val="en-US"/>
        </w:rPr>
      </w:pPr>
      <w:r>
        <w:rPr>
          <w:rFonts w:ascii="Times New Roman" w:hAnsi="Times New Roman" w:cs="Times New Roman"/>
          <w:sz w:val="24"/>
          <w:lang w:val="en-US"/>
        </w:rPr>
        <w:t>任务下达后，项目承担单位</w:t>
      </w:r>
      <w:r>
        <w:rPr>
          <w:rFonts w:ascii="Times New Roman" w:hAnsi="Times New Roman" w:cs="Times New Roman" w:hint="eastAsia"/>
          <w:sz w:val="24"/>
          <w:lang w:val="en-US"/>
        </w:rPr>
        <w:t>天津</w:t>
      </w:r>
      <w:r>
        <w:rPr>
          <w:rFonts w:ascii="Times New Roman" w:hAnsi="Times New Roman" w:cs="Times New Roman"/>
          <w:sz w:val="24"/>
          <w:lang w:val="en-US"/>
        </w:rPr>
        <w:t>大学联合参与单</w:t>
      </w:r>
      <w:r>
        <w:rPr>
          <w:rFonts w:ascii="Times New Roman" w:hAnsi="Times New Roman" w:cs="Times New Roman"/>
          <w:color w:val="000000" w:themeColor="text1"/>
          <w:sz w:val="24"/>
          <w:lang w:val="en-US"/>
        </w:rPr>
        <w:t>位，于</w:t>
      </w:r>
      <w:r>
        <w:rPr>
          <w:rFonts w:ascii="Times New Roman" w:hAnsi="Times New Roman" w:cs="Times New Roman"/>
          <w:sz w:val="24"/>
          <w:lang w:val="en-US"/>
        </w:rPr>
        <w:t>2022</w:t>
      </w:r>
      <w:r>
        <w:rPr>
          <w:rFonts w:ascii="Times New Roman" w:hAnsi="Times New Roman" w:cs="Times New Roman"/>
          <w:sz w:val="24"/>
          <w:lang w:val="en-US"/>
        </w:rPr>
        <w:t>年</w:t>
      </w:r>
      <w:r>
        <w:rPr>
          <w:rFonts w:ascii="Times New Roman" w:hAnsi="Times New Roman" w:cs="Times New Roman"/>
          <w:sz w:val="24"/>
          <w:lang w:val="en-US"/>
        </w:rPr>
        <w:t>3</w:t>
      </w:r>
      <w:r>
        <w:rPr>
          <w:rFonts w:ascii="Times New Roman" w:hAnsi="Times New Roman" w:cs="Times New Roman"/>
          <w:sz w:val="24"/>
          <w:lang w:val="en-US"/>
        </w:rPr>
        <w:t>月</w:t>
      </w:r>
      <w:r>
        <w:rPr>
          <w:rFonts w:ascii="Times New Roman" w:hAnsi="Times New Roman" w:cs="Times New Roman"/>
          <w:sz w:val="24"/>
          <w:lang w:val="en-US"/>
        </w:rPr>
        <w:t>10</w:t>
      </w:r>
      <w:r>
        <w:rPr>
          <w:rFonts w:ascii="Times New Roman" w:hAnsi="Times New Roman" w:cs="Times New Roman"/>
          <w:sz w:val="24"/>
          <w:lang w:val="en-US"/>
        </w:rPr>
        <w:t>日</w:t>
      </w:r>
      <w:r>
        <w:rPr>
          <w:rFonts w:ascii="Times New Roman" w:hAnsi="Times New Roman" w:cs="Times New Roman"/>
          <w:color w:val="000000" w:themeColor="text1"/>
          <w:sz w:val="24"/>
          <w:lang w:val="en-US"/>
        </w:rPr>
        <w:t>成立标准编制组。编制组成员对</w:t>
      </w:r>
      <w:r>
        <w:rPr>
          <w:rFonts w:ascii="Times New Roman" w:hAnsi="Times New Roman" w:cs="Times New Roman" w:hint="eastAsia"/>
          <w:color w:val="000000" w:themeColor="text1"/>
          <w:sz w:val="24"/>
          <w:lang w:val="en-US"/>
        </w:rPr>
        <w:t>我国不同村镇地区垃圾产量与主要成分；垃圾热解气化项目在村镇地区的应用情况</w:t>
      </w:r>
      <w:r>
        <w:rPr>
          <w:rFonts w:ascii="Times New Roman" w:hAnsi="Times New Roman" w:cs="Times New Roman"/>
          <w:color w:val="000000" w:themeColor="text1"/>
          <w:sz w:val="24"/>
          <w:lang w:val="en-US"/>
        </w:rPr>
        <w:t>分别进行了调研</w:t>
      </w:r>
      <w:r>
        <w:rPr>
          <w:rFonts w:ascii="Times New Roman" w:hAnsi="Times New Roman" w:cs="Times New Roman" w:hint="eastAsia"/>
          <w:color w:val="000000" w:themeColor="text1"/>
          <w:sz w:val="24"/>
          <w:lang w:val="en-US"/>
        </w:rPr>
        <w:t>，</w:t>
      </w:r>
      <w:r>
        <w:rPr>
          <w:rFonts w:ascii="Times New Roman" w:hAnsi="Times New Roman" w:cs="Times New Roman"/>
          <w:color w:val="000000" w:themeColor="text1"/>
          <w:sz w:val="24"/>
          <w:lang w:val="en-US"/>
        </w:rPr>
        <w:t>经汇总讨论后，编制组确定了标准中需要规定的主要技术内容，并于</w:t>
      </w:r>
      <w:r>
        <w:rPr>
          <w:rFonts w:ascii="Times New Roman" w:hAnsi="Times New Roman" w:cs="Times New Roman"/>
          <w:sz w:val="24"/>
          <w:lang w:val="en-US"/>
        </w:rPr>
        <w:t>202</w:t>
      </w:r>
      <w:r>
        <w:rPr>
          <w:rFonts w:ascii="Times New Roman" w:hAnsi="Times New Roman" w:cs="Times New Roman" w:hint="eastAsia"/>
          <w:sz w:val="24"/>
          <w:lang w:val="en-US"/>
        </w:rPr>
        <w:t>2</w:t>
      </w:r>
      <w:r>
        <w:rPr>
          <w:rFonts w:ascii="Times New Roman" w:hAnsi="Times New Roman" w:cs="Times New Roman"/>
          <w:sz w:val="24"/>
          <w:lang w:val="en-US"/>
        </w:rPr>
        <w:t>年</w:t>
      </w:r>
      <w:r>
        <w:rPr>
          <w:rFonts w:ascii="Times New Roman" w:hAnsi="Times New Roman" w:cs="Times New Roman"/>
          <w:sz w:val="24"/>
          <w:lang w:val="en-US"/>
        </w:rPr>
        <w:t>4</w:t>
      </w:r>
      <w:r>
        <w:rPr>
          <w:rFonts w:ascii="Times New Roman" w:hAnsi="Times New Roman" w:cs="Times New Roman"/>
          <w:sz w:val="24"/>
          <w:lang w:val="en-US"/>
        </w:rPr>
        <w:t>月</w:t>
      </w:r>
      <w:r>
        <w:rPr>
          <w:rFonts w:ascii="Times New Roman" w:hAnsi="Times New Roman" w:cs="Times New Roman"/>
          <w:sz w:val="24"/>
          <w:lang w:val="en-US"/>
        </w:rPr>
        <w:t>25</w:t>
      </w:r>
      <w:r>
        <w:rPr>
          <w:rFonts w:ascii="Times New Roman" w:hAnsi="Times New Roman" w:cs="Times New Roman"/>
          <w:sz w:val="24"/>
          <w:lang w:val="en-US"/>
        </w:rPr>
        <w:t>日</w:t>
      </w:r>
      <w:r>
        <w:rPr>
          <w:rFonts w:ascii="Times New Roman" w:hAnsi="Times New Roman" w:cs="Times New Roman"/>
          <w:color w:val="000000" w:themeColor="text1"/>
          <w:sz w:val="24"/>
          <w:lang w:val="en-US"/>
        </w:rPr>
        <w:t>完成了初稿并发送给各参与单位征求意见。</w:t>
      </w:r>
      <w:r>
        <w:rPr>
          <w:rFonts w:ascii="Times New Roman" w:hAnsi="Times New Roman" w:cs="Times New Roman"/>
          <w:color w:val="000000" w:themeColor="text1"/>
          <w:sz w:val="24"/>
          <w:lang w:val="en-US"/>
        </w:rPr>
        <w:t>2022</w:t>
      </w:r>
      <w:r>
        <w:rPr>
          <w:rFonts w:ascii="Times New Roman" w:hAnsi="Times New Roman" w:cs="Times New Roman"/>
          <w:color w:val="000000" w:themeColor="text1"/>
          <w:sz w:val="24"/>
          <w:lang w:val="en-US"/>
        </w:rPr>
        <w:t>年</w:t>
      </w:r>
      <w:r>
        <w:rPr>
          <w:rFonts w:ascii="Times New Roman" w:hAnsi="Times New Roman" w:cs="Times New Roman"/>
          <w:color w:val="000000" w:themeColor="text1"/>
          <w:sz w:val="24"/>
          <w:lang w:val="en-US"/>
        </w:rPr>
        <w:t>5</w:t>
      </w:r>
      <w:r>
        <w:rPr>
          <w:rFonts w:ascii="Times New Roman" w:hAnsi="Times New Roman" w:cs="Times New Roman"/>
          <w:color w:val="000000" w:themeColor="text1"/>
          <w:sz w:val="24"/>
          <w:lang w:val="en-US"/>
        </w:rPr>
        <w:t>月</w:t>
      </w:r>
      <w:r>
        <w:rPr>
          <w:rFonts w:ascii="Times New Roman" w:hAnsi="Times New Roman" w:cs="Times New Roman"/>
          <w:color w:val="000000" w:themeColor="text1"/>
          <w:sz w:val="24"/>
          <w:lang w:val="en-US"/>
        </w:rPr>
        <w:t>15</w:t>
      </w:r>
      <w:r>
        <w:rPr>
          <w:rFonts w:ascii="Times New Roman" w:hAnsi="Times New Roman" w:cs="Times New Roman"/>
          <w:color w:val="000000" w:themeColor="text1"/>
          <w:sz w:val="24"/>
          <w:lang w:val="en-US"/>
        </w:rPr>
        <w:t>日根据在各单位反馈意见基础上，形成了标准征求意见稿并</w:t>
      </w:r>
      <w:r>
        <w:rPr>
          <w:rFonts w:ascii="Times New Roman" w:hAnsi="Times New Roman" w:cs="Times New Roman" w:hint="eastAsia"/>
          <w:color w:val="000000" w:themeColor="text1"/>
          <w:sz w:val="24"/>
          <w:lang w:val="en-US"/>
        </w:rPr>
        <w:t>提交给</w:t>
      </w:r>
      <w:r>
        <w:rPr>
          <w:rFonts w:ascii="Times New Roman" w:hAnsi="Times New Roman" w:cs="Times New Roman"/>
          <w:color w:val="000000" w:themeColor="text1"/>
          <w:sz w:val="24"/>
          <w:lang w:val="en-US"/>
        </w:rPr>
        <w:t>中国国际</w:t>
      </w:r>
      <w:r>
        <w:rPr>
          <w:rFonts w:ascii="Times New Roman" w:hAnsi="Times New Roman" w:cs="Times New Roman" w:hint="eastAsia"/>
          <w:color w:val="000000" w:themeColor="text1"/>
          <w:sz w:val="24"/>
          <w:lang w:val="en-US"/>
        </w:rPr>
        <w:t>科技促进会</w:t>
      </w:r>
      <w:r>
        <w:rPr>
          <w:rFonts w:ascii="Times New Roman" w:hAnsi="Times New Roman" w:cs="Times New Roman"/>
          <w:color w:val="000000" w:themeColor="text1"/>
          <w:sz w:val="24"/>
          <w:lang w:val="en-US"/>
        </w:rPr>
        <w:t>。</w:t>
      </w:r>
    </w:p>
    <w:p w:rsidR="00802847" w:rsidRDefault="00353001">
      <w:pPr>
        <w:tabs>
          <w:tab w:val="left" w:pos="1078"/>
        </w:tabs>
        <w:spacing w:line="360" w:lineRule="auto"/>
        <w:ind w:leftChars="74" w:left="163" w:firstLineChars="200" w:firstLine="480"/>
        <w:jc w:val="both"/>
        <w:rPr>
          <w:rFonts w:ascii="Times New Roman" w:hAnsi="Times New Roman" w:cs="Times New Roman"/>
          <w:color w:val="000000" w:themeColor="text1"/>
          <w:sz w:val="24"/>
          <w:lang w:val="en-US"/>
        </w:rPr>
      </w:pPr>
      <w:r>
        <w:rPr>
          <w:rFonts w:ascii="Times New Roman" w:hAnsi="Times New Roman" w:cs="Times New Roman"/>
          <w:color w:val="000000" w:themeColor="text1"/>
          <w:sz w:val="24"/>
          <w:lang w:val="en-US"/>
        </w:rPr>
        <w:t xml:space="preserve">2) </w:t>
      </w:r>
      <w:r>
        <w:rPr>
          <w:rFonts w:ascii="Times New Roman" w:hAnsi="Times New Roman" w:cs="Times New Roman"/>
          <w:color w:val="000000" w:themeColor="text1"/>
          <w:sz w:val="24"/>
          <w:lang w:val="en-US"/>
        </w:rPr>
        <w:t>标准论证阶段：</w:t>
      </w:r>
    </w:p>
    <w:p w:rsidR="00802847" w:rsidRDefault="00353001">
      <w:pPr>
        <w:tabs>
          <w:tab w:val="left" w:pos="1078"/>
        </w:tabs>
        <w:spacing w:line="360" w:lineRule="auto"/>
        <w:ind w:leftChars="74" w:left="163" w:firstLineChars="200" w:firstLine="480"/>
        <w:jc w:val="both"/>
        <w:rPr>
          <w:rFonts w:ascii="Times New Roman" w:hAnsi="Times New Roman" w:cs="Times New Roman"/>
          <w:color w:val="FF0000"/>
          <w:sz w:val="24"/>
          <w:lang w:val="en-US"/>
        </w:rPr>
      </w:pPr>
      <w:r>
        <w:rPr>
          <w:rFonts w:ascii="Times New Roman" w:hAnsi="Times New Roman" w:cs="Times New Roman" w:hint="eastAsia"/>
          <w:color w:val="000000" w:themeColor="text1"/>
          <w:sz w:val="24"/>
          <w:lang w:val="en-US"/>
        </w:rPr>
        <w:t>标准拟</w:t>
      </w:r>
      <w:r>
        <w:rPr>
          <w:rFonts w:ascii="Times New Roman" w:hAnsi="Times New Roman" w:cs="Times New Roman"/>
          <w:color w:val="000000" w:themeColor="text1"/>
          <w:sz w:val="24"/>
          <w:lang w:val="en-US"/>
        </w:rPr>
        <w:t>于</w:t>
      </w:r>
      <w:r>
        <w:rPr>
          <w:rFonts w:ascii="Times New Roman" w:hAnsi="Times New Roman" w:cs="Times New Roman"/>
          <w:sz w:val="24"/>
          <w:lang w:val="en-US"/>
        </w:rPr>
        <w:t>202</w:t>
      </w:r>
      <w:r>
        <w:rPr>
          <w:rFonts w:ascii="Times New Roman" w:hAnsi="Times New Roman" w:cs="Times New Roman" w:hint="eastAsia"/>
          <w:sz w:val="24"/>
          <w:lang w:val="en-US"/>
        </w:rPr>
        <w:t>2</w:t>
      </w:r>
      <w:r>
        <w:rPr>
          <w:rFonts w:ascii="Times New Roman" w:hAnsi="Times New Roman" w:cs="Times New Roman"/>
          <w:sz w:val="24"/>
          <w:lang w:val="en-US"/>
        </w:rPr>
        <w:t>年</w:t>
      </w:r>
      <w:r>
        <w:rPr>
          <w:rFonts w:ascii="Times New Roman" w:hAnsi="Times New Roman" w:cs="Times New Roman"/>
          <w:sz w:val="24"/>
          <w:lang w:val="en-US"/>
        </w:rPr>
        <w:t>6</w:t>
      </w:r>
      <w:r>
        <w:rPr>
          <w:rFonts w:ascii="Times New Roman" w:hAnsi="Times New Roman" w:cs="Times New Roman" w:hint="eastAsia"/>
          <w:sz w:val="24"/>
          <w:lang w:val="en-US"/>
        </w:rPr>
        <w:t>月</w:t>
      </w:r>
      <w:r>
        <w:rPr>
          <w:rFonts w:ascii="Times New Roman" w:hAnsi="Times New Roman" w:cs="Times New Roman" w:hint="eastAsia"/>
          <w:sz w:val="24"/>
          <w:lang w:val="en-US"/>
        </w:rPr>
        <w:t>底</w:t>
      </w:r>
      <w:r>
        <w:rPr>
          <w:rFonts w:ascii="Times New Roman" w:hAnsi="Times New Roman" w:cs="Times New Roman" w:hint="eastAsia"/>
          <w:color w:val="000000" w:themeColor="text1"/>
          <w:sz w:val="24"/>
          <w:lang w:val="en-US"/>
        </w:rPr>
        <w:t>由</w:t>
      </w:r>
      <w:r>
        <w:rPr>
          <w:rFonts w:ascii="Times New Roman" w:hAnsi="Times New Roman" w:cs="Times New Roman"/>
          <w:color w:val="000000" w:themeColor="text1"/>
          <w:sz w:val="24"/>
          <w:lang w:val="en-US"/>
        </w:rPr>
        <w:t>中国国际科技促进会以视频会议的形式</w:t>
      </w:r>
      <w:proofErr w:type="gramStart"/>
      <w:r>
        <w:rPr>
          <w:rFonts w:ascii="Times New Roman" w:hAnsi="Times New Roman" w:cs="Times New Roman"/>
          <w:color w:val="000000" w:themeColor="text1"/>
          <w:sz w:val="24"/>
          <w:lang w:val="en-US"/>
        </w:rPr>
        <w:t>组织线</w:t>
      </w:r>
      <w:proofErr w:type="gramEnd"/>
      <w:r>
        <w:rPr>
          <w:rFonts w:ascii="Times New Roman" w:hAnsi="Times New Roman" w:cs="Times New Roman"/>
          <w:color w:val="000000" w:themeColor="text1"/>
          <w:sz w:val="24"/>
          <w:lang w:val="en-US"/>
        </w:rPr>
        <w:t>上专家评审会。标准编制组</w:t>
      </w:r>
      <w:r>
        <w:rPr>
          <w:rFonts w:ascii="Times New Roman" w:hAnsi="Times New Roman" w:cs="Times New Roman" w:hint="eastAsia"/>
          <w:color w:val="000000" w:themeColor="text1"/>
          <w:sz w:val="24"/>
          <w:lang w:val="en-US"/>
        </w:rPr>
        <w:t>将根据</w:t>
      </w:r>
      <w:r>
        <w:rPr>
          <w:rFonts w:ascii="Times New Roman" w:hAnsi="Times New Roman" w:cs="Times New Roman"/>
          <w:color w:val="000000" w:themeColor="text1"/>
          <w:sz w:val="24"/>
          <w:lang w:val="en-US"/>
        </w:rPr>
        <w:t>评审会与会专家的建议</w:t>
      </w:r>
      <w:r>
        <w:rPr>
          <w:rFonts w:ascii="Times New Roman" w:hAnsi="Times New Roman" w:cs="Times New Roman" w:hint="eastAsia"/>
          <w:color w:val="000000" w:themeColor="text1"/>
          <w:sz w:val="24"/>
          <w:lang w:val="en-US"/>
        </w:rPr>
        <w:t>进行修改</w:t>
      </w:r>
      <w:r>
        <w:rPr>
          <w:rFonts w:ascii="Times New Roman" w:hAnsi="Times New Roman" w:cs="Times New Roman"/>
          <w:color w:val="000000" w:themeColor="text1"/>
          <w:sz w:val="24"/>
          <w:lang w:val="en-US"/>
        </w:rPr>
        <w:t>与完善。</w:t>
      </w:r>
    </w:p>
    <w:p w:rsidR="00802847" w:rsidRDefault="00802847">
      <w:pPr>
        <w:tabs>
          <w:tab w:val="left" w:pos="1078"/>
        </w:tabs>
        <w:spacing w:line="360" w:lineRule="auto"/>
        <w:jc w:val="both"/>
        <w:rPr>
          <w:rFonts w:ascii="Times New Roman" w:hAnsi="Times New Roman" w:cs="Times New Roman"/>
          <w:sz w:val="24"/>
          <w:lang w:val="en-US"/>
        </w:rPr>
      </w:pPr>
    </w:p>
    <w:p w:rsidR="00802847" w:rsidRDefault="00353001">
      <w:pPr>
        <w:pStyle w:val="2"/>
        <w:numPr>
          <w:ilvl w:val="0"/>
          <w:numId w:val="1"/>
        </w:numPr>
        <w:spacing w:before="120" w:line="360" w:lineRule="auto"/>
        <w:ind w:left="0" w:firstLine="0"/>
        <w:rPr>
          <w:rFonts w:ascii="黑体" w:hAnsi="黑体" w:cstheme="minorEastAsia"/>
          <w:b w:val="0"/>
          <w:sz w:val="28"/>
        </w:rPr>
      </w:pPr>
      <w:r>
        <w:rPr>
          <w:rFonts w:ascii="黑体" w:hAnsi="黑体" w:cstheme="minorEastAsia" w:hint="eastAsia"/>
          <w:b w:val="0"/>
          <w:sz w:val="28"/>
        </w:rPr>
        <w:t>标准制定的基本原则</w:t>
      </w:r>
    </w:p>
    <w:p w:rsidR="00802847" w:rsidRDefault="00353001">
      <w:pPr>
        <w:tabs>
          <w:tab w:val="left" w:pos="1078"/>
        </w:tabs>
        <w:spacing w:line="360" w:lineRule="auto"/>
        <w:ind w:leftChars="74" w:left="163" w:firstLineChars="200" w:firstLine="480"/>
        <w:jc w:val="both"/>
        <w:rPr>
          <w:rFonts w:ascii="Times New Roman" w:hAnsi="Times New Roman" w:cs="Times New Roman"/>
          <w:sz w:val="24"/>
          <w:lang w:val="en-US"/>
        </w:rPr>
      </w:pPr>
      <w:r>
        <w:rPr>
          <w:rFonts w:ascii="Times New Roman" w:hAnsi="Times New Roman" w:cs="Times New Roman"/>
          <w:sz w:val="24"/>
          <w:lang w:val="en-US"/>
        </w:rPr>
        <w:t>标准编制过程中，遵循了以下基本原则：</w:t>
      </w:r>
    </w:p>
    <w:p w:rsidR="00802847" w:rsidRDefault="00353001">
      <w:pPr>
        <w:tabs>
          <w:tab w:val="left" w:pos="1078"/>
        </w:tabs>
        <w:spacing w:line="360" w:lineRule="auto"/>
        <w:ind w:leftChars="74" w:left="163" w:firstLineChars="200" w:firstLine="480"/>
        <w:jc w:val="both"/>
        <w:rPr>
          <w:rFonts w:ascii="Times New Roman" w:hAnsi="Times New Roman" w:cs="Times New Roman"/>
          <w:sz w:val="24"/>
          <w:lang w:val="en-US"/>
        </w:rPr>
      </w:pPr>
      <w:r>
        <w:rPr>
          <w:rFonts w:ascii="Times New Roman" w:hAnsi="Times New Roman" w:cs="Times New Roman"/>
          <w:sz w:val="24"/>
          <w:lang w:val="en-US"/>
        </w:rPr>
        <w:t xml:space="preserve">1)  </w:t>
      </w:r>
      <w:r>
        <w:rPr>
          <w:rFonts w:ascii="Times New Roman" w:hAnsi="Times New Roman" w:cs="Times New Roman" w:hint="eastAsia"/>
          <w:sz w:val="24"/>
          <w:lang w:val="en-US"/>
        </w:rPr>
        <w:t>符合国家的政策，贯彻国家的法律法规。</w:t>
      </w:r>
    </w:p>
    <w:p w:rsidR="00802847" w:rsidRDefault="00353001">
      <w:pPr>
        <w:tabs>
          <w:tab w:val="left" w:pos="1078"/>
        </w:tabs>
        <w:spacing w:line="360" w:lineRule="auto"/>
        <w:ind w:leftChars="74" w:left="163" w:firstLineChars="200" w:firstLine="480"/>
        <w:jc w:val="both"/>
        <w:rPr>
          <w:rFonts w:ascii="Times New Roman" w:hAnsi="Times New Roman" w:cs="Times New Roman"/>
          <w:sz w:val="24"/>
          <w:lang w:val="en-US"/>
        </w:rPr>
      </w:pPr>
      <w:bookmarkStart w:id="1" w:name="_Hlk103197223"/>
      <w:r>
        <w:rPr>
          <w:rFonts w:ascii="Times New Roman" w:hAnsi="Times New Roman" w:cs="Times New Roman"/>
          <w:sz w:val="24"/>
          <w:lang w:val="en-US"/>
        </w:rPr>
        <w:t xml:space="preserve">2) </w:t>
      </w:r>
      <w:bookmarkEnd w:id="1"/>
      <w:r>
        <w:rPr>
          <w:rFonts w:ascii="Times New Roman" w:hAnsi="Times New Roman" w:cs="Times New Roman"/>
          <w:sz w:val="24"/>
          <w:lang w:val="en-US"/>
        </w:rPr>
        <w:t>标准需要具有行业特点，指标及其对应的要求积极参照采用国家标准和行业标准。</w:t>
      </w:r>
    </w:p>
    <w:p w:rsidR="00802847" w:rsidRDefault="00353001">
      <w:pPr>
        <w:tabs>
          <w:tab w:val="left" w:pos="1078"/>
        </w:tabs>
        <w:spacing w:line="360" w:lineRule="auto"/>
        <w:ind w:leftChars="74" w:left="163" w:firstLineChars="200" w:firstLine="480"/>
        <w:jc w:val="both"/>
        <w:rPr>
          <w:rFonts w:ascii="Times New Roman" w:hAnsi="Times New Roman" w:cs="Times New Roman"/>
          <w:sz w:val="24"/>
          <w:lang w:val="en-US"/>
        </w:rPr>
      </w:pPr>
      <w:r>
        <w:rPr>
          <w:rFonts w:ascii="Times New Roman" w:hAnsi="Times New Roman" w:cs="Times New Roman"/>
          <w:sz w:val="24"/>
          <w:lang w:val="en-US"/>
        </w:rPr>
        <w:t xml:space="preserve">3) </w:t>
      </w:r>
      <w:r>
        <w:rPr>
          <w:rFonts w:ascii="Times New Roman" w:hAnsi="Times New Roman" w:cs="Times New Roman"/>
          <w:sz w:val="24"/>
          <w:lang w:val="en-US"/>
        </w:rPr>
        <w:t>标准能够体现出技术的</w:t>
      </w:r>
      <w:r>
        <w:rPr>
          <w:rFonts w:ascii="Times New Roman" w:hAnsi="Times New Roman" w:cs="Times New Roman" w:hint="eastAsia"/>
          <w:sz w:val="24"/>
          <w:lang w:val="en-US"/>
        </w:rPr>
        <w:t>先进性以及应用的经济性</w:t>
      </w:r>
      <w:r>
        <w:rPr>
          <w:rFonts w:ascii="Times New Roman" w:hAnsi="Times New Roman" w:cs="Times New Roman"/>
          <w:sz w:val="24"/>
          <w:lang w:val="en-US"/>
        </w:rPr>
        <w:t>。</w:t>
      </w:r>
    </w:p>
    <w:p w:rsidR="00802847" w:rsidRDefault="00353001">
      <w:pPr>
        <w:tabs>
          <w:tab w:val="left" w:pos="1078"/>
        </w:tabs>
        <w:spacing w:line="360" w:lineRule="auto"/>
        <w:ind w:leftChars="74" w:left="163" w:firstLineChars="200" w:firstLine="480"/>
        <w:jc w:val="both"/>
        <w:rPr>
          <w:rFonts w:ascii="Times New Roman" w:hAnsi="Times New Roman" w:cs="Times New Roman"/>
          <w:sz w:val="24"/>
          <w:lang w:val="en-US"/>
        </w:rPr>
      </w:pPr>
      <w:r>
        <w:rPr>
          <w:rFonts w:ascii="Times New Roman" w:hAnsi="Times New Roman" w:cs="Times New Roman"/>
          <w:sz w:val="24"/>
          <w:lang w:val="en-US"/>
        </w:rPr>
        <w:t xml:space="preserve">4) </w:t>
      </w:r>
      <w:r>
        <w:rPr>
          <w:rFonts w:ascii="Times New Roman" w:hAnsi="Times New Roman" w:cs="Times New Roman"/>
          <w:sz w:val="24"/>
          <w:lang w:val="en-US"/>
        </w:rPr>
        <w:t>标准能够为技术的研发、改进指出明确的方向。</w:t>
      </w:r>
    </w:p>
    <w:p w:rsidR="00802847" w:rsidRDefault="00353001">
      <w:pPr>
        <w:tabs>
          <w:tab w:val="left" w:pos="1078"/>
        </w:tabs>
        <w:spacing w:line="360" w:lineRule="auto"/>
        <w:ind w:leftChars="74" w:left="163" w:firstLineChars="200" w:firstLine="480"/>
        <w:jc w:val="both"/>
        <w:rPr>
          <w:rFonts w:ascii="Times New Roman" w:hAnsi="Times New Roman" w:cs="Times New Roman"/>
          <w:sz w:val="24"/>
          <w:lang w:val="en-US"/>
        </w:rPr>
      </w:pPr>
      <w:r>
        <w:rPr>
          <w:rFonts w:ascii="Times New Roman" w:hAnsi="Times New Roman" w:cs="Times New Roman"/>
          <w:sz w:val="24"/>
          <w:lang w:val="en-US"/>
        </w:rPr>
        <w:t xml:space="preserve">5) </w:t>
      </w:r>
      <w:r>
        <w:rPr>
          <w:rFonts w:ascii="Times New Roman" w:hAnsi="Times New Roman" w:cs="Times New Roman"/>
          <w:sz w:val="24"/>
          <w:lang w:val="en-US"/>
        </w:rPr>
        <w:t>标准需要具有科学性、先进性和可操作性。</w:t>
      </w:r>
      <w:r>
        <w:rPr>
          <w:rFonts w:ascii="Times New Roman" w:hAnsi="Times New Roman" w:cs="Times New Roman"/>
          <w:sz w:val="24"/>
          <w:lang w:val="en-US"/>
        </w:rPr>
        <w:t xml:space="preserve"> </w:t>
      </w:r>
    </w:p>
    <w:p w:rsidR="00802847" w:rsidRDefault="00353001">
      <w:pPr>
        <w:tabs>
          <w:tab w:val="left" w:pos="1078"/>
        </w:tabs>
        <w:spacing w:line="360" w:lineRule="auto"/>
        <w:ind w:leftChars="74" w:left="163" w:firstLineChars="200" w:firstLine="480"/>
        <w:jc w:val="both"/>
        <w:rPr>
          <w:rFonts w:ascii="Times New Roman" w:hAnsi="Times New Roman" w:cs="Times New Roman"/>
          <w:sz w:val="24"/>
          <w:lang w:val="en-US"/>
        </w:rPr>
      </w:pPr>
      <w:r>
        <w:rPr>
          <w:rFonts w:ascii="Times New Roman" w:hAnsi="Times New Roman" w:cs="Times New Roman"/>
          <w:sz w:val="24"/>
          <w:lang w:val="en-US"/>
        </w:rPr>
        <w:t xml:space="preserve">6) </w:t>
      </w:r>
      <w:r>
        <w:rPr>
          <w:rFonts w:ascii="Times New Roman" w:hAnsi="Times New Roman" w:cs="Times New Roman" w:hint="eastAsia"/>
          <w:sz w:val="24"/>
          <w:lang w:val="en-US"/>
        </w:rPr>
        <w:t>标准</w:t>
      </w:r>
      <w:r>
        <w:rPr>
          <w:rFonts w:ascii="Times New Roman" w:hAnsi="Times New Roman" w:cs="Times New Roman"/>
          <w:sz w:val="24"/>
          <w:lang w:val="en-US"/>
        </w:rPr>
        <w:t>要能够结合行业实际情况和技术特点。</w:t>
      </w:r>
    </w:p>
    <w:p w:rsidR="00802847" w:rsidRDefault="00353001">
      <w:pPr>
        <w:tabs>
          <w:tab w:val="left" w:pos="1078"/>
        </w:tabs>
        <w:spacing w:line="360" w:lineRule="auto"/>
        <w:ind w:leftChars="74" w:left="163" w:firstLineChars="200" w:firstLine="480"/>
        <w:jc w:val="both"/>
        <w:rPr>
          <w:rFonts w:ascii="Times New Roman" w:hAnsi="Times New Roman" w:cs="Times New Roman"/>
          <w:sz w:val="24"/>
          <w:lang w:val="en-US"/>
        </w:rPr>
      </w:pPr>
      <w:r>
        <w:rPr>
          <w:rFonts w:ascii="Times New Roman" w:hAnsi="Times New Roman" w:cs="Times New Roman"/>
          <w:sz w:val="24"/>
          <w:lang w:val="en-US"/>
        </w:rPr>
        <w:t xml:space="preserve">7) </w:t>
      </w:r>
      <w:r>
        <w:rPr>
          <w:rFonts w:ascii="Times New Roman" w:hAnsi="Times New Roman" w:cs="Times New Roman"/>
          <w:sz w:val="24"/>
          <w:lang w:val="en-US"/>
        </w:rPr>
        <w:t>与相关标准法规协调一致。</w:t>
      </w:r>
    </w:p>
    <w:p w:rsidR="00802847" w:rsidRDefault="00353001">
      <w:pPr>
        <w:tabs>
          <w:tab w:val="left" w:pos="1078"/>
        </w:tabs>
        <w:spacing w:line="360" w:lineRule="auto"/>
        <w:ind w:leftChars="74" w:left="163" w:firstLineChars="200" w:firstLine="480"/>
        <w:jc w:val="both"/>
        <w:rPr>
          <w:rFonts w:ascii="Times New Roman" w:hAnsi="Times New Roman" w:cs="Times New Roman"/>
          <w:sz w:val="24"/>
          <w:lang w:val="en-US"/>
        </w:rPr>
      </w:pPr>
      <w:r>
        <w:rPr>
          <w:rFonts w:ascii="Times New Roman" w:hAnsi="Times New Roman" w:cs="Times New Roman"/>
          <w:sz w:val="24"/>
          <w:lang w:val="en-US"/>
        </w:rPr>
        <w:t xml:space="preserve">8) </w:t>
      </w:r>
      <w:r>
        <w:rPr>
          <w:rFonts w:ascii="Times New Roman" w:hAnsi="Times New Roman" w:cs="Times New Roman" w:hint="eastAsia"/>
          <w:sz w:val="24"/>
          <w:lang w:val="en-US"/>
        </w:rPr>
        <w:t>标准要从全局出发，考虑全社会的综合效益</w:t>
      </w:r>
      <w:r>
        <w:rPr>
          <w:rFonts w:ascii="Times New Roman" w:hAnsi="Times New Roman" w:cs="Times New Roman"/>
          <w:sz w:val="24"/>
          <w:lang w:val="en-US"/>
        </w:rPr>
        <w:t>。</w:t>
      </w:r>
    </w:p>
    <w:p w:rsidR="00802847" w:rsidRDefault="00353001">
      <w:pPr>
        <w:tabs>
          <w:tab w:val="left" w:pos="1078"/>
        </w:tabs>
        <w:spacing w:line="360" w:lineRule="auto"/>
        <w:ind w:leftChars="74" w:left="163" w:firstLineChars="200" w:firstLine="480"/>
        <w:jc w:val="both"/>
        <w:rPr>
          <w:rFonts w:ascii="Times New Roman" w:hAnsi="Times New Roman" w:cs="Times New Roman"/>
          <w:sz w:val="24"/>
          <w:lang w:val="en-US"/>
        </w:rPr>
      </w:pPr>
      <w:r>
        <w:rPr>
          <w:rFonts w:ascii="Times New Roman" w:hAnsi="Times New Roman" w:cs="Times New Roman"/>
          <w:sz w:val="24"/>
          <w:lang w:val="en-US"/>
        </w:rPr>
        <w:t xml:space="preserve">9)  </w:t>
      </w:r>
      <w:r>
        <w:rPr>
          <w:rFonts w:ascii="Times New Roman" w:hAnsi="Times New Roman" w:cs="Times New Roman" w:hint="eastAsia"/>
          <w:sz w:val="24"/>
          <w:lang w:val="en-US"/>
        </w:rPr>
        <w:t>适时制定，适时复审。</w:t>
      </w:r>
    </w:p>
    <w:p w:rsidR="00802847" w:rsidRDefault="00353001">
      <w:pPr>
        <w:pStyle w:val="2"/>
        <w:numPr>
          <w:ilvl w:val="0"/>
          <w:numId w:val="1"/>
        </w:numPr>
        <w:spacing w:before="120" w:line="360" w:lineRule="auto"/>
        <w:ind w:left="0" w:firstLine="0"/>
        <w:rPr>
          <w:rFonts w:ascii="黑体" w:hAnsi="黑体" w:cstheme="minorEastAsia"/>
          <w:b w:val="0"/>
          <w:sz w:val="28"/>
        </w:rPr>
      </w:pPr>
      <w:r>
        <w:rPr>
          <w:rFonts w:ascii="黑体" w:hAnsi="黑体" w:cstheme="minorEastAsia" w:hint="eastAsia"/>
          <w:b w:val="0"/>
          <w:sz w:val="28"/>
        </w:rPr>
        <w:lastRenderedPageBreak/>
        <w:t>标准主要内容</w:t>
      </w:r>
    </w:p>
    <w:p w:rsidR="00802847" w:rsidRDefault="00353001">
      <w:pPr>
        <w:tabs>
          <w:tab w:val="left" w:pos="1078"/>
        </w:tabs>
        <w:spacing w:line="360" w:lineRule="auto"/>
        <w:ind w:leftChars="74" w:left="163" w:firstLineChars="200" w:firstLine="480"/>
        <w:jc w:val="both"/>
        <w:rPr>
          <w:rFonts w:ascii="Times New Roman" w:hAnsi="Times New Roman" w:cs="Times New Roman"/>
          <w:sz w:val="24"/>
          <w:lang w:val="en-US"/>
        </w:rPr>
      </w:pPr>
      <w:r>
        <w:rPr>
          <w:rFonts w:ascii="Times New Roman" w:hAnsi="Times New Roman" w:cs="Times New Roman" w:hint="eastAsia"/>
          <w:sz w:val="24"/>
          <w:lang w:val="en-US"/>
        </w:rPr>
        <w:t>本标准规定了村镇垃圾移动热解气化装备设计与装配过程中各环节的技术范围，也规定了装备运行过程中的达标要求。正文部分共分七章，内容包括：适用范围，规范性引用文件，术语与定义，装备设计（包括</w:t>
      </w:r>
      <w:r>
        <w:rPr>
          <w:rFonts w:ascii="Times New Roman" w:hAnsi="Times New Roman" w:cs="Times New Roman"/>
          <w:sz w:val="24"/>
          <w:lang w:val="en-US"/>
        </w:rPr>
        <w:t>设计前基本资料准备</w:t>
      </w:r>
      <w:r>
        <w:rPr>
          <w:rFonts w:ascii="Times New Roman" w:hAnsi="Times New Roman" w:cs="Times New Roman" w:hint="eastAsia"/>
          <w:sz w:val="24"/>
          <w:lang w:val="en-US"/>
        </w:rPr>
        <w:t>、</w:t>
      </w:r>
      <w:r>
        <w:rPr>
          <w:rFonts w:ascii="Times New Roman" w:hAnsi="Times New Roman" w:cs="Times New Roman"/>
          <w:sz w:val="24"/>
          <w:lang w:val="en-US"/>
        </w:rPr>
        <w:t>收集与预处理装置</w:t>
      </w:r>
      <w:r>
        <w:rPr>
          <w:rFonts w:ascii="Times New Roman" w:hAnsi="Times New Roman" w:cs="Times New Roman" w:hint="eastAsia"/>
          <w:sz w:val="24"/>
          <w:lang w:val="en-US"/>
        </w:rPr>
        <w:t>、</w:t>
      </w:r>
      <w:r>
        <w:rPr>
          <w:rFonts w:ascii="Times New Roman" w:hAnsi="Times New Roman" w:cs="Times New Roman"/>
          <w:sz w:val="24"/>
          <w:lang w:val="en-US"/>
        </w:rPr>
        <w:t>热解气化炉</w:t>
      </w:r>
      <w:r>
        <w:rPr>
          <w:rFonts w:ascii="Times New Roman" w:hAnsi="Times New Roman" w:cs="Times New Roman" w:hint="eastAsia"/>
          <w:sz w:val="24"/>
          <w:lang w:val="en-US"/>
        </w:rPr>
        <w:t>、</w:t>
      </w:r>
      <w:r>
        <w:rPr>
          <w:rFonts w:ascii="Times New Roman" w:hAnsi="Times New Roman" w:cs="Times New Roman"/>
          <w:sz w:val="24"/>
          <w:lang w:val="en-US"/>
        </w:rPr>
        <w:t>热解气化产物利用与物质能量循环</w:t>
      </w:r>
      <w:r>
        <w:rPr>
          <w:rFonts w:ascii="Times New Roman" w:hAnsi="Times New Roman" w:cs="Times New Roman" w:hint="eastAsia"/>
          <w:sz w:val="24"/>
          <w:lang w:val="en-US"/>
        </w:rPr>
        <w:t>、</w:t>
      </w:r>
      <w:r>
        <w:rPr>
          <w:rFonts w:ascii="Times New Roman" w:hAnsi="Times New Roman" w:cs="Times New Roman"/>
          <w:sz w:val="24"/>
          <w:lang w:val="en-US"/>
        </w:rPr>
        <w:t>污染控制</w:t>
      </w:r>
      <w:r>
        <w:rPr>
          <w:rFonts w:ascii="Times New Roman" w:hAnsi="Times New Roman" w:cs="Times New Roman" w:hint="eastAsia"/>
          <w:sz w:val="24"/>
          <w:lang w:val="en-US"/>
        </w:rPr>
        <w:t>、</w:t>
      </w:r>
      <w:r>
        <w:rPr>
          <w:rFonts w:ascii="Times New Roman" w:hAnsi="Times New Roman" w:cs="Times New Roman"/>
          <w:sz w:val="24"/>
          <w:lang w:val="en-US"/>
        </w:rPr>
        <w:t>移动平台</w:t>
      </w:r>
      <w:r>
        <w:rPr>
          <w:rFonts w:ascii="Times New Roman" w:hAnsi="Times New Roman" w:cs="Times New Roman" w:hint="eastAsia"/>
          <w:sz w:val="24"/>
          <w:lang w:val="en-US"/>
        </w:rPr>
        <w:t>），装备装配（包括</w:t>
      </w:r>
      <w:r>
        <w:rPr>
          <w:rFonts w:ascii="Times New Roman" w:hAnsi="Times New Roman" w:cs="Times New Roman"/>
          <w:sz w:val="24"/>
          <w:lang w:val="en-US"/>
        </w:rPr>
        <w:t>预处理与进料匹配</w:t>
      </w:r>
      <w:r>
        <w:rPr>
          <w:rFonts w:ascii="Times New Roman" w:hAnsi="Times New Roman" w:cs="Times New Roman" w:hint="eastAsia"/>
          <w:sz w:val="24"/>
          <w:lang w:val="en-US"/>
        </w:rPr>
        <w:t>、</w:t>
      </w:r>
      <w:r>
        <w:rPr>
          <w:rFonts w:ascii="Times New Roman" w:hAnsi="Times New Roman" w:cs="Times New Roman"/>
          <w:sz w:val="24"/>
          <w:lang w:val="en-US"/>
        </w:rPr>
        <w:t>产物保温与</w:t>
      </w:r>
      <w:proofErr w:type="gramStart"/>
      <w:r>
        <w:rPr>
          <w:rFonts w:ascii="Times New Roman" w:hAnsi="Times New Roman" w:cs="Times New Roman"/>
          <w:sz w:val="24"/>
          <w:lang w:val="en-US"/>
        </w:rPr>
        <w:t>燃烧回</w:t>
      </w:r>
      <w:proofErr w:type="gramEnd"/>
      <w:r>
        <w:rPr>
          <w:rFonts w:ascii="Times New Roman" w:hAnsi="Times New Roman" w:cs="Times New Roman"/>
          <w:sz w:val="24"/>
          <w:lang w:val="en-US"/>
        </w:rPr>
        <w:t>用</w:t>
      </w:r>
      <w:r>
        <w:rPr>
          <w:rFonts w:ascii="Times New Roman" w:hAnsi="Times New Roman" w:cs="Times New Roman" w:hint="eastAsia"/>
          <w:sz w:val="24"/>
          <w:lang w:val="en-US"/>
        </w:rPr>
        <w:t>、</w:t>
      </w:r>
      <w:r>
        <w:rPr>
          <w:rFonts w:ascii="Times New Roman" w:hAnsi="Times New Roman" w:cs="Times New Roman"/>
          <w:sz w:val="24"/>
          <w:lang w:val="en-US"/>
        </w:rPr>
        <w:t>尾气处理单元</w:t>
      </w:r>
      <w:r>
        <w:rPr>
          <w:rFonts w:ascii="Times New Roman" w:hAnsi="Times New Roman" w:cs="Times New Roman" w:hint="eastAsia"/>
          <w:sz w:val="24"/>
          <w:lang w:val="en-US"/>
        </w:rPr>
        <w:t>匹配、</w:t>
      </w:r>
      <w:r>
        <w:rPr>
          <w:rFonts w:ascii="Times New Roman" w:hAnsi="Times New Roman" w:cs="Times New Roman"/>
          <w:sz w:val="24"/>
          <w:lang w:val="en-US"/>
        </w:rPr>
        <w:t>尾渣处理单元匹配</w:t>
      </w:r>
      <w:r>
        <w:rPr>
          <w:rFonts w:ascii="Times New Roman" w:hAnsi="Times New Roman" w:cs="Times New Roman" w:hint="eastAsia"/>
          <w:sz w:val="24"/>
          <w:lang w:val="en-US"/>
        </w:rPr>
        <w:t>），装备运行与维护，消防、环保与安全生产。</w:t>
      </w:r>
    </w:p>
    <w:p w:rsidR="00802847" w:rsidRDefault="00353001">
      <w:pPr>
        <w:pStyle w:val="2"/>
        <w:numPr>
          <w:ilvl w:val="0"/>
          <w:numId w:val="1"/>
        </w:numPr>
        <w:spacing w:before="120" w:line="360" w:lineRule="auto"/>
        <w:ind w:left="0" w:firstLine="0"/>
        <w:rPr>
          <w:rFonts w:ascii="黑体" w:hAnsi="黑体" w:cstheme="minorEastAsia"/>
          <w:b w:val="0"/>
          <w:sz w:val="28"/>
        </w:rPr>
      </w:pPr>
      <w:r>
        <w:rPr>
          <w:rFonts w:ascii="黑体" w:hAnsi="黑体" w:cstheme="minorEastAsia" w:hint="eastAsia"/>
          <w:b w:val="0"/>
          <w:sz w:val="28"/>
        </w:rPr>
        <w:t>与有关法律法规和强制性标准的关系</w:t>
      </w:r>
    </w:p>
    <w:p w:rsidR="00802847" w:rsidRDefault="00353001">
      <w:pPr>
        <w:tabs>
          <w:tab w:val="left" w:pos="1078"/>
        </w:tabs>
        <w:spacing w:line="360" w:lineRule="auto"/>
        <w:ind w:firstLineChars="200" w:firstLine="480"/>
        <w:jc w:val="both"/>
        <w:rPr>
          <w:rFonts w:ascii="Times New Roman" w:hAnsi="Times New Roman" w:cstheme="minorEastAsia"/>
          <w:sz w:val="24"/>
          <w:lang w:val="en-US"/>
        </w:rPr>
      </w:pPr>
      <w:r>
        <w:rPr>
          <w:rFonts w:ascii="Times New Roman" w:hAnsi="Times New Roman" w:cstheme="minorEastAsia" w:hint="eastAsia"/>
          <w:sz w:val="24"/>
          <w:lang w:val="en-US"/>
        </w:rPr>
        <w:t>本</w:t>
      </w:r>
      <w:r>
        <w:rPr>
          <w:rFonts w:ascii="Times New Roman" w:hAnsi="Times New Roman" w:cstheme="minorEastAsia"/>
          <w:sz w:val="24"/>
          <w:lang w:val="en-US"/>
        </w:rPr>
        <w:t>标准的编制</w:t>
      </w:r>
      <w:r>
        <w:rPr>
          <w:rFonts w:ascii="Times New Roman" w:hAnsi="Times New Roman" w:cstheme="minorEastAsia" w:hint="eastAsia"/>
          <w:sz w:val="24"/>
          <w:lang w:val="en-US"/>
        </w:rPr>
        <w:t>遵守</w:t>
      </w:r>
      <w:r>
        <w:rPr>
          <w:rFonts w:ascii="Times New Roman" w:hAnsi="Times New Roman" w:cstheme="minorEastAsia" w:hint="eastAsia"/>
          <w:sz w:val="24"/>
          <w:lang w:val="en-US"/>
        </w:rPr>
        <w:t>和符合相关法律法规和强制性标准要求。规范性引用文件包括：</w:t>
      </w:r>
    </w:p>
    <w:p w:rsidR="00802847" w:rsidRDefault="00353001">
      <w:pPr>
        <w:tabs>
          <w:tab w:val="left" w:pos="1078"/>
        </w:tabs>
        <w:spacing w:line="360" w:lineRule="auto"/>
        <w:ind w:firstLineChars="200" w:firstLine="480"/>
        <w:jc w:val="both"/>
        <w:rPr>
          <w:rFonts w:ascii="Times New Roman" w:hAnsi="Times New Roman" w:cstheme="minorEastAsia"/>
          <w:sz w:val="24"/>
          <w:lang w:val="en-US"/>
        </w:rPr>
      </w:pPr>
      <w:r>
        <w:rPr>
          <w:rFonts w:ascii="Times New Roman" w:hAnsi="Times New Roman" w:cstheme="minorEastAsia"/>
          <w:sz w:val="24"/>
          <w:lang w:val="en-US"/>
        </w:rPr>
        <w:t xml:space="preserve">GB 18485-2014 </w:t>
      </w:r>
      <w:r>
        <w:rPr>
          <w:rFonts w:ascii="Times New Roman" w:hAnsi="Times New Roman" w:cstheme="minorEastAsia"/>
          <w:sz w:val="24"/>
          <w:lang w:val="en-US"/>
        </w:rPr>
        <w:t>生活垃圾焚烧污染控制标准</w:t>
      </w:r>
    </w:p>
    <w:p w:rsidR="00802847" w:rsidRDefault="00353001">
      <w:pPr>
        <w:tabs>
          <w:tab w:val="left" w:pos="1078"/>
        </w:tabs>
        <w:spacing w:line="360" w:lineRule="auto"/>
        <w:ind w:firstLineChars="200" w:firstLine="480"/>
        <w:jc w:val="both"/>
        <w:rPr>
          <w:rFonts w:ascii="Times New Roman" w:hAnsi="Times New Roman" w:cstheme="minorEastAsia"/>
          <w:sz w:val="24"/>
          <w:lang w:val="en-US"/>
        </w:rPr>
      </w:pPr>
      <w:r>
        <w:rPr>
          <w:rFonts w:ascii="Times New Roman" w:hAnsi="Times New Roman" w:cstheme="minorEastAsia"/>
          <w:sz w:val="24"/>
          <w:lang w:val="en-US"/>
        </w:rPr>
        <w:t xml:space="preserve">GB 16889-2008 </w:t>
      </w:r>
      <w:r>
        <w:rPr>
          <w:rFonts w:ascii="Times New Roman" w:hAnsi="Times New Roman" w:cstheme="minorEastAsia"/>
          <w:sz w:val="24"/>
          <w:lang w:val="en-US"/>
        </w:rPr>
        <w:t>生活垃圾填埋场污染控制标准</w:t>
      </w:r>
    </w:p>
    <w:p w:rsidR="00802847" w:rsidRDefault="00353001">
      <w:pPr>
        <w:tabs>
          <w:tab w:val="left" w:pos="1078"/>
        </w:tabs>
        <w:spacing w:line="360" w:lineRule="auto"/>
        <w:ind w:firstLineChars="200" w:firstLine="480"/>
        <w:jc w:val="both"/>
        <w:rPr>
          <w:rFonts w:ascii="Times New Roman" w:hAnsi="Times New Roman" w:cstheme="minorEastAsia"/>
          <w:sz w:val="24"/>
          <w:lang w:val="en-US"/>
        </w:rPr>
      </w:pPr>
      <w:r>
        <w:rPr>
          <w:rFonts w:ascii="Times New Roman" w:hAnsi="Times New Roman" w:cstheme="minorEastAsia"/>
          <w:sz w:val="24"/>
          <w:lang w:val="en-US"/>
        </w:rPr>
        <w:t xml:space="preserve">GB 1589 </w:t>
      </w:r>
      <w:r>
        <w:rPr>
          <w:rFonts w:ascii="Times New Roman" w:hAnsi="Times New Roman" w:cstheme="minorEastAsia"/>
          <w:sz w:val="24"/>
          <w:lang w:val="en-US"/>
        </w:rPr>
        <w:t>道路车辆外廓尺寸、</w:t>
      </w:r>
      <w:proofErr w:type="gramStart"/>
      <w:r>
        <w:rPr>
          <w:rFonts w:ascii="Times New Roman" w:hAnsi="Times New Roman" w:cstheme="minorEastAsia"/>
          <w:sz w:val="24"/>
          <w:lang w:val="en-US"/>
        </w:rPr>
        <w:t>轴荷及</w:t>
      </w:r>
      <w:proofErr w:type="gramEnd"/>
      <w:r>
        <w:rPr>
          <w:rFonts w:ascii="Times New Roman" w:hAnsi="Times New Roman" w:cstheme="minorEastAsia"/>
          <w:sz w:val="24"/>
          <w:lang w:val="en-US"/>
        </w:rPr>
        <w:t>质量限值</w:t>
      </w:r>
    </w:p>
    <w:p w:rsidR="00802847" w:rsidRDefault="00353001">
      <w:pPr>
        <w:tabs>
          <w:tab w:val="left" w:pos="1078"/>
        </w:tabs>
        <w:spacing w:line="360" w:lineRule="auto"/>
        <w:ind w:firstLineChars="200" w:firstLine="480"/>
        <w:jc w:val="both"/>
        <w:rPr>
          <w:rFonts w:ascii="Times New Roman" w:hAnsi="Times New Roman" w:cstheme="minorEastAsia"/>
          <w:sz w:val="24"/>
          <w:lang w:val="en-US"/>
        </w:rPr>
      </w:pPr>
      <w:r>
        <w:rPr>
          <w:rFonts w:ascii="Times New Roman" w:hAnsi="Times New Roman" w:cstheme="minorEastAsia"/>
          <w:sz w:val="24"/>
          <w:lang w:val="en-US"/>
        </w:rPr>
        <w:t>GB 2894-2008</w:t>
      </w:r>
      <w:r>
        <w:rPr>
          <w:rFonts w:ascii="Times New Roman" w:hAnsi="Times New Roman" w:cstheme="minorEastAsia"/>
          <w:sz w:val="24"/>
          <w:lang w:val="en-US"/>
        </w:rPr>
        <w:t>安全标志及其使用导则</w:t>
      </w:r>
    </w:p>
    <w:p w:rsidR="00802847" w:rsidRDefault="00353001">
      <w:pPr>
        <w:tabs>
          <w:tab w:val="left" w:pos="1078"/>
        </w:tabs>
        <w:spacing w:line="360" w:lineRule="auto"/>
        <w:ind w:firstLineChars="200" w:firstLine="480"/>
        <w:jc w:val="both"/>
        <w:rPr>
          <w:rFonts w:ascii="Times New Roman" w:hAnsi="Times New Roman" w:cstheme="minorEastAsia"/>
          <w:sz w:val="24"/>
          <w:lang w:val="en-US"/>
        </w:rPr>
      </w:pPr>
      <w:r>
        <w:rPr>
          <w:rFonts w:ascii="Times New Roman" w:hAnsi="Times New Roman" w:cstheme="minorEastAsia"/>
          <w:sz w:val="24"/>
          <w:lang w:val="en-US"/>
        </w:rPr>
        <w:t xml:space="preserve">GB 50116-2013 </w:t>
      </w:r>
      <w:r>
        <w:rPr>
          <w:rFonts w:ascii="Times New Roman" w:hAnsi="Times New Roman" w:cstheme="minorEastAsia"/>
          <w:sz w:val="24"/>
          <w:lang w:val="en-US"/>
        </w:rPr>
        <w:t>火灾自动报警系统设计规范</w:t>
      </w:r>
    </w:p>
    <w:p w:rsidR="00802847" w:rsidRDefault="00353001">
      <w:pPr>
        <w:tabs>
          <w:tab w:val="left" w:pos="1078"/>
        </w:tabs>
        <w:spacing w:line="360" w:lineRule="auto"/>
        <w:ind w:firstLineChars="200" w:firstLine="480"/>
        <w:jc w:val="both"/>
        <w:rPr>
          <w:rFonts w:ascii="Times New Roman" w:hAnsi="Times New Roman" w:cstheme="minorEastAsia"/>
          <w:sz w:val="24"/>
          <w:lang w:val="en-US"/>
        </w:rPr>
      </w:pPr>
      <w:r>
        <w:rPr>
          <w:rFonts w:ascii="Times New Roman" w:hAnsi="Times New Roman" w:cstheme="minorEastAsia"/>
          <w:sz w:val="24"/>
          <w:lang w:val="en-US"/>
        </w:rPr>
        <w:t xml:space="preserve">GB 50140-2005 </w:t>
      </w:r>
      <w:r>
        <w:rPr>
          <w:rFonts w:ascii="Times New Roman" w:hAnsi="Times New Roman" w:cstheme="minorEastAsia"/>
          <w:sz w:val="24"/>
          <w:lang w:val="en-US"/>
        </w:rPr>
        <w:t>建筑灭火器配置设计规范</w:t>
      </w:r>
    </w:p>
    <w:p w:rsidR="00802847" w:rsidRDefault="00353001">
      <w:pPr>
        <w:tabs>
          <w:tab w:val="left" w:pos="1078"/>
        </w:tabs>
        <w:spacing w:line="360" w:lineRule="auto"/>
        <w:ind w:firstLineChars="200" w:firstLine="480"/>
        <w:jc w:val="both"/>
        <w:rPr>
          <w:rFonts w:ascii="Times New Roman" w:hAnsi="Times New Roman" w:cstheme="minorEastAsia"/>
          <w:sz w:val="24"/>
          <w:lang w:val="en-US"/>
        </w:rPr>
      </w:pPr>
      <w:r>
        <w:rPr>
          <w:rFonts w:ascii="Times New Roman" w:hAnsi="Times New Roman" w:cstheme="minorEastAsia"/>
          <w:sz w:val="24"/>
          <w:lang w:val="en-US"/>
        </w:rPr>
        <w:t xml:space="preserve">GB 5085.3-2007 </w:t>
      </w:r>
      <w:r>
        <w:rPr>
          <w:rFonts w:ascii="Times New Roman" w:hAnsi="Times New Roman" w:cstheme="minorEastAsia"/>
          <w:sz w:val="24"/>
          <w:lang w:val="en-US"/>
        </w:rPr>
        <w:t>危险废物鉴别标准</w:t>
      </w:r>
      <w:r>
        <w:rPr>
          <w:rFonts w:ascii="Times New Roman" w:hAnsi="Times New Roman" w:cstheme="minorEastAsia"/>
          <w:sz w:val="24"/>
          <w:lang w:val="en-US"/>
        </w:rPr>
        <w:t xml:space="preserve"> </w:t>
      </w:r>
      <w:r>
        <w:rPr>
          <w:rFonts w:ascii="Times New Roman" w:hAnsi="Times New Roman" w:cstheme="minorEastAsia"/>
          <w:sz w:val="24"/>
          <w:lang w:val="en-US"/>
        </w:rPr>
        <w:t>浸出毒性鉴别</w:t>
      </w:r>
    </w:p>
    <w:p w:rsidR="00802847" w:rsidRDefault="00353001">
      <w:pPr>
        <w:tabs>
          <w:tab w:val="left" w:pos="1078"/>
        </w:tabs>
        <w:spacing w:line="360" w:lineRule="auto"/>
        <w:ind w:firstLineChars="200" w:firstLine="480"/>
        <w:jc w:val="both"/>
        <w:rPr>
          <w:rFonts w:ascii="Times New Roman" w:hAnsi="Times New Roman" w:cstheme="minorEastAsia"/>
          <w:sz w:val="24"/>
          <w:lang w:val="en-US"/>
        </w:rPr>
      </w:pPr>
      <w:r>
        <w:rPr>
          <w:rFonts w:ascii="Times New Roman" w:hAnsi="Times New Roman" w:cstheme="minorEastAsia"/>
          <w:sz w:val="24"/>
          <w:lang w:val="en-US"/>
        </w:rPr>
        <w:t xml:space="preserve">GB 713-2014 </w:t>
      </w:r>
      <w:r>
        <w:rPr>
          <w:rFonts w:ascii="Times New Roman" w:hAnsi="Times New Roman" w:cstheme="minorEastAsia"/>
          <w:sz w:val="24"/>
          <w:lang w:val="en-US"/>
        </w:rPr>
        <w:t>锅炉和压力容器用钢板</w:t>
      </w:r>
    </w:p>
    <w:p w:rsidR="00802847" w:rsidRDefault="00353001">
      <w:pPr>
        <w:tabs>
          <w:tab w:val="left" w:pos="1078"/>
        </w:tabs>
        <w:spacing w:line="360" w:lineRule="auto"/>
        <w:ind w:firstLineChars="200" w:firstLine="480"/>
        <w:jc w:val="both"/>
        <w:rPr>
          <w:rFonts w:ascii="Times New Roman" w:hAnsi="Times New Roman" w:cstheme="minorEastAsia"/>
          <w:sz w:val="24"/>
          <w:lang w:val="en-US"/>
        </w:rPr>
      </w:pPr>
      <w:r>
        <w:rPr>
          <w:rFonts w:ascii="Times New Roman" w:hAnsi="Times New Roman" w:cstheme="minorEastAsia"/>
          <w:sz w:val="24"/>
          <w:lang w:val="en-US"/>
        </w:rPr>
        <w:t xml:space="preserve">GB∕T 37066-2018 </w:t>
      </w:r>
      <w:r>
        <w:rPr>
          <w:rFonts w:ascii="Times New Roman" w:hAnsi="Times New Roman" w:cstheme="minorEastAsia"/>
          <w:sz w:val="24"/>
          <w:lang w:val="en-US"/>
        </w:rPr>
        <w:t>农村生活垃圾处理导则</w:t>
      </w:r>
    </w:p>
    <w:p w:rsidR="00802847" w:rsidRDefault="00353001">
      <w:pPr>
        <w:tabs>
          <w:tab w:val="left" w:pos="1078"/>
        </w:tabs>
        <w:spacing w:line="360" w:lineRule="auto"/>
        <w:ind w:firstLineChars="200" w:firstLine="480"/>
        <w:jc w:val="both"/>
        <w:rPr>
          <w:rFonts w:ascii="Times New Roman" w:hAnsi="Times New Roman" w:cstheme="minorEastAsia"/>
          <w:sz w:val="24"/>
          <w:lang w:val="en-US"/>
        </w:rPr>
      </w:pPr>
      <w:r>
        <w:rPr>
          <w:rFonts w:ascii="Times New Roman" w:hAnsi="Times New Roman" w:cstheme="minorEastAsia"/>
          <w:sz w:val="24"/>
          <w:lang w:val="en-US"/>
        </w:rPr>
        <w:t xml:space="preserve">GB/T 12801 </w:t>
      </w:r>
      <w:r>
        <w:rPr>
          <w:rFonts w:ascii="Times New Roman" w:hAnsi="Times New Roman" w:cstheme="minorEastAsia"/>
          <w:sz w:val="24"/>
          <w:lang w:val="en-US"/>
        </w:rPr>
        <w:t>生产过程安全卫生要求总则</w:t>
      </w:r>
    </w:p>
    <w:p w:rsidR="00802847" w:rsidRDefault="00353001">
      <w:pPr>
        <w:tabs>
          <w:tab w:val="left" w:pos="1078"/>
        </w:tabs>
        <w:spacing w:line="360" w:lineRule="auto"/>
        <w:ind w:firstLineChars="200" w:firstLine="480"/>
        <w:jc w:val="both"/>
        <w:rPr>
          <w:rFonts w:ascii="Times New Roman" w:hAnsi="Times New Roman" w:cstheme="minorEastAsia"/>
          <w:sz w:val="24"/>
          <w:lang w:val="en-US"/>
        </w:rPr>
      </w:pPr>
      <w:r>
        <w:rPr>
          <w:rFonts w:ascii="Times New Roman" w:hAnsi="Times New Roman" w:cstheme="minorEastAsia"/>
          <w:sz w:val="24"/>
          <w:lang w:val="en-US"/>
        </w:rPr>
        <w:t>GB/T 4272-2008</w:t>
      </w:r>
      <w:r>
        <w:rPr>
          <w:rFonts w:ascii="Times New Roman" w:hAnsi="Times New Roman" w:cstheme="minorEastAsia"/>
          <w:sz w:val="24"/>
          <w:lang w:val="en-US"/>
        </w:rPr>
        <w:t>设备及管道绝热技术通则</w:t>
      </w:r>
    </w:p>
    <w:p w:rsidR="00802847" w:rsidRDefault="00353001">
      <w:pPr>
        <w:tabs>
          <w:tab w:val="left" w:pos="1078"/>
        </w:tabs>
        <w:spacing w:line="360" w:lineRule="auto"/>
        <w:ind w:firstLineChars="200" w:firstLine="480"/>
        <w:jc w:val="both"/>
        <w:rPr>
          <w:rFonts w:ascii="Times New Roman" w:hAnsi="Times New Roman" w:cstheme="minorEastAsia"/>
          <w:sz w:val="24"/>
          <w:lang w:val="en-US"/>
        </w:rPr>
      </w:pPr>
      <w:r>
        <w:rPr>
          <w:rFonts w:ascii="Times New Roman" w:hAnsi="Times New Roman" w:cstheme="minorEastAsia"/>
          <w:sz w:val="24"/>
          <w:lang w:val="en-US"/>
        </w:rPr>
        <w:t xml:space="preserve">GB/T 50087-2013 </w:t>
      </w:r>
      <w:r>
        <w:rPr>
          <w:rFonts w:ascii="Times New Roman" w:hAnsi="Times New Roman" w:cstheme="minorEastAsia"/>
          <w:sz w:val="24"/>
          <w:lang w:val="en-US"/>
        </w:rPr>
        <w:t>工业企业噪声控制设计规范</w:t>
      </w:r>
    </w:p>
    <w:p w:rsidR="00802847" w:rsidRDefault="00353001">
      <w:pPr>
        <w:tabs>
          <w:tab w:val="left" w:pos="1078"/>
        </w:tabs>
        <w:spacing w:line="360" w:lineRule="auto"/>
        <w:ind w:firstLineChars="200" w:firstLine="480"/>
        <w:jc w:val="both"/>
        <w:rPr>
          <w:rFonts w:ascii="Times New Roman" w:hAnsi="Times New Roman" w:cstheme="minorEastAsia"/>
          <w:sz w:val="24"/>
          <w:lang w:val="en-US"/>
        </w:rPr>
      </w:pPr>
      <w:r>
        <w:rPr>
          <w:rFonts w:ascii="Times New Roman" w:hAnsi="Times New Roman" w:cstheme="minorEastAsia"/>
          <w:sz w:val="24"/>
          <w:lang w:val="en-US"/>
        </w:rPr>
        <w:t xml:space="preserve">NYT_2907-2016 </w:t>
      </w:r>
      <w:r>
        <w:rPr>
          <w:rFonts w:ascii="Times New Roman" w:hAnsi="Times New Roman" w:cstheme="minorEastAsia"/>
          <w:sz w:val="24"/>
          <w:lang w:val="en-US"/>
        </w:rPr>
        <w:t>生物质常压固定床气化</w:t>
      </w:r>
      <w:proofErr w:type="gramStart"/>
      <w:r>
        <w:rPr>
          <w:rFonts w:ascii="Times New Roman" w:hAnsi="Times New Roman" w:cstheme="minorEastAsia"/>
          <w:sz w:val="24"/>
          <w:lang w:val="en-US"/>
        </w:rPr>
        <w:t>炉技术</w:t>
      </w:r>
      <w:proofErr w:type="gramEnd"/>
      <w:r>
        <w:rPr>
          <w:rFonts w:ascii="Times New Roman" w:hAnsi="Times New Roman" w:cstheme="minorEastAsia"/>
          <w:sz w:val="24"/>
          <w:lang w:val="en-US"/>
        </w:rPr>
        <w:t>条件</w:t>
      </w:r>
    </w:p>
    <w:p w:rsidR="00802847" w:rsidRDefault="00353001">
      <w:pPr>
        <w:tabs>
          <w:tab w:val="left" w:pos="1078"/>
        </w:tabs>
        <w:spacing w:line="360" w:lineRule="auto"/>
        <w:ind w:firstLineChars="200" w:firstLine="480"/>
        <w:jc w:val="both"/>
        <w:rPr>
          <w:rFonts w:ascii="Times New Roman" w:hAnsi="Times New Roman" w:cstheme="minorEastAsia"/>
          <w:sz w:val="24"/>
          <w:lang w:val="en-US"/>
        </w:rPr>
      </w:pPr>
      <w:r>
        <w:rPr>
          <w:rFonts w:ascii="Times New Roman" w:hAnsi="Times New Roman" w:cstheme="minorEastAsia"/>
          <w:sz w:val="24"/>
          <w:lang w:val="en-US"/>
        </w:rPr>
        <w:t xml:space="preserve">HJ 564-2010 </w:t>
      </w:r>
      <w:r>
        <w:rPr>
          <w:rFonts w:ascii="Times New Roman" w:hAnsi="Times New Roman" w:cstheme="minorEastAsia"/>
          <w:sz w:val="24"/>
          <w:lang w:val="en-US"/>
        </w:rPr>
        <w:t>生活垃圾填埋场渗滤液处理工程技术规范</w:t>
      </w:r>
    </w:p>
    <w:p w:rsidR="00802847" w:rsidRDefault="00353001">
      <w:pPr>
        <w:tabs>
          <w:tab w:val="left" w:pos="1078"/>
        </w:tabs>
        <w:spacing w:line="360" w:lineRule="auto"/>
        <w:ind w:firstLineChars="200" w:firstLine="480"/>
        <w:jc w:val="both"/>
        <w:rPr>
          <w:rFonts w:ascii="Times New Roman" w:hAnsi="Times New Roman" w:cstheme="minorEastAsia"/>
          <w:sz w:val="24"/>
          <w:lang w:val="en-US"/>
        </w:rPr>
      </w:pPr>
      <w:r>
        <w:rPr>
          <w:rFonts w:ascii="Times New Roman" w:hAnsi="Times New Roman" w:cstheme="minorEastAsia"/>
          <w:sz w:val="24"/>
          <w:lang w:val="en-US"/>
        </w:rPr>
        <w:t>TSG G0001-2012</w:t>
      </w:r>
      <w:r>
        <w:rPr>
          <w:rFonts w:ascii="Times New Roman" w:hAnsi="Times New Roman" w:cstheme="minorEastAsia"/>
          <w:sz w:val="24"/>
          <w:lang w:val="en-US"/>
        </w:rPr>
        <w:t>锅炉安全技术监察规程</w:t>
      </w:r>
    </w:p>
    <w:p w:rsidR="00802847" w:rsidRDefault="00353001">
      <w:pPr>
        <w:tabs>
          <w:tab w:val="left" w:pos="1078"/>
        </w:tabs>
        <w:spacing w:line="360" w:lineRule="auto"/>
        <w:ind w:firstLineChars="200" w:firstLine="480"/>
        <w:jc w:val="both"/>
        <w:rPr>
          <w:rFonts w:ascii="Times New Roman" w:hAnsi="Times New Roman" w:cstheme="minorEastAsia"/>
          <w:sz w:val="24"/>
          <w:lang w:val="en-US"/>
        </w:rPr>
      </w:pPr>
      <w:r>
        <w:rPr>
          <w:rFonts w:ascii="Times New Roman" w:hAnsi="Times New Roman" w:cstheme="minorEastAsia"/>
          <w:sz w:val="24"/>
          <w:lang w:val="en-US"/>
        </w:rPr>
        <w:t xml:space="preserve">DL 5190.2-2019 </w:t>
      </w:r>
      <w:r>
        <w:rPr>
          <w:rFonts w:ascii="Times New Roman" w:hAnsi="Times New Roman" w:cstheme="minorEastAsia"/>
          <w:sz w:val="24"/>
          <w:lang w:val="en-US"/>
        </w:rPr>
        <w:t>电力建设施工技术规范</w:t>
      </w:r>
    </w:p>
    <w:p w:rsidR="00802847" w:rsidRDefault="00353001">
      <w:pPr>
        <w:tabs>
          <w:tab w:val="left" w:pos="1078"/>
        </w:tabs>
        <w:spacing w:line="360" w:lineRule="auto"/>
        <w:ind w:firstLineChars="200" w:firstLine="480"/>
        <w:jc w:val="both"/>
        <w:rPr>
          <w:rFonts w:ascii="Times New Roman" w:hAnsi="Times New Roman" w:cstheme="minorEastAsia"/>
          <w:sz w:val="24"/>
          <w:lang w:val="en-US"/>
        </w:rPr>
      </w:pPr>
      <w:r>
        <w:rPr>
          <w:rFonts w:ascii="Times New Roman" w:hAnsi="Times New Roman" w:cstheme="minorEastAsia"/>
          <w:sz w:val="24"/>
          <w:lang w:val="en-US"/>
        </w:rPr>
        <w:t>DL/T 902-2017</w:t>
      </w:r>
      <w:r>
        <w:rPr>
          <w:rFonts w:ascii="Times New Roman" w:hAnsi="Times New Roman" w:cstheme="minorEastAsia"/>
          <w:sz w:val="24"/>
          <w:lang w:val="en-US"/>
        </w:rPr>
        <w:t>耐磨耐火材料</w:t>
      </w:r>
    </w:p>
    <w:p w:rsidR="00802847" w:rsidRDefault="00353001">
      <w:pPr>
        <w:tabs>
          <w:tab w:val="left" w:pos="1078"/>
        </w:tabs>
        <w:spacing w:line="360" w:lineRule="auto"/>
        <w:ind w:firstLineChars="200" w:firstLine="480"/>
        <w:jc w:val="both"/>
        <w:rPr>
          <w:rFonts w:ascii="Times New Roman" w:hAnsi="Times New Roman" w:cstheme="minorEastAsia"/>
          <w:sz w:val="24"/>
          <w:lang w:val="en-US"/>
        </w:rPr>
      </w:pPr>
      <w:r>
        <w:rPr>
          <w:rFonts w:ascii="Times New Roman" w:hAnsi="Times New Roman" w:cstheme="minorEastAsia"/>
          <w:sz w:val="24"/>
          <w:lang w:val="en-US"/>
        </w:rPr>
        <w:t xml:space="preserve">CJJ 90-2009 </w:t>
      </w:r>
      <w:r>
        <w:rPr>
          <w:rFonts w:ascii="Times New Roman" w:hAnsi="Times New Roman" w:cstheme="minorEastAsia"/>
          <w:sz w:val="24"/>
          <w:lang w:val="en-US"/>
        </w:rPr>
        <w:t>生活垃圾焚烧处理工程技术规范</w:t>
      </w:r>
    </w:p>
    <w:p w:rsidR="00802847" w:rsidRDefault="00353001">
      <w:pPr>
        <w:pStyle w:val="2"/>
        <w:numPr>
          <w:ilvl w:val="0"/>
          <w:numId w:val="1"/>
        </w:numPr>
        <w:spacing w:before="120" w:line="360" w:lineRule="auto"/>
        <w:ind w:left="0" w:firstLine="0"/>
        <w:rPr>
          <w:rFonts w:ascii="黑体" w:hAnsi="黑体" w:cstheme="minorEastAsia"/>
          <w:b w:val="0"/>
          <w:sz w:val="28"/>
        </w:rPr>
      </w:pPr>
      <w:r>
        <w:rPr>
          <w:rFonts w:ascii="黑体" w:hAnsi="黑体" w:cstheme="minorEastAsia" w:hint="eastAsia"/>
          <w:b w:val="0"/>
          <w:sz w:val="28"/>
        </w:rPr>
        <w:lastRenderedPageBreak/>
        <w:t>重大分歧意见的</w:t>
      </w:r>
      <w:r>
        <w:rPr>
          <w:rFonts w:ascii="黑体" w:hAnsi="黑体" w:cstheme="minorEastAsia" w:hint="eastAsia"/>
          <w:b w:val="0"/>
          <w:sz w:val="28"/>
        </w:rPr>
        <w:t>处理经过和依据</w:t>
      </w:r>
    </w:p>
    <w:p w:rsidR="00802847" w:rsidRDefault="00353001">
      <w:pPr>
        <w:tabs>
          <w:tab w:val="left" w:pos="1078"/>
        </w:tabs>
        <w:spacing w:beforeLines="50" w:before="120" w:afterLines="50" w:after="120" w:line="360" w:lineRule="auto"/>
        <w:ind w:firstLineChars="200" w:firstLine="480"/>
        <w:jc w:val="both"/>
        <w:rPr>
          <w:rFonts w:cs="Times New Roman"/>
          <w:sz w:val="24"/>
          <w:lang w:val="en-US"/>
        </w:rPr>
      </w:pPr>
      <w:r>
        <w:rPr>
          <w:rFonts w:cs="Times New Roman" w:hint="eastAsia"/>
          <w:sz w:val="24"/>
          <w:lang w:val="en-US"/>
        </w:rPr>
        <w:t>本标准起草过程中没有重大分歧意见。</w:t>
      </w:r>
    </w:p>
    <w:p w:rsidR="00802847" w:rsidRDefault="00353001">
      <w:pPr>
        <w:pStyle w:val="2"/>
        <w:numPr>
          <w:ilvl w:val="0"/>
          <w:numId w:val="1"/>
        </w:numPr>
        <w:spacing w:before="120" w:line="360" w:lineRule="auto"/>
        <w:ind w:left="0" w:firstLine="0"/>
        <w:rPr>
          <w:rFonts w:ascii="黑体" w:hAnsi="黑体" w:cstheme="minorEastAsia"/>
          <w:b w:val="0"/>
          <w:sz w:val="28"/>
        </w:rPr>
      </w:pPr>
      <w:r>
        <w:rPr>
          <w:rFonts w:ascii="黑体" w:hAnsi="黑体" w:cstheme="minorEastAsia" w:hint="eastAsia"/>
          <w:b w:val="0"/>
          <w:sz w:val="28"/>
        </w:rPr>
        <w:t>后续贯彻措施</w:t>
      </w:r>
    </w:p>
    <w:p w:rsidR="00802847" w:rsidRDefault="00353001">
      <w:pPr>
        <w:tabs>
          <w:tab w:val="left" w:pos="1078"/>
        </w:tabs>
        <w:spacing w:line="360" w:lineRule="auto"/>
        <w:ind w:firstLineChars="200" w:firstLine="480"/>
        <w:jc w:val="both"/>
        <w:rPr>
          <w:rFonts w:ascii="Times New Roman" w:hAnsi="Times New Roman" w:cs="Times New Roman"/>
          <w:sz w:val="24"/>
          <w:lang w:val="en-US"/>
        </w:rPr>
      </w:pPr>
      <w:r>
        <w:rPr>
          <w:rFonts w:ascii="Times New Roman" w:hAnsi="Times New Roman" w:cs="Times New Roman" w:hint="eastAsia"/>
          <w:sz w:val="24"/>
          <w:lang w:val="en-US"/>
        </w:rPr>
        <w:t>编制组</w:t>
      </w:r>
      <w:r>
        <w:rPr>
          <w:rFonts w:ascii="Times New Roman" w:hAnsi="Times New Roman" w:cs="Times New Roman"/>
          <w:sz w:val="24"/>
          <w:lang w:val="en-US"/>
        </w:rPr>
        <w:t>建议</w:t>
      </w:r>
      <w:r>
        <w:rPr>
          <w:rFonts w:ascii="Times New Roman" w:hAnsi="Times New Roman" w:cs="Times New Roman" w:hint="eastAsia"/>
          <w:sz w:val="24"/>
          <w:lang w:val="en-US"/>
        </w:rPr>
        <w:t>由</w:t>
      </w:r>
      <w:r>
        <w:rPr>
          <w:rFonts w:ascii="Times New Roman" w:eastAsiaTheme="majorEastAsia" w:hAnsi="Times New Roman" w:cs="Times New Roman" w:hint="eastAsia"/>
          <w:color w:val="000000" w:themeColor="text1"/>
          <w:sz w:val="24"/>
        </w:rPr>
        <w:t>中国</w:t>
      </w:r>
      <w:r>
        <w:rPr>
          <w:rFonts w:ascii="Times New Roman" w:eastAsiaTheme="majorEastAsia" w:hAnsi="Times New Roman" w:cs="Times New Roman"/>
          <w:color w:val="000000" w:themeColor="text1"/>
          <w:sz w:val="24"/>
        </w:rPr>
        <w:t>国际科技促进会</w:t>
      </w:r>
      <w:r>
        <w:rPr>
          <w:rFonts w:ascii="Times New Roman" w:eastAsiaTheme="majorEastAsia" w:hAnsi="Times New Roman" w:cs="Times New Roman" w:hint="eastAsia"/>
          <w:color w:val="000000" w:themeColor="text1"/>
          <w:sz w:val="24"/>
        </w:rPr>
        <w:t>标准化</w:t>
      </w:r>
      <w:r>
        <w:rPr>
          <w:rFonts w:ascii="Times New Roman" w:eastAsiaTheme="majorEastAsia" w:hAnsi="Times New Roman" w:cs="Times New Roman"/>
          <w:color w:val="000000" w:themeColor="text1"/>
          <w:sz w:val="24"/>
        </w:rPr>
        <w:t>工作委员会</w:t>
      </w:r>
      <w:r>
        <w:rPr>
          <w:rFonts w:ascii="Times New Roman" w:eastAsiaTheme="majorEastAsia" w:hAnsi="Times New Roman" w:cs="Times New Roman" w:hint="eastAsia"/>
          <w:color w:val="000000" w:themeColor="text1"/>
          <w:sz w:val="24"/>
        </w:rPr>
        <w:t>及</w:t>
      </w:r>
      <w:r>
        <w:rPr>
          <w:rFonts w:ascii="Times New Roman" w:hAnsi="Times New Roman" w:cs="Times New Roman" w:hint="eastAsia"/>
          <w:sz w:val="24"/>
          <w:lang w:val="en-US"/>
        </w:rPr>
        <w:t>相关行业标准化管理机构组织</w:t>
      </w:r>
      <w:r>
        <w:rPr>
          <w:rFonts w:ascii="Times New Roman" w:hAnsi="Times New Roman" w:cs="Times New Roman"/>
          <w:sz w:val="24"/>
          <w:lang w:val="en-US"/>
        </w:rPr>
        <w:t>贯彻</w:t>
      </w:r>
      <w:r>
        <w:rPr>
          <w:rFonts w:ascii="Times New Roman" w:hAnsi="Times New Roman" w:cs="Times New Roman" w:hint="eastAsia"/>
          <w:sz w:val="24"/>
          <w:lang w:val="en-US"/>
        </w:rPr>
        <w:t>本</w:t>
      </w:r>
      <w:r>
        <w:rPr>
          <w:rFonts w:ascii="Times New Roman" w:hAnsi="Times New Roman" w:cs="Times New Roman"/>
          <w:sz w:val="24"/>
          <w:lang w:val="en-US"/>
        </w:rPr>
        <w:t>标准</w:t>
      </w:r>
      <w:r>
        <w:rPr>
          <w:rFonts w:ascii="Times New Roman" w:hAnsi="Times New Roman" w:cs="Times New Roman" w:hint="eastAsia"/>
          <w:sz w:val="24"/>
          <w:lang w:val="en-US"/>
        </w:rPr>
        <w:t>的相关活动：</w:t>
      </w:r>
    </w:p>
    <w:p w:rsidR="00802847" w:rsidRDefault="00353001">
      <w:pPr>
        <w:tabs>
          <w:tab w:val="left" w:pos="1078"/>
        </w:tabs>
        <w:spacing w:line="360" w:lineRule="auto"/>
        <w:ind w:firstLineChars="200" w:firstLine="480"/>
        <w:jc w:val="both"/>
        <w:rPr>
          <w:rFonts w:ascii="Times New Roman" w:hAnsi="Times New Roman" w:cs="Times New Roman"/>
          <w:sz w:val="24"/>
          <w:lang w:val="en-US"/>
        </w:rPr>
      </w:pPr>
      <w:r>
        <w:rPr>
          <w:rFonts w:ascii="Times New Roman" w:hAnsi="Times New Roman" w:cs="Times New Roman" w:hint="eastAsia"/>
          <w:sz w:val="24"/>
          <w:lang w:val="en-US"/>
        </w:rPr>
        <w:t>1</w:t>
      </w:r>
      <w:r>
        <w:rPr>
          <w:rFonts w:ascii="Times New Roman" w:hAnsi="Times New Roman" w:cs="Times New Roman"/>
          <w:sz w:val="24"/>
          <w:lang w:val="en-US"/>
        </w:rPr>
        <w:t>.</w:t>
      </w:r>
      <w:r>
        <w:rPr>
          <w:rFonts w:ascii="Times New Roman" w:hAnsi="Times New Roman" w:cs="Times New Roman" w:hint="eastAsia"/>
          <w:sz w:val="24"/>
          <w:lang w:val="en-US"/>
        </w:rPr>
        <w:t>利用各种活动（如行业协会的管理和活动、专家培训、标准化技术刊物、网上信息、产品认证等）尽可能向</w:t>
      </w:r>
      <w:r>
        <w:rPr>
          <w:rFonts w:ascii="Times New Roman" w:hAnsi="Times New Roman" w:cs="Times New Roman" w:hint="eastAsia"/>
          <w:color w:val="000000" w:themeColor="text1"/>
          <w:sz w:val="24"/>
          <w:lang w:val="en-US"/>
        </w:rPr>
        <w:t>农业农村部</w:t>
      </w:r>
      <w:r>
        <w:rPr>
          <w:rFonts w:ascii="Times New Roman" w:hAnsi="Times New Roman" w:cs="Times New Roman" w:hint="eastAsia"/>
          <w:sz w:val="24"/>
          <w:lang w:val="en-US"/>
        </w:rPr>
        <w:t>相关单位以及环保设备生产企业</w:t>
      </w:r>
      <w:proofErr w:type="gramStart"/>
      <w:r>
        <w:rPr>
          <w:rFonts w:ascii="Times New Roman" w:hAnsi="Times New Roman" w:cs="Times New Roman" w:hint="eastAsia"/>
          <w:sz w:val="24"/>
          <w:lang w:val="en-US"/>
        </w:rPr>
        <w:t>宣贯该标准</w:t>
      </w:r>
      <w:proofErr w:type="gramEnd"/>
      <w:r>
        <w:rPr>
          <w:rFonts w:ascii="Times New Roman" w:hAnsi="Times New Roman" w:cs="Times New Roman" w:hint="eastAsia"/>
          <w:sz w:val="24"/>
          <w:lang w:val="en-US"/>
        </w:rPr>
        <w:t>。</w:t>
      </w:r>
    </w:p>
    <w:p w:rsidR="00802847" w:rsidRDefault="00353001">
      <w:pPr>
        <w:tabs>
          <w:tab w:val="left" w:pos="1078"/>
        </w:tabs>
        <w:spacing w:line="360" w:lineRule="auto"/>
        <w:ind w:firstLineChars="200" w:firstLine="480"/>
        <w:jc w:val="both"/>
        <w:rPr>
          <w:rFonts w:ascii="Times New Roman" w:hAnsi="Times New Roman" w:cs="Times New Roman"/>
          <w:sz w:val="24"/>
          <w:lang w:val="en-US"/>
        </w:rPr>
      </w:pPr>
      <w:r>
        <w:rPr>
          <w:rFonts w:ascii="Times New Roman" w:hAnsi="Times New Roman" w:cs="Times New Roman" w:hint="eastAsia"/>
          <w:sz w:val="24"/>
          <w:lang w:val="en-US"/>
        </w:rPr>
        <w:t>2</w:t>
      </w:r>
      <w:r>
        <w:rPr>
          <w:rFonts w:ascii="Times New Roman" w:hAnsi="Times New Roman" w:cs="Times New Roman"/>
          <w:sz w:val="24"/>
          <w:lang w:val="en-US"/>
        </w:rPr>
        <w:t>.</w:t>
      </w:r>
      <w:r>
        <w:rPr>
          <w:rFonts w:ascii="Times New Roman" w:hAnsi="Times New Roman" w:cs="Times New Roman" w:hint="eastAsia"/>
          <w:sz w:val="24"/>
          <w:lang w:val="en-US"/>
        </w:rPr>
        <w:t>积极推进村镇垃圾移动热解气化装置试点示范，提高村镇垃圾处理示范项目的质量和效益，建立并完善标准化统计制度。</w:t>
      </w:r>
    </w:p>
    <w:p w:rsidR="00802847" w:rsidRDefault="00353001">
      <w:pPr>
        <w:tabs>
          <w:tab w:val="left" w:pos="1078"/>
        </w:tabs>
        <w:spacing w:line="360" w:lineRule="auto"/>
        <w:ind w:firstLineChars="200" w:firstLine="480"/>
        <w:jc w:val="both"/>
        <w:rPr>
          <w:rFonts w:ascii="Times New Roman" w:hAnsi="Times New Roman" w:cs="Times New Roman"/>
          <w:sz w:val="24"/>
          <w:lang w:val="en-US"/>
        </w:rPr>
      </w:pPr>
      <w:r>
        <w:rPr>
          <w:rFonts w:ascii="Times New Roman" w:hAnsi="Times New Roman" w:cs="Times New Roman" w:hint="eastAsia"/>
          <w:sz w:val="24"/>
          <w:lang w:val="en-US"/>
        </w:rPr>
        <w:t>3</w:t>
      </w:r>
      <w:r>
        <w:rPr>
          <w:rFonts w:ascii="Times New Roman" w:hAnsi="Times New Roman" w:cs="Times New Roman"/>
          <w:sz w:val="24"/>
          <w:lang w:val="en-US"/>
        </w:rPr>
        <w:t>.</w:t>
      </w:r>
      <w:r>
        <w:rPr>
          <w:rFonts w:ascii="Times New Roman" w:hAnsi="Times New Roman" w:cs="Times New Roman" w:hint="eastAsia"/>
          <w:sz w:val="24"/>
          <w:lang w:val="en-US"/>
        </w:rPr>
        <w:t>应用标准开展宏观调控、产业推进、行业管理、市场准入和质量监管。运用行业准入、生产许可、合格评定</w:t>
      </w:r>
      <w:r>
        <w:rPr>
          <w:rFonts w:ascii="Times New Roman" w:hAnsi="Times New Roman" w:cs="Times New Roman"/>
          <w:sz w:val="24"/>
          <w:lang w:val="en-US"/>
        </w:rPr>
        <w:t>/</w:t>
      </w:r>
      <w:r>
        <w:rPr>
          <w:rFonts w:ascii="Times New Roman" w:hAnsi="Times New Roman" w:cs="Times New Roman"/>
          <w:sz w:val="24"/>
          <w:lang w:val="en-US"/>
        </w:rPr>
        <w:t>认证认可、行政执法、监督抽查等手段，促进</w:t>
      </w:r>
      <w:r>
        <w:rPr>
          <w:rFonts w:ascii="Times New Roman" w:hAnsi="Times New Roman" w:cs="Times New Roman" w:hint="eastAsia"/>
          <w:sz w:val="24"/>
          <w:lang w:val="en-US"/>
        </w:rPr>
        <w:t>本</w:t>
      </w:r>
      <w:r>
        <w:rPr>
          <w:rFonts w:ascii="Times New Roman" w:hAnsi="Times New Roman" w:cs="Times New Roman"/>
          <w:sz w:val="24"/>
          <w:lang w:val="en-US"/>
        </w:rPr>
        <w:t>标准实施</w:t>
      </w:r>
      <w:r>
        <w:rPr>
          <w:rFonts w:ascii="Times New Roman" w:hAnsi="Times New Roman" w:cs="Times New Roman" w:hint="eastAsia"/>
          <w:sz w:val="24"/>
          <w:lang w:val="en-US"/>
        </w:rPr>
        <w:t>。</w:t>
      </w:r>
    </w:p>
    <w:p w:rsidR="00802847" w:rsidRDefault="00353001">
      <w:pPr>
        <w:tabs>
          <w:tab w:val="left" w:pos="1078"/>
        </w:tabs>
        <w:spacing w:line="360" w:lineRule="auto"/>
        <w:ind w:leftChars="74" w:left="163" w:firstLineChars="200" w:firstLine="480"/>
        <w:jc w:val="both"/>
        <w:rPr>
          <w:rFonts w:ascii="Times New Roman" w:hAnsi="Times New Roman" w:cs="Times New Roman"/>
          <w:sz w:val="24"/>
          <w:lang w:val="en-US"/>
        </w:rPr>
      </w:pPr>
      <w:r>
        <w:rPr>
          <w:rFonts w:ascii="Times New Roman" w:hAnsi="Times New Roman" w:cs="Times New Roman" w:hint="eastAsia"/>
          <w:sz w:val="24"/>
          <w:lang w:val="en-US"/>
        </w:rPr>
        <w:t>建议本标准发布之日起半年内实施。</w:t>
      </w:r>
    </w:p>
    <w:p w:rsidR="00802847" w:rsidRDefault="00353001">
      <w:pPr>
        <w:pStyle w:val="2"/>
        <w:numPr>
          <w:ilvl w:val="0"/>
          <w:numId w:val="1"/>
        </w:numPr>
        <w:spacing w:before="120" w:line="360" w:lineRule="auto"/>
        <w:ind w:left="0" w:firstLine="0"/>
        <w:rPr>
          <w:rFonts w:ascii="黑体" w:hAnsi="黑体" w:cstheme="minorEastAsia"/>
          <w:b w:val="0"/>
          <w:sz w:val="28"/>
        </w:rPr>
      </w:pPr>
      <w:r>
        <w:rPr>
          <w:rFonts w:ascii="黑体" w:hAnsi="黑体" w:cstheme="minorEastAsia" w:hint="eastAsia"/>
          <w:b w:val="0"/>
          <w:sz w:val="28"/>
        </w:rPr>
        <w:t>其他应说明的事项</w:t>
      </w:r>
    </w:p>
    <w:p w:rsidR="00802847" w:rsidRDefault="00353001">
      <w:pPr>
        <w:tabs>
          <w:tab w:val="left" w:pos="1078"/>
        </w:tabs>
        <w:spacing w:line="360" w:lineRule="auto"/>
        <w:ind w:leftChars="74" w:left="163" w:firstLineChars="200" w:firstLine="480"/>
        <w:jc w:val="both"/>
        <w:rPr>
          <w:rFonts w:ascii="Times New Roman" w:hAnsi="Times New Roman" w:cs="Times New Roman"/>
          <w:sz w:val="24"/>
          <w:lang w:val="en-US"/>
        </w:rPr>
      </w:pPr>
      <w:r>
        <w:rPr>
          <w:rFonts w:ascii="Times New Roman" w:hAnsi="Times New Roman" w:cs="Times New Roman" w:hint="eastAsia"/>
          <w:sz w:val="24"/>
          <w:lang w:val="en-US"/>
        </w:rPr>
        <w:t>无。</w:t>
      </w:r>
    </w:p>
    <w:p w:rsidR="00802847" w:rsidRDefault="00802847">
      <w:pPr>
        <w:pStyle w:val="a4"/>
        <w:spacing w:line="304" w:lineRule="auto"/>
        <w:ind w:left="7476" w:right="386" w:hanging="319"/>
        <w:rPr>
          <w:rFonts w:asciiTheme="minorEastAsia" w:eastAsiaTheme="minorEastAsia" w:hAnsiTheme="minorEastAsia" w:cstheme="minorEastAsia"/>
        </w:rPr>
      </w:pPr>
    </w:p>
    <w:p w:rsidR="00802847" w:rsidRDefault="00802847">
      <w:pPr>
        <w:pStyle w:val="a4"/>
        <w:spacing w:line="304" w:lineRule="auto"/>
        <w:ind w:left="7476" w:right="386" w:hanging="319"/>
        <w:rPr>
          <w:rFonts w:asciiTheme="minorEastAsia" w:eastAsiaTheme="minorEastAsia" w:hAnsiTheme="minorEastAsia" w:cstheme="minorEastAsia"/>
        </w:rPr>
      </w:pPr>
    </w:p>
    <w:p w:rsidR="00802847" w:rsidRDefault="00353001">
      <w:pPr>
        <w:pStyle w:val="a4"/>
        <w:spacing w:line="360" w:lineRule="auto"/>
        <w:jc w:val="right"/>
        <w:rPr>
          <w:rFonts w:hAnsi="Times New Roman" w:cs="Times New Roman"/>
          <w:sz w:val="24"/>
          <w:szCs w:val="20"/>
          <w:lang w:val="en-US" w:bidi="ar-SA"/>
        </w:rPr>
      </w:pPr>
      <w:r>
        <w:rPr>
          <w:rFonts w:hAnsi="Times New Roman" w:cs="Times New Roman" w:hint="eastAsia"/>
          <w:sz w:val="24"/>
          <w:szCs w:val="20"/>
          <w:lang w:val="en-US" w:bidi="ar-SA"/>
        </w:rPr>
        <w:t>《村镇垃圾移动热解气化装备设计及运行指南》标准编制组</w:t>
      </w:r>
    </w:p>
    <w:p w:rsidR="00802847" w:rsidRDefault="00353001">
      <w:pPr>
        <w:pStyle w:val="a4"/>
        <w:spacing w:line="360" w:lineRule="auto"/>
        <w:jc w:val="center"/>
        <w:rPr>
          <w:rFonts w:hAnsi="Times New Roman" w:cs="Times New Roman"/>
          <w:sz w:val="24"/>
          <w:szCs w:val="20"/>
          <w:lang w:val="en-US" w:bidi="ar-SA"/>
        </w:rPr>
      </w:pP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rPr>
        <w:t>202</w:t>
      </w:r>
      <w:r>
        <w:rPr>
          <w:rFonts w:ascii="Times New Roman" w:hAnsi="Times New Roman" w:cs="Times New Roman"/>
          <w:sz w:val="24"/>
          <w:szCs w:val="24"/>
        </w:rPr>
        <w:t>2</w:t>
      </w:r>
      <w:r>
        <w:rPr>
          <w:rFonts w:hAnsi="Times New Roman" w:cs="Times New Roman" w:hint="eastAsia"/>
          <w:sz w:val="24"/>
          <w:szCs w:val="20"/>
          <w:lang w:val="en-US" w:bidi="ar-SA"/>
        </w:rPr>
        <w:t>年</w:t>
      </w:r>
      <w:r>
        <w:rPr>
          <w:rFonts w:ascii="Times New Roman" w:hAnsi="Times New Roman" w:cs="Times New Roman"/>
          <w:sz w:val="24"/>
          <w:szCs w:val="24"/>
        </w:rPr>
        <w:t>5</w:t>
      </w:r>
      <w:r>
        <w:rPr>
          <w:rFonts w:hAnsi="Times New Roman" w:cs="Times New Roman" w:hint="eastAsia"/>
          <w:sz w:val="24"/>
          <w:szCs w:val="20"/>
          <w:lang w:val="en-US" w:bidi="ar-SA"/>
        </w:rPr>
        <w:t>月</w:t>
      </w:r>
    </w:p>
    <w:sectPr w:rsidR="00802847">
      <w:footerReference w:type="default" r:id="rId9"/>
      <w:pgSz w:w="11910" w:h="16840"/>
      <w:pgMar w:top="1440" w:right="1800" w:bottom="1440" w:left="1800" w:header="0" w:footer="97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001" w:rsidRDefault="00353001">
      <w:r>
        <w:separator/>
      </w:r>
    </w:p>
  </w:endnote>
  <w:endnote w:type="continuationSeparator" w:id="0">
    <w:p w:rsidR="00353001" w:rsidRDefault="0035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宋体-简">
    <w:altName w:val="宋体"/>
    <w:charset w:val="86"/>
    <w:family w:val="auto"/>
    <w:pitch w:val="default"/>
    <w:sig w:usb0="00000000" w:usb1="0000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847" w:rsidRDefault="00802847">
    <w:pPr>
      <w:pStyle w:val="a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001" w:rsidRDefault="00353001">
      <w:r>
        <w:separator/>
      </w:r>
    </w:p>
  </w:footnote>
  <w:footnote w:type="continuationSeparator" w:id="0">
    <w:p w:rsidR="00353001" w:rsidRDefault="003530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605AB"/>
    <w:multiLevelType w:val="multilevel"/>
    <w:tmpl w:val="0DD605AB"/>
    <w:lvl w:ilvl="0">
      <w:start w:val="1"/>
      <w:numFmt w:val="chineseCountingThousand"/>
      <w:lvlText w:val="%1、"/>
      <w:lvlJc w:val="left"/>
      <w:pPr>
        <w:ind w:left="1095" w:hanging="420"/>
      </w:p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5NzdhN2U2MmYwMzc1YjdmZTUyZGU0MmQ5ZjliZDEifQ=="/>
  </w:docVars>
  <w:rsids>
    <w:rsidRoot w:val="00B162DF"/>
    <w:rsid w:val="00023D7B"/>
    <w:rsid w:val="00024A81"/>
    <w:rsid w:val="0004079B"/>
    <w:rsid w:val="00075E67"/>
    <w:rsid w:val="0007616E"/>
    <w:rsid w:val="000807A4"/>
    <w:rsid w:val="00083A97"/>
    <w:rsid w:val="00084A29"/>
    <w:rsid w:val="00091875"/>
    <w:rsid w:val="0009417F"/>
    <w:rsid w:val="000A2F38"/>
    <w:rsid w:val="000B36A2"/>
    <w:rsid w:val="000C12A5"/>
    <w:rsid w:val="000C79EC"/>
    <w:rsid w:val="000D12AF"/>
    <w:rsid w:val="000E7D49"/>
    <w:rsid w:val="00112E12"/>
    <w:rsid w:val="00116F2C"/>
    <w:rsid w:val="00117204"/>
    <w:rsid w:val="001302CC"/>
    <w:rsid w:val="00141236"/>
    <w:rsid w:val="001500B6"/>
    <w:rsid w:val="00154B23"/>
    <w:rsid w:val="0015536F"/>
    <w:rsid w:val="00161F9D"/>
    <w:rsid w:val="001947E1"/>
    <w:rsid w:val="001951E6"/>
    <w:rsid w:val="001A0E05"/>
    <w:rsid w:val="001A58EA"/>
    <w:rsid w:val="001E08DF"/>
    <w:rsid w:val="001E77B0"/>
    <w:rsid w:val="00217146"/>
    <w:rsid w:val="0021785C"/>
    <w:rsid w:val="00222423"/>
    <w:rsid w:val="00230E09"/>
    <w:rsid w:val="00232D4E"/>
    <w:rsid w:val="002610E5"/>
    <w:rsid w:val="00266DA0"/>
    <w:rsid w:val="00272FC6"/>
    <w:rsid w:val="00286A3C"/>
    <w:rsid w:val="002A6136"/>
    <w:rsid w:val="002B3347"/>
    <w:rsid w:val="002B4B63"/>
    <w:rsid w:val="002C4AF6"/>
    <w:rsid w:val="002C6C2D"/>
    <w:rsid w:val="002D0649"/>
    <w:rsid w:val="002D5286"/>
    <w:rsid w:val="002E0399"/>
    <w:rsid w:val="002E6477"/>
    <w:rsid w:val="0031223D"/>
    <w:rsid w:val="00353001"/>
    <w:rsid w:val="00365C41"/>
    <w:rsid w:val="00367B6E"/>
    <w:rsid w:val="00376890"/>
    <w:rsid w:val="00386764"/>
    <w:rsid w:val="00390761"/>
    <w:rsid w:val="003B38A1"/>
    <w:rsid w:val="003C0E5B"/>
    <w:rsid w:val="003D5769"/>
    <w:rsid w:val="003D6DA9"/>
    <w:rsid w:val="003F0B16"/>
    <w:rsid w:val="003F3ED7"/>
    <w:rsid w:val="00407D9C"/>
    <w:rsid w:val="004133C7"/>
    <w:rsid w:val="00421010"/>
    <w:rsid w:val="0042493B"/>
    <w:rsid w:val="0043185D"/>
    <w:rsid w:val="00443C01"/>
    <w:rsid w:val="004462B7"/>
    <w:rsid w:val="00447684"/>
    <w:rsid w:val="00447A53"/>
    <w:rsid w:val="004561E3"/>
    <w:rsid w:val="00464D7A"/>
    <w:rsid w:val="0047744C"/>
    <w:rsid w:val="0048361D"/>
    <w:rsid w:val="00483F79"/>
    <w:rsid w:val="00492223"/>
    <w:rsid w:val="004970A7"/>
    <w:rsid w:val="00497499"/>
    <w:rsid w:val="004A1850"/>
    <w:rsid w:val="004A1F8E"/>
    <w:rsid w:val="004B0643"/>
    <w:rsid w:val="004B3B49"/>
    <w:rsid w:val="004B645E"/>
    <w:rsid w:val="004B6FC5"/>
    <w:rsid w:val="004C78BA"/>
    <w:rsid w:val="004D1FF2"/>
    <w:rsid w:val="004D528E"/>
    <w:rsid w:val="004F3515"/>
    <w:rsid w:val="004F39A4"/>
    <w:rsid w:val="0050486A"/>
    <w:rsid w:val="00505819"/>
    <w:rsid w:val="00524D14"/>
    <w:rsid w:val="0053682A"/>
    <w:rsid w:val="0055338B"/>
    <w:rsid w:val="00556EE7"/>
    <w:rsid w:val="0056268D"/>
    <w:rsid w:val="00564767"/>
    <w:rsid w:val="005A500A"/>
    <w:rsid w:val="005B1B62"/>
    <w:rsid w:val="005B4287"/>
    <w:rsid w:val="005C0E6E"/>
    <w:rsid w:val="005C39DD"/>
    <w:rsid w:val="005C4679"/>
    <w:rsid w:val="005C75DA"/>
    <w:rsid w:val="005D5D3A"/>
    <w:rsid w:val="005E371F"/>
    <w:rsid w:val="006303A7"/>
    <w:rsid w:val="006437EC"/>
    <w:rsid w:val="00645408"/>
    <w:rsid w:val="00647133"/>
    <w:rsid w:val="00647523"/>
    <w:rsid w:val="006624FA"/>
    <w:rsid w:val="00691563"/>
    <w:rsid w:val="00693C5D"/>
    <w:rsid w:val="006A1F67"/>
    <w:rsid w:val="006D0DE6"/>
    <w:rsid w:val="006D3DB7"/>
    <w:rsid w:val="006E5697"/>
    <w:rsid w:val="006F2697"/>
    <w:rsid w:val="006F7C78"/>
    <w:rsid w:val="00706CA8"/>
    <w:rsid w:val="00707BD3"/>
    <w:rsid w:val="0071593F"/>
    <w:rsid w:val="00716E67"/>
    <w:rsid w:val="00722CE6"/>
    <w:rsid w:val="00727342"/>
    <w:rsid w:val="00735305"/>
    <w:rsid w:val="00752DE0"/>
    <w:rsid w:val="007536FC"/>
    <w:rsid w:val="00753CEA"/>
    <w:rsid w:val="0075402B"/>
    <w:rsid w:val="0075743D"/>
    <w:rsid w:val="007649FF"/>
    <w:rsid w:val="00767676"/>
    <w:rsid w:val="007703E4"/>
    <w:rsid w:val="0077654C"/>
    <w:rsid w:val="007812E4"/>
    <w:rsid w:val="00781D9B"/>
    <w:rsid w:val="00787A11"/>
    <w:rsid w:val="0079219E"/>
    <w:rsid w:val="0079241B"/>
    <w:rsid w:val="007E2152"/>
    <w:rsid w:val="007F0C64"/>
    <w:rsid w:val="00802847"/>
    <w:rsid w:val="00821AC9"/>
    <w:rsid w:val="00825288"/>
    <w:rsid w:val="00835F2F"/>
    <w:rsid w:val="008375C8"/>
    <w:rsid w:val="008711D3"/>
    <w:rsid w:val="00893E26"/>
    <w:rsid w:val="00897F3B"/>
    <w:rsid w:val="008A5D14"/>
    <w:rsid w:val="008C27B7"/>
    <w:rsid w:val="008C4920"/>
    <w:rsid w:val="008F2608"/>
    <w:rsid w:val="008F4BA6"/>
    <w:rsid w:val="00905413"/>
    <w:rsid w:val="009113EA"/>
    <w:rsid w:val="00916461"/>
    <w:rsid w:val="00941980"/>
    <w:rsid w:val="00954464"/>
    <w:rsid w:val="00954C2C"/>
    <w:rsid w:val="0097126A"/>
    <w:rsid w:val="00972405"/>
    <w:rsid w:val="00975C5C"/>
    <w:rsid w:val="00981149"/>
    <w:rsid w:val="00991991"/>
    <w:rsid w:val="009944BB"/>
    <w:rsid w:val="009A5759"/>
    <w:rsid w:val="009A7F2D"/>
    <w:rsid w:val="009B70FB"/>
    <w:rsid w:val="009B7665"/>
    <w:rsid w:val="009C58D1"/>
    <w:rsid w:val="00A21ABC"/>
    <w:rsid w:val="00A4222D"/>
    <w:rsid w:val="00A4384E"/>
    <w:rsid w:val="00A44043"/>
    <w:rsid w:val="00A4493B"/>
    <w:rsid w:val="00A479A3"/>
    <w:rsid w:val="00A55246"/>
    <w:rsid w:val="00A72B86"/>
    <w:rsid w:val="00A75ED2"/>
    <w:rsid w:val="00A77EBD"/>
    <w:rsid w:val="00A816B6"/>
    <w:rsid w:val="00A8173D"/>
    <w:rsid w:val="00AB7C5B"/>
    <w:rsid w:val="00AD0A31"/>
    <w:rsid w:val="00AD6469"/>
    <w:rsid w:val="00AE2EE7"/>
    <w:rsid w:val="00AE4FC8"/>
    <w:rsid w:val="00AF0320"/>
    <w:rsid w:val="00AF2B57"/>
    <w:rsid w:val="00B15AFA"/>
    <w:rsid w:val="00B15DBF"/>
    <w:rsid w:val="00B162DF"/>
    <w:rsid w:val="00B260B5"/>
    <w:rsid w:val="00B26FF0"/>
    <w:rsid w:val="00B31890"/>
    <w:rsid w:val="00B3491F"/>
    <w:rsid w:val="00B4730B"/>
    <w:rsid w:val="00B6255E"/>
    <w:rsid w:val="00B644D7"/>
    <w:rsid w:val="00B64598"/>
    <w:rsid w:val="00B77B18"/>
    <w:rsid w:val="00B920F5"/>
    <w:rsid w:val="00BA291C"/>
    <w:rsid w:val="00BA4911"/>
    <w:rsid w:val="00BB5A97"/>
    <w:rsid w:val="00BC77A5"/>
    <w:rsid w:val="00C02A0B"/>
    <w:rsid w:val="00C0330F"/>
    <w:rsid w:val="00C32B76"/>
    <w:rsid w:val="00C41AF8"/>
    <w:rsid w:val="00C41FC7"/>
    <w:rsid w:val="00C54475"/>
    <w:rsid w:val="00C554AA"/>
    <w:rsid w:val="00C57FDE"/>
    <w:rsid w:val="00C74D4A"/>
    <w:rsid w:val="00C86A88"/>
    <w:rsid w:val="00C87CFF"/>
    <w:rsid w:val="00CA402F"/>
    <w:rsid w:val="00CB1D01"/>
    <w:rsid w:val="00CE01E0"/>
    <w:rsid w:val="00CE047F"/>
    <w:rsid w:val="00CF50BD"/>
    <w:rsid w:val="00D24CD3"/>
    <w:rsid w:val="00D341F3"/>
    <w:rsid w:val="00D35593"/>
    <w:rsid w:val="00D47D25"/>
    <w:rsid w:val="00D63E66"/>
    <w:rsid w:val="00D72F5F"/>
    <w:rsid w:val="00D823E2"/>
    <w:rsid w:val="00D83C82"/>
    <w:rsid w:val="00DA6B94"/>
    <w:rsid w:val="00DD0C31"/>
    <w:rsid w:val="00DE3580"/>
    <w:rsid w:val="00DE3BBE"/>
    <w:rsid w:val="00DF4CC0"/>
    <w:rsid w:val="00E11A3F"/>
    <w:rsid w:val="00E11D8E"/>
    <w:rsid w:val="00E14B12"/>
    <w:rsid w:val="00E159D6"/>
    <w:rsid w:val="00E27E02"/>
    <w:rsid w:val="00E340C4"/>
    <w:rsid w:val="00E4150C"/>
    <w:rsid w:val="00E73748"/>
    <w:rsid w:val="00E813EB"/>
    <w:rsid w:val="00E84A68"/>
    <w:rsid w:val="00E9176D"/>
    <w:rsid w:val="00EA12F5"/>
    <w:rsid w:val="00EA28EB"/>
    <w:rsid w:val="00EB7C5D"/>
    <w:rsid w:val="00EC1D2E"/>
    <w:rsid w:val="00EC2DC8"/>
    <w:rsid w:val="00ED08A8"/>
    <w:rsid w:val="00ED59B4"/>
    <w:rsid w:val="00EF1003"/>
    <w:rsid w:val="00F1699E"/>
    <w:rsid w:val="00F3635F"/>
    <w:rsid w:val="00F44BDB"/>
    <w:rsid w:val="00F46D9E"/>
    <w:rsid w:val="00F52B67"/>
    <w:rsid w:val="00F53C57"/>
    <w:rsid w:val="00F65482"/>
    <w:rsid w:val="00F91F76"/>
    <w:rsid w:val="00FB5A82"/>
    <w:rsid w:val="00FB7F35"/>
    <w:rsid w:val="00FD2007"/>
    <w:rsid w:val="00FD2D37"/>
    <w:rsid w:val="00FE2487"/>
    <w:rsid w:val="00FE65EC"/>
    <w:rsid w:val="042A0622"/>
    <w:rsid w:val="04792582"/>
    <w:rsid w:val="16D07364"/>
    <w:rsid w:val="1FCD657C"/>
    <w:rsid w:val="2DE826C7"/>
    <w:rsid w:val="358E17DE"/>
    <w:rsid w:val="363D37CD"/>
    <w:rsid w:val="3A3F4699"/>
    <w:rsid w:val="3D22516B"/>
    <w:rsid w:val="3F7C19D9"/>
    <w:rsid w:val="4F593E49"/>
    <w:rsid w:val="5F3979EB"/>
    <w:rsid w:val="65ED08CC"/>
    <w:rsid w:val="6C331BE8"/>
    <w:rsid w:val="7DA92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lsdException w:name="header" w:semiHidden="0" w:unhideWhenUsed="0"/>
    <w:lsdException w:name="footer" w:semiHidden="0"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iPriority="1"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ind w:left="2093" w:right="1845"/>
      <w:jc w:val="center"/>
      <w:outlineLvl w:val="0"/>
    </w:pPr>
    <w:rPr>
      <w:rFonts w:ascii="Microsoft JhengHei" w:eastAsia="Microsoft JhengHei" w:hAnsi="Microsoft JhengHei" w:cs="Microsoft JhengHei"/>
      <w:b/>
      <w:bCs/>
      <w:sz w:val="44"/>
      <w:szCs w:val="44"/>
    </w:rPr>
  </w:style>
  <w:style w:type="paragraph" w:styleId="2">
    <w:name w:val="heading 2"/>
    <w:basedOn w:val="a"/>
    <w:next w:val="a"/>
    <w:uiPriority w:val="1"/>
    <w:qFormat/>
    <w:pPr>
      <w:ind w:left="567"/>
      <w:outlineLvl w:val="1"/>
    </w:pPr>
    <w:rPr>
      <w:rFonts w:ascii="Microsoft JhengHei" w:eastAsia="黑体" w:hAnsi="Microsoft JhengHei" w:cs="Microsoft JhengHei"/>
      <w:b/>
      <w:bCs/>
      <w:sz w:val="30"/>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tyle>
  <w:style w:type="paragraph" w:styleId="a4">
    <w:name w:val="Body Text"/>
    <w:basedOn w:val="a"/>
    <w:uiPriority w:val="1"/>
    <w:qFormat/>
    <w:rPr>
      <w:sz w:val="32"/>
      <w:szCs w:val="32"/>
    </w:rPr>
  </w:style>
  <w:style w:type="paragraph" w:styleId="a5">
    <w:name w:val="Balloon Text"/>
    <w:basedOn w:val="a"/>
    <w:link w:val="Char0"/>
    <w:rPr>
      <w:sz w:val="18"/>
      <w:szCs w:val="18"/>
    </w:rPr>
  </w:style>
  <w:style w:type="paragraph" w:styleId="a6">
    <w:name w:val="footer"/>
    <w:basedOn w:val="a"/>
    <w:qFormat/>
    <w:pPr>
      <w:tabs>
        <w:tab w:val="center" w:pos="4153"/>
        <w:tab w:val="right" w:pos="8306"/>
      </w:tabs>
      <w:snapToGrid w:val="0"/>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8">
    <w:name w:val="annotation subject"/>
    <w:basedOn w:val="a3"/>
    <w:next w:val="a3"/>
    <w:link w:val="Char1"/>
    <w:rPr>
      <w:b/>
      <w:bCs/>
    </w:rPr>
  </w:style>
  <w:style w:type="character" w:styleId="a9">
    <w:name w:val="annotation reference"/>
    <w:basedOn w:val="a0"/>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a">
    <w:name w:val="List Paragraph"/>
    <w:basedOn w:val="a"/>
    <w:uiPriority w:val="1"/>
    <w:qFormat/>
    <w:pPr>
      <w:ind w:left="1077" w:hanging="321"/>
    </w:pPr>
  </w:style>
  <w:style w:type="paragraph" w:customStyle="1" w:styleId="TableParagraph">
    <w:name w:val="Table Paragraph"/>
    <w:basedOn w:val="a"/>
    <w:uiPriority w:val="1"/>
    <w:qFormat/>
  </w:style>
  <w:style w:type="character" w:customStyle="1" w:styleId="Char">
    <w:name w:val="批注文字 Char"/>
    <w:basedOn w:val="a0"/>
    <w:link w:val="a3"/>
    <w:qFormat/>
    <w:rPr>
      <w:rFonts w:ascii="宋体" w:hAnsi="宋体" w:cs="宋体"/>
      <w:sz w:val="22"/>
      <w:szCs w:val="22"/>
      <w:lang w:val="zh-CN" w:bidi="zh-CN"/>
    </w:rPr>
  </w:style>
  <w:style w:type="character" w:customStyle="1" w:styleId="Char1">
    <w:name w:val="批注主题 Char"/>
    <w:basedOn w:val="Char"/>
    <w:link w:val="a8"/>
    <w:rPr>
      <w:rFonts w:ascii="宋体" w:hAnsi="宋体" w:cs="宋体"/>
      <w:b/>
      <w:bCs/>
      <w:sz w:val="22"/>
      <w:szCs w:val="22"/>
      <w:lang w:val="zh-CN" w:bidi="zh-CN"/>
    </w:rPr>
  </w:style>
  <w:style w:type="paragraph" w:customStyle="1" w:styleId="10">
    <w:name w:val="修订1"/>
    <w:hidden/>
    <w:uiPriority w:val="99"/>
    <w:semiHidden/>
    <w:rPr>
      <w:rFonts w:ascii="宋体" w:hAnsi="宋体" w:cs="宋体"/>
      <w:sz w:val="22"/>
      <w:szCs w:val="22"/>
      <w:lang w:val="zh-CN" w:bidi="zh-CN"/>
    </w:rPr>
  </w:style>
  <w:style w:type="paragraph" w:customStyle="1" w:styleId="ab">
    <w:name w:val="段"/>
    <w:link w:val="Char2"/>
    <w:pPr>
      <w:tabs>
        <w:tab w:val="center" w:pos="4201"/>
        <w:tab w:val="right" w:leader="dot" w:pos="9298"/>
      </w:tabs>
      <w:autoSpaceDE w:val="0"/>
      <w:autoSpaceDN w:val="0"/>
      <w:ind w:firstLineChars="200" w:firstLine="420"/>
      <w:jc w:val="both"/>
    </w:pPr>
    <w:rPr>
      <w:rFonts w:ascii="宋体"/>
      <w:sz w:val="21"/>
    </w:rPr>
  </w:style>
  <w:style w:type="character" w:customStyle="1" w:styleId="Char2">
    <w:name w:val="段 Char"/>
    <w:link w:val="ab"/>
    <w:rPr>
      <w:rFonts w:ascii="宋体"/>
      <w:sz w:val="21"/>
    </w:rPr>
  </w:style>
  <w:style w:type="character" w:customStyle="1" w:styleId="Char0">
    <w:name w:val="批注框文本 Char"/>
    <w:basedOn w:val="a0"/>
    <w:link w:val="a5"/>
    <w:qFormat/>
    <w:rPr>
      <w:rFonts w:ascii="宋体" w:hAnsi="宋体" w:cs="宋体"/>
      <w:sz w:val="18"/>
      <w:szCs w:val="18"/>
      <w:lang w:val="zh-CN" w:bidi="zh-CN"/>
    </w:rPr>
  </w:style>
  <w:style w:type="character" w:customStyle="1" w:styleId="3Char">
    <w:name w:val="标题 3 Char"/>
    <w:basedOn w:val="a0"/>
    <w:link w:val="3"/>
    <w:semiHidden/>
    <w:rPr>
      <w:rFonts w:ascii="宋体" w:hAnsi="宋体" w:cs="宋体"/>
      <w:b/>
      <w:bCs/>
      <w:sz w:val="32"/>
      <w:szCs w:val="3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lsdException w:name="header" w:semiHidden="0" w:unhideWhenUsed="0"/>
    <w:lsdException w:name="footer" w:semiHidden="0"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iPriority="1"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ind w:left="2093" w:right="1845"/>
      <w:jc w:val="center"/>
      <w:outlineLvl w:val="0"/>
    </w:pPr>
    <w:rPr>
      <w:rFonts w:ascii="Microsoft JhengHei" w:eastAsia="Microsoft JhengHei" w:hAnsi="Microsoft JhengHei" w:cs="Microsoft JhengHei"/>
      <w:b/>
      <w:bCs/>
      <w:sz w:val="44"/>
      <w:szCs w:val="44"/>
    </w:rPr>
  </w:style>
  <w:style w:type="paragraph" w:styleId="2">
    <w:name w:val="heading 2"/>
    <w:basedOn w:val="a"/>
    <w:next w:val="a"/>
    <w:uiPriority w:val="1"/>
    <w:qFormat/>
    <w:pPr>
      <w:ind w:left="567"/>
      <w:outlineLvl w:val="1"/>
    </w:pPr>
    <w:rPr>
      <w:rFonts w:ascii="Microsoft JhengHei" w:eastAsia="黑体" w:hAnsi="Microsoft JhengHei" w:cs="Microsoft JhengHei"/>
      <w:b/>
      <w:bCs/>
      <w:sz w:val="30"/>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tyle>
  <w:style w:type="paragraph" w:styleId="a4">
    <w:name w:val="Body Text"/>
    <w:basedOn w:val="a"/>
    <w:uiPriority w:val="1"/>
    <w:qFormat/>
    <w:rPr>
      <w:sz w:val="32"/>
      <w:szCs w:val="32"/>
    </w:rPr>
  </w:style>
  <w:style w:type="paragraph" w:styleId="a5">
    <w:name w:val="Balloon Text"/>
    <w:basedOn w:val="a"/>
    <w:link w:val="Char0"/>
    <w:rPr>
      <w:sz w:val="18"/>
      <w:szCs w:val="18"/>
    </w:rPr>
  </w:style>
  <w:style w:type="paragraph" w:styleId="a6">
    <w:name w:val="footer"/>
    <w:basedOn w:val="a"/>
    <w:qFormat/>
    <w:pPr>
      <w:tabs>
        <w:tab w:val="center" w:pos="4153"/>
        <w:tab w:val="right" w:pos="8306"/>
      </w:tabs>
      <w:snapToGrid w:val="0"/>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8">
    <w:name w:val="annotation subject"/>
    <w:basedOn w:val="a3"/>
    <w:next w:val="a3"/>
    <w:link w:val="Char1"/>
    <w:rPr>
      <w:b/>
      <w:bCs/>
    </w:rPr>
  </w:style>
  <w:style w:type="character" w:styleId="a9">
    <w:name w:val="annotation reference"/>
    <w:basedOn w:val="a0"/>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a">
    <w:name w:val="List Paragraph"/>
    <w:basedOn w:val="a"/>
    <w:uiPriority w:val="1"/>
    <w:qFormat/>
    <w:pPr>
      <w:ind w:left="1077" w:hanging="321"/>
    </w:pPr>
  </w:style>
  <w:style w:type="paragraph" w:customStyle="1" w:styleId="TableParagraph">
    <w:name w:val="Table Paragraph"/>
    <w:basedOn w:val="a"/>
    <w:uiPriority w:val="1"/>
    <w:qFormat/>
  </w:style>
  <w:style w:type="character" w:customStyle="1" w:styleId="Char">
    <w:name w:val="批注文字 Char"/>
    <w:basedOn w:val="a0"/>
    <w:link w:val="a3"/>
    <w:qFormat/>
    <w:rPr>
      <w:rFonts w:ascii="宋体" w:hAnsi="宋体" w:cs="宋体"/>
      <w:sz w:val="22"/>
      <w:szCs w:val="22"/>
      <w:lang w:val="zh-CN" w:bidi="zh-CN"/>
    </w:rPr>
  </w:style>
  <w:style w:type="character" w:customStyle="1" w:styleId="Char1">
    <w:name w:val="批注主题 Char"/>
    <w:basedOn w:val="Char"/>
    <w:link w:val="a8"/>
    <w:rPr>
      <w:rFonts w:ascii="宋体" w:hAnsi="宋体" w:cs="宋体"/>
      <w:b/>
      <w:bCs/>
      <w:sz w:val="22"/>
      <w:szCs w:val="22"/>
      <w:lang w:val="zh-CN" w:bidi="zh-CN"/>
    </w:rPr>
  </w:style>
  <w:style w:type="paragraph" w:customStyle="1" w:styleId="10">
    <w:name w:val="修订1"/>
    <w:hidden/>
    <w:uiPriority w:val="99"/>
    <w:semiHidden/>
    <w:rPr>
      <w:rFonts w:ascii="宋体" w:hAnsi="宋体" w:cs="宋体"/>
      <w:sz w:val="22"/>
      <w:szCs w:val="22"/>
      <w:lang w:val="zh-CN" w:bidi="zh-CN"/>
    </w:rPr>
  </w:style>
  <w:style w:type="paragraph" w:customStyle="1" w:styleId="ab">
    <w:name w:val="段"/>
    <w:link w:val="Char2"/>
    <w:pPr>
      <w:tabs>
        <w:tab w:val="center" w:pos="4201"/>
        <w:tab w:val="right" w:leader="dot" w:pos="9298"/>
      </w:tabs>
      <w:autoSpaceDE w:val="0"/>
      <w:autoSpaceDN w:val="0"/>
      <w:ind w:firstLineChars="200" w:firstLine="420"/>
      <w:jc w:val="both"/>
    </w:pPr>
    <w:rPr>
      <w:rFonts w:ascii="宋体"/>
      <w:sz w:val="21"/>
    </w:rPr>
  </w:style>
  <w:style w:type="character" w:customStyle="1" w:styleId="Char2">
    <w:name w:val="段 Char"/>
    <w:link w:val="ab"/>
    <w:rPr>
      <w:rFonts w:ascii="宋体"/>
      <w:sz w:val="21"/>
    </w:rPr>
  </w:style>
  <w:style w:type="character" w:customStyle="1" w:styleId="Char0">
    <w:name w:val="批注框文本 Char"/>
    <w:basedOn w:val="a0"/>
    <w:link w:val="a5"/>
    <w:qFormat/>
    <w:rPr>
      <w:rFonts w:ascii="宋体" w:hAnsi="宋体" w:cs="宋体"/>
      <w:sz w:val="18"/>
      <w:szCs w:val="18"/>
      <w:lang w:val="zh-CN" w:bidi="zh-CN"/>
    </w:rPr>
  </w:style>
  <w:style w:type="character" w:customStyle="1" w:styleId="3Char">
    <w:name w:val="标题 3 Char"/>
    <w:basedOn w:val="a0"/>
    <w:link w:val="3"/>
    <w:semiHidden/>
    <w:rPr>
      <w:rFonts w:ascii="宋体" w:hAnsi="宋体" w:cs="宋体"/>
      <w:b/>
      <w:bCs/>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B2C0C-B9BA-4FBC-8B1D-01A6D4A7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401</Words>
  <Characters>2291</Characters>
  <Application>Microsoft Office Word</Application>
  <DocSecurity>0</DocSecurity>
  <Lines>19</Lines>
  <Paragraphs>5</Paragraphs>
  <ScaleCrop>false</ScaleCrop>
  <Company>微软中国</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shijin</cp:lastModifiedBy>
  <cp:revision>2</cp:revision>
  <dcterms:created xsi:type="dcterms:W3CDTF">2022-05-20T02:58:00Z</dcterms:created>
  <dcterms:modified xsi:type="dcterms:W3CDTF">2022-05-20T02:58:00Z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LastSaved">
    <vt:filetime>2021-09-09T00:00:00Z</vt:filetime>
  </property>
  <property fmtid="{D5CDD505-2E9C-101B-9397-08002B2CF9AE}" pid="4" name="KSOProductBuildVer">
    <vt:lpwstr>2052-11.1.0.11636</vt:lpwstr>
  </property>
  <property fmtid="{D5CDD505-2E9C-101B-9397-08002B2CF9AE}" pid="5" name="ICV">
    <vt:lpwstr>C63EC85C42E444FDB08C9764480FA19C</vt:lpwstr>
  </property>
</Properties>
</file>